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80" w:rsidRPr="00B7448E" w:rsidRDefault="00937E80" w:rsidP="00937E80">
      <w:pPr>
        <w:rPr>
          <w:rFonts w:ascii="Times New Roman" w:hAnsi="Times New Roman" w:cs="Times New Roman"/>
          <w:sz w:val="24"/>
          <w:szCs w:val="24"/>
        </w:rPr>
      </w:pPr>
      <w:bookmarkStart w:id="0" w:name="_GoBack"/>
      <w:bookmarkEnd w:id="0"/>
      <w:r w:rsidRPr="00B7448E">
        <w:rPr>
          <w:rFonts w:ascii="Times New Roman" w:hAnsi="Times New Roman" w:cs="Times New Roman"/>
          <w:sz w:val="24"/>
          <w:szCs w:val="24"/>
        </w:rPr>
        <w:t xml:space="preserve">Figure Legends </w:t>
      </w:r>
    </w:p>
    <w:p w:rsidR="00937E80" w:rsidRPr="00B7448E" w:rsidRDefault="00937E80" w:rsidP="00937E80">
      <w:pPr>
        <w:rPr>
          <w:rFonts w:ascii="Times New Roman" w:hAnsi="Times New Roman" w:cs="Times New Roman"/>
          <w:sz w:val="24"/>
          <w:szCs w:val="24"/>
        </w:rPr>
      </w:pPr>
    </w:p>
    <w:p w:rsidR="00937E80" w:rsidRPr="00B7448E" w:rsidRDefault="00937E80" w:rsidP="00937E80">
      <w:pPr>
        <w:rPr>
          <w:rFonts w:ascii="Times New Roman" w:hAnsi="Times New Roman" w:cs="Times New Roman"/>
          <w:sz w:val="24"/>
          <w:szCs w:val="24"/>
        </w:rPr>
      </w:pPr>
      <w:r w:rsidRPr="00B7448E">
        <w:rPr>
          <w:rFonts w:ascii="Times New Roman" w:hAnsi="Times New Roman" w:cs="Times New Roman"/>
          <w:sz w:val="24"/>
          <w:szCs w:val="24"/>
        </w:rPr>
        <w:t xml:space="preserve">Figure 1: </w:t>
      </w:r>
      <w:r>
        <w:rPr>
          <w:rFonts w:ascii="Times New Roman" w:hAnsi="Times New Roman" w:cs="Times New Roman"/>
          <w:sz w:val="24"/>
          <w:szCs w:val="24"/>
        </w:rPr>
        <w:t xml:space="preserve">Raw data </w:t>
      </w:r>
      <w:r w:rsidRPr="00B7448E">
        <w:rPr>
          <w:rFonts w:ascii="Times New Roman" w:hAnsi="Times New Roman" w:cs="Times New Roman"/>
          <w:sz w:val="24"/>
          <w:szCs w:val="24"/>
        </w:rPr>
        <w:t>(gm</w:t>
      </w:r>
      <w:r w:rsidRPr="00B7448E">
        <w:rPr>
          <w:rFonts w:ascii="Times New Roman" w:hAnsi="Times New Roman" w:cs="Times New Roman"/>
          <w:sz w:val="24"/>
          <w:szCs w:val="24"/>
          <w:vertAlign w:val="superscript"/>
        </w:rPr>
        <w:t>-2</w:t>
      </w:r>
      <w:r w:rsidRPr="00B7448E">
        <w:rPr>
          <w:rFonts w:ascii="Times New Roman" w:hAnsi="Times New Roman" w:cs="Times New Roman"/>
          <w:sz w:val="24"/>
          <w:szCs w:val="24"/>
        </w:rPr>
        <w:t xml:space="preserve">) </w:t>
      </w:r>
      <w:r>
        <w:rPr>
          <w:rFonts w:ascii="Times New Roman" w:hAnsi="Times New Roman" w:cs="Times New Roman"/>
          <w:sz w:val="24"/>
          <w:szCs w:val="24"/>
        </w:rPr>
        <w:t>plotted as circles (shoots) and triangles (roots). Error bars show m</w:t>
      </w:r>
      <w:r w:rsidRPr="00B7448E">
        <w:rPr>
          <w:rFonts w:ascii="Times New Roman" w:hAnsi="Times New Roman" w:cs="Times New Roman"/>
          <w:sz w:val="24"/>
          <w:szCs w:val="24"/>
        </w:rPr>
        <w:t>ean biomass (gm</w:t>
      </w:r>
      <w:r w:rsidRPr="00B7448E">
        <w:rPr>
          <w:rFonts w:ascii="Times New Roman" w:hAnsi="Times New Roman" w:cs="Times New Roman"/>
          <w:sz w:val="24"/>
          <w:szCs w:val="24"/>
          <w:vertAlign w:val="superscript"/>
        </w:rPr>
        <w:t>-2</w:t>
      </w:r>
      <w:r w:rsidRPr="00B7448E">
        <w:rPr>
          <w:rFonts w:ascii="Times New Roman" w:hAnsi="Times New Roman" w:cs="Times New Roman"/>
          <w:sz w:val="24"/>
          <w:szCs w:val="24"/>
        </w:rPr>
        <w:t>) +/- 1 SE for shoots (</w:t>
      </w:r>
      <w:r>
        <w:rPr>
          <w:rFonts w:ascii="Times New Roman" w:hAnsi="Times New Roman" w:cs="Times New Roman"/>
          <w:sz w:val="24"/>
          <w:szCs w:val="24"/>
        </w:rPr>
        <w:t>purple error bars</w:t>
      </w:r>
      <w:r w:rsidRPr="00B7448E">
        <w:rPr>
          <w:rFonts w:ascii="Times New Roman" w:hAnsi="Times New Roman" w:cs="Times New Roman"/>
          <w:sz w:val="24"/>
          <w:szCs w:val="24"/>
        </w:rPr>
        <w:t>) and roots (</w:t>
      </w:r>
      <w:r>
        <w:rPr>
          <w:rFonts w:ascii="Times New Roman" w:hAnsi="Times New Roman" w:cs="Times New Roman"/>
          <w:sz w:val="24"/>
          <w:szCs w:val="24"/>
        </w:rPr>
        <w:t>brown error</w:t>
      </w:r>
      <w:r w:rsidRPr="00B7448E">
        <w:rPr>
          <w:rFonts w:ascii="Times New Roman" w:hAnsi="Times New Roman" w:cs="Times New Roman"/>
          <w:sz w:val="24"/>
          <w:szCs w:val="24"/>
        </w:rPr>
        <w:t xml:space="preserve"> bars). The panels are faceted by treatment combinations: </w:t>
      </w:r>
      <w:r>
        <w:rPr>
          <w:rFonts w:ascii="Times New Roman" w:hAnsi="Times New Roman" w:cs="Times New Roman"/>
          <w:sz w:val="24"/>
          <w:szCs w:val="24"/>
        </w:rPr>
        <w:t>intensity</w:t>
      </w:r>
      <w:r w:rsidRPr="00B7448E">
        <w:rPr>
          <w:rFonts w:ascii="Times New Roman" w:hAnsi="Times New Roman" w:cs="Times New Roman"/>
          <w:sz w:val="24"/>
          <w:szCs w:val="24"/>
        </w:rPr>
        <w:t xml:space="preserve"> of defoliation on top (</w:t>
      </w:r>
      <w:r>
        <w:rPr>
          <w:rFonts w:ascii="Times New Roman" w:hAnsi="Times New Roman" w:cs="Times New Roman"/>
          <w:sz w:val="24"/>
          <w:szCs w:val="24"/>
        </w:rPr>
        <w:t>lenient 15 cm or severe 5 cm on top</w:t>
      </w:r>
      <w:r w:rsidRPr="00B7448E">
        <w:rPr>
          <w:rFonts w:ascii="Times New Roman" w:hAnsi="Times New Roman" w:cs="Times New Roman"/>
          <w:sz w:val="24"/>
          <w:szCs w:val="24"/>
        </w:rPr>
        <w:t xml:space="preserve">), and </w:t>
      </w:r>
      <w:r>
        <w:rPr>
          <w:rFonts w:ascii="Times New Roman" w:hAnsi="Times New Roman" w:cs="Times New Roman"/>
          <w:sz w:val="24"/>
          <w:szCs w:val="24"/>
        </w:rPr>
        <w:t>frequency</w:t>
      </w:r>
      <w:r w:rsidRPr="00B7448E">
        <w:rPr>
          <w:rFonts w:ascii="Times New Roman" w:hAnsi="Times New Roman" w:cs="Times New Roman"/>
          <w:sz w:val="24"/>
          <w:szCs w:val="24"/>
        </w:rPr>
        <w:t xml:space="preserve"> of defoliation </w:t>
      </w:r>
      <w:r>
        <w:rPr>
          <w:rFonts w:ascii="Times New Roman" w:hAnsi="Times New Roman" w:cs="Times New Roman"/>
          <w:sz w:val="24"/>
          <w:szCs w:val="24"/>
        </w:rPr>
        <w:t xml:space="preserve">labeled </w:t>
      </w:r>
      <w:r w:rsidRPr="00B7448E">
        <w:rPr>
          <w:rFonts w:ascii="Times New Roman" w:hAnsi="Times New Roman" w:cs="Times New Roman"/>
          <w:sz w:val="24"/>
          <w:szCs w:val="24"/>
        </w:rPr>
        <w:t xml:space="preserve">on </w:t>
      </w:r>
      <w:r>
        <w:rPr>
          <w:rFonts w:ascii="Times New Roman" w:hAnsi="Times New Roman" w:cs="Times New Roman"/>
          <w:sz w:val="24"/>
          <w:szCs w:val="24"/>
        </w:rPr>
        <w:t xml:space="preserve">the </w:t>
      </w:r>
      <w:r w:rsidRPr="00B7448E">
        <w:rPr>
          <w:rFonts w:ascii="Times New Roman" w:hAnsi="Times New Roman" w:cs="Times New Roman"/>
          <w:sz w:val="24"/>
          <w:szCs w:val="24"/>
        </w:rPr>
        <w:t>right hand side (</w:t>
      </w:r>
      <w:r>
        <w:rPr>
          <w:rFonts w:ascii="Times New Roman" w:hAnsi="Times New Roman" w:cs="Times New Roman"/>
          <w:sz w:val="24"/>
          <w:szCs w:val="24"/>
        </w:rPr>
        <w:t xml:space="preserve">2 </w:t>
      </w:r>
      <w:proofErr w:type="spellStart"/>
      <w:r>
        <w:rPr>
          <w:rFonts w:ascii="Times New Roman" w:hAnsi="Times New Roman" w:cs="Times New Roman"/>
          <w:sz w:val="24"/>
          <w:szCs w:val="24"/>
        </w:rPr>
        <w:t>wk</w:t>
      </w:r>
      <w:proofErr w:type="spellEnd"/>
      <w:r>
        <w:rPr>
          <w:rFonts w:ascii="Times New Roman" w:hAnsi="Times New Roman" w:cs="Times New Roman"/>
          <w:sz w:val="24"/>
          <w:szCs w:val="24"/>
        </w:rPr>
        <w:t xml:space="preserve"> or 4 </w:t>
      </w:r>
      <w:proofErr w:type="spellStart"/>
      <w:r>
        <w:rPr>
          <w:rFonts w:ascii="Times New Roman" w:hAnsi="Times New Roman" w:cs="Times New Roman"/>
          <w:sz w:val="24"/>
          <w:szCs w:val="24"/>
        </w:rPr>
        <w:t>wk</w:t>
      </w:r>
      <w:proofErr w:type="spellEnd"/>
      <w:r w:rsidRPr="00B7448E">
        <w:rPr>
          <w:rFonts w:ascii="Times New Roman" w:hAnsi="Times New Roman" w:cs="Times New Roman"/>
          <w:sz w:val="24"/>
          <w:szCs w:val="24"/>
        </w:rPr>
        <w:t xml:space="preserve">). The x-axis groups responses by cultivar: A = Argentine, P = Pensacola, T9 = Tifton-9, and UF-R = UF-Riata.  </w:t>
      </w:r>
    </w:p>
    <w:p w:rsidR="00937E80" w:rsidRDefault="00937E80" w:rsidP="00937E80">
      <w:pPr>
        <w:rPr>
          <w:rFonts w:ascii="Times New Roman" w:hAnsi="Times New Roman" w:cs="Times New Roman"/>
          <w:sz w:val="24"/>
          <w:szCs w:val="24"/>
        </w:rPr>
      </w:pPr>
    </w:p>
    <w:p w:rsidR="00937E80" w:rsidRDefault="00937E80" w:rsidP="00937E80">
      <w:pPr>
        <w:rPr>
          <w:rFonts w:ascii="Times New Roman" w:hAnsi="Times New Roman" w:cs="Times New Roman"/>
          <w:sz w:val="24"/>
          <w:szCs w:val="24"/>
        </w:rPr>
      </w:pPr>
      <w:r>
        <w:rPr>
          <w:rFonts w:ascii="Times New Roman" w:hAnsi="Times New Roman" w:cs="Times New Roman"/>
          <w:sz w:val="24"/>
          <w:szCs w:val="24"/>
        </w:rPr>
        <w:t xml:space="preserve">Figure 2: Fixed effects from varying-intercepts/varying-slopes Gamma regression model. Coefficients are plotted on the log-link scale and include a median (point), 50% (thick line) and 95% (thin line) credible intervals for a) shoot production, b) root production and c) root allocation. Where the entire 95% credible interval falls above or below zero, we can interpret that as a 97.5+% Bayesian probability of that coefficient having a positive or negative effect on the response, respectively. </w:t>
      </w:r>
    </w:p>
    <w:p w:rsidR="00937E80" w:rsidRDefault="00937E80" w:rsidP="00937E80">
      <w:pPr>
        <w:rPr>
          <w:rFonts w:ascii="Times New Roman" w:hAnsi="Times New Roman" w:cs="Times New Roman"/>
          <w:sz w:val="24"/>
          <w:szCs w:val="24"/>
        </w:rPr>
      </w:pPr>
    </w:p>
    <w:p w:rsidR="00937E80" w:rsidRDefault="00937E80" w:rsidP="00937E80">
      <w:pPr>
        <w:rPr>
          <w:rFonts w:ascii="Times New Roman" w:hAnsi="Times New Roman" w:cs="Times New Roman"/>
          <w:sz w:val="24"/>
          <w:szCs w:val="24"/>
        </w:rPr>
      </w:pPr>
      <w:r>
        <w:rPr>
          <w:rFonts w:ascii="Times New Roman" w:hAnsi="Times New Roman" w:cs="Times New Roman"/>
          <w:sz w:val="24"/>
          <w:szCs w:val="24"/>
        </w:rPr>
        <w:t>Figure 3: Varying-intercepts from the Gamma regression model for root production. Coefficients represent deviations of each cultivar (</w:t>
      </w:r>
      <w:r w:rsidRPr="00B7448E">
        <w:rPr>
          <w:rFonts w:ascii="Times New Roman" w:hAnsi="Times New Roman" w:cs="Times New Roman"/>
          <w:sz w:val="24"/>
          <w:szCs w:val="24"/>
        </w:rPr>
        <w:t>A = Argentine, P = Pensacola, T9 = Tifton-9, and UF-R = UF-Riata</w:t>
      </w:r>
      <w:r>
        <w:rPr>
          <w:rFonts w:ascii="Times New Roman" w:hAnsi="Times New Roman" w:cs="Times New Roman"/>
          <w:sz w:val="24"/>
          <w:szCs w:val="24"/>
        </w:rPr>
        <w:t xml:space="preserve">) from the overall mean (fixed effect coefficient), and are thus naturally centered at 0, where negative values represent lower than average performance, and positive values higher than average performance. Plots include a median (point), and 50% (thick line) and 95% (thin line) credible intervals. Where the entire 95% credible interval falls above or below zero, we can interpret that as a 97.5+% Bayesian probability of the cultivar having a higher or lower overall root production compared to the mean among all cultivars. </w:t>
      </w:r>
    </w:p>
    <w:p w:rsidR="00937E80" w:rsidRPr="00B7448E" w:rsidRDefault="00937E80" w:rsidP="00937E80">
      <w:pPr>
        <w:rPr>
          <w:rFonts w:ascii="Times New Roman" w:hAnsi="Times New Roman" w:cs="Times New Roman"/>
          <w:sz w:val="24"/>
          <w:szCs w:val="24"/>
        </w:rPr>
      </w:pPr>
    </w:p>
    <w:p w:rsidR="00937E80" w:rsidRDefault="00937E80" w:rsidP="00937E80">
      <w:pPr>
        <w:rPr>
          <w:rFonts w:ascii="Times New Roman" w:hAnsi="Times New Roman" w:cs="Times New Roman"/>
          <w:sz w:val="24"/>
          <w:szCs w:val="24"/>
        </w:rPr>
      </w:pPr>
      <w:r>
        <w:rPr>
          <w:rFonts w:ascii="Times New Roman" w:hAnsi="Times New Roman" w:cs="Times New Roman"/>
          <w:sz w:val="24"/>
          <w:szCs w:val="24"/>
        </w:rPr>
        <w:t xml:space="preserve">Figure 4: Pairwise contrasts among each cultivar </w:t>
      </w:r>
      <w:r w:rsidRPr="008C4D04">
        <w:rPr>
          <w:rFonts w:ascii="Times New Roman" w:hAnsi="Times New Roman" w:cs="Times New Roman"/>
          <w:sz w:val="24"/>
          <w:szCs w:val="24"/>
        </w:rPr>
        <w:t>(A = Argentine, P = Pensacola, T9 = Tifton-9, and UF-R = UF-Riata)</w:t>
      </w:r>
      <w:r>
        <w:rPr>
          <w:rFonts w:ascii="Times New Roman" w:hAnsi="Times New Roman" w:cs="Times New Roman"/>
          <w:sz w:val="24"/>
          <w:szCs w:val="24"/>
        </w:rPr>
        <w:t xml:space="preserve"> for the varying intercepts of the root allocation model. Plots include a median (point), and 50% (thick line) and 95% (thin line) credible intervals. Where the entire 95% credible interval falls above or below zero, we can interpret that as a 97.5+% Bayesian probability of the first cultivar having a higher root allocation than the second cultivar. </w:t>
      </w:r>
    </w:p>
    <w:p w:rsidR="00937E80" w:rsidRDefault="00937E80" w:rsidP="00937E80">
      <w:pPr>
        <w:rPr>
          <w:rFonts w:ascii="Times New Roman" w:hAnsi="Times New Roman" w:cs="Times New Roman"/>
          <w:sz w:val="24"/>
          <w:szCs w:val="24"/>
        </w:rPr>
      </w:pPr>
    </w:p>
    <w:p w:rsidR="00937E80" w:rsidRPr="00EE55AE" w:rsidRDefault="00937E80" w:rsidP="00937E80">
      <w:pPr>
        <w:rPr>
          <w:rFonts w:ascii="Times New Roman" w:hAnsi="Times New Roman" w:cs="Times New Roman"/>
          <w:sz w:val="24"/>
          <w:szCs w:val="24"/>
        </w:rPr>
      </w:pPr>
      <w:r>
        <w:rPr>
          <w:rFonts w:ascii="Times New Roman" w:hAnsi="Times New Roman" w:cs="Times New Roman"/>
          <w:sz w:val="24"/>
          <w:szCs w:val="24"/>
        </w:rPr>
        <w:t>Figure 5: a) Predicted versus observed scatterplot for root production as predicted by shoot production as an aboveground proxy, and b) predicted versus observed scatterplot for root production as predicted by defoliation treatment, cultivar identity, and shoot production. For reference, the 1:1 line of “perfect fit” is plotted along with an in-sample median Bayesian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for both predictive models. </w:t>
      </w:r>
    </w:p>
    <w:p w:rsidR="00F675C7" w:rsidRDefault="00F675C7"/>
    <w:sectPr w:rsidR="00F67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E80"/>
    <w:rsid w:val="007A2D52"/>
    <w:rsid w:val="00937E80"/>
    <w:rsid w:val="00B83D26"/>
    <w:rsid w:val="00F6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8ECA1-1900-4B83-BB82-4677A198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E80"/>
    <w:pPr>
      <w:spacing w:after="0" w:line="276" w:lineRule="auto"/>
      <w:contextualSpacing/>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 Wilson</dc:creator>
  <cp:keywords/>
  <dc:description/>
  <cp:lastModifiedBy>Chris H. Wilson</cp:lastModifiedBy>
  <cp:revision>2</cp:revision>
  <dcterms:created xsi:type="dcterms:W3CDTF">2019-04-19T13:51:00Z</dcterms:created>
  <dcterms:modified xsi:type="dcterms:W3CDTF">2019-04-19T13:51:00Z</dcterms:modified>
</cp:coreProperties>
</file>