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right"/>
      </w:pPr>
      <w:r>
        <w:rPr>
          <w:i/>
          <w:iCs/>
          <w:color w:val="999999"/>
          <w:sz w:val="18"/>
          <w:szCs w:val="18"/>
        </w:rPr>
        <w:t xml:space="preserve">CONFIDENTIAL</w:t>
      </w:r>
    </w:p>
    <w:p>
      <w:pPr>
        <w:pStyle w:val="Title"/>
        <w:spacing w:before="800"/>
      </w:pPr>
      <w:r>
        <w:t xml:space="preserve">S-Engine</w:t>
      </w:r>
    </w:p>
    <w:p>
      <w:pPr>
        <w:pStyle w:val="Subtitle"/>
      </w:pPr>
      <w:r>
        <w:t xml:space="preserve">Development Vision Document</w:t>
      </w:r>
    </w:p>
    <w:p>
      <w:pPr>
        <w:spacing w:after="600"/>
        <w:jc w:val="center"/>
      </w:pPr>
      <w:r>
        <w:rPr>
          <w:color w:val="e94560"/>
          <w:sz w:val="20"/>
          <w:szCs w:val="20"/>
        </w:rPr>
        <w:t xml:space="preserve">NDA Required for Full Technical Disclosure</w:t>
      </w:r>
    </w:p>
    <w:p>
      <w:pPr>
        <w:pStyle w:val="Quote"/>
        <w:spacing w:before="400"/>
      </w:pPr>
      <w:r>
        <w:t xml:space="preserve">"What if the implementation you imagined doesn't exist?"</w:t>
      </w:r>
    </w:p>
    <w:p>
      <w:pPr>
        <w:pStyle w:val="Heading1"/>
      </w:pPr>
      <w:r>
        <w:t xml:space="preserve">1. Verified Results</w:t>
      </w:r>
    </w:p>
    <w:p>
      <w:pPr>
        <w:pStyle w:val="BodyText"/>
      </w:pPr>
      <w:r>
        <w:t xml:space="preserve">S-Engine has been validated through working prototypes:</w:t>
      </w:r>
    </w:p>
    <w:p>
      <w:pPr>
        <w:pStyle w:val="BodyText"/>
        <w:ind w:left="720"/>
      </w:pPr>
      <w:r>
        <w:rPr>
          <w:color w:val="e94560"/>
        </w:rPr>
        <w:t xml:space="preserve">• </w:t>
      </w:r>
      <w:r>
        <w:t xml:space="preserve">Martial Arts Combat Simulator — Real-time battle calculations</w:t>
      </w:r>
    </w:p>
    <w:p>
      <w:pPr>
        <w:pStyle w:val="BodyText"/>
        <w:ind w:left="720"/>
      </w:pPr>
      <w:r>
        <w:rPr>
          <w:color w:val="e94560"/>
        </w:rPr>
        <w:t xml:space="preserve">• </w:t>
      </w:r>
      <w:r>
        <w:t xml:space="preserve">Character Growth Engine — Consistent progression mechanics</w:t>
      </w:r>
    </w:p>
    <w:p>
      <w:pPr>
        <w:pStyle w:val="BodyText"/>
        <w:ind w:left="720"/>
      </w:pPr>
      <w:r>
        <w:rPr>
          <w:color w:val="e94560"/>
        </w:rPr>
        <w:t xml:space="preserve">• </w:t>
      </w:r>
      <w:r>
        <w:t xml:space="preserve">Cross-Model Reproducibility — Identical results across GPT, Claude, Gemini</w:t>
      </w:r>
    </w:p>
    <w:p>
      <w:pPr>
        <w:pStyle w:val="Heading1"/>
      </w:pPr>
      <w:r>
        <w:t xml:space="preserve">2. The Cost Structure Revolution</w:t>
      </w:r>
    </w:p>
    <w:p>
      <w:pPr>
        <w:pStyle w:val="BodyText"/>
      </w:pPr>
      <w:r>
        <w:t xml:space="preserve">The core discovery challenges fundamental assumptions about industrial AI:</w:t>
      </w:r>
    </w:p>
    <w:p>
      <w:pPr>
        <w:pStyle w:val="Quote"/>
      </w:pPr>
      <w:r>
        <w:t xml:space="preserve">"LLMs already know. They just lack the boot framework."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Traditional Approach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S-Engine Approach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 collection + Fine-tuning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Natural language rule assembly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Months to years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Days to weeks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Re-investment per domain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Structure reusable</w:t>
            </w:r>
          </w:p>
        </w:tc>
      </w:tr>
    </w:tbl>
    <w:p>
      <w:pPr>
        <w:pStyle w:val="Heading1"/>
        <w:spacing w:before="500"/>
      </w:pPr>
      <w:r>
        <w:t xml:space="preserve">3. Expandable Domains</w:t>
      </w:r>
    </w:p>
    <w:p>
      <w:pPr>
        <w:pStyle w:val="BodyText"/>
      </w:pPr>
      <w:r>
        <w:t xml:space="preserve">S-Engine's architecture enables immediate application across: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13e"/>
                <w:sz w:val="22"/>
                <w:szCs w:val="22"/>
              </w:rPr>
              <w:t xml:space="preserve">Healthcare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Symptom → Diagnosis flow with real-time drug response tracking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13e"/>
                <w:sz w:val="22"/>
                <w:szCs w:val="22"/>
              </w:rPr>
              <w:t xml:space="preserve">Legal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Case analysis → Precedent matching → Strategy simulation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13e"/>
                <w:sz w:val="22"/>
                <w:szCs w:val="22"/>
              </w:rPr>
              <w:t xml:space="preserve">Education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Student assessment → Personalized learning path generation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13e"/>
                <w:sz w:val="22"/>
                <w:szCs w:val="22"/>
              </w:rPr>
              <w:t xml:space="preserve">Finance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Risk mapping → Portfolio optimization with behavior prediction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13e"/>
                <w:sz w:val="22"/>
                <w:szCs w:val="22"/>
              </w:rPr>
              <w:t xml:space="preserve">Creative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Character consistency engine with emotion-scene synchronization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What You Receive After Agreement</w:t>
      </w:r>
    </w:p>
    <w:p>
      <w:pPr>
        <w:pStyle w:val="BodyText"/>
        <w:spacing w:after="200"/>
      </w:pPr>
      <w:r>
        <w:t xml:space="preserve">Upon contract execution, the following technical assets are provided:</w:t>
      </w:r>
    </w:p>
    <w:p>
      <w:pPr>
        <w:pStyle w:val="Heading2"/>
      </w:pPr>
      <w:r>
        <w:t xml:space="preserve">Technical Whitepaper v3.0</w:t>
      </w:r>
    </w:p>
    <w:p>
      <w:pPr>
        <w:pStyle w:val="BodyText"/>
        <w:ind w:left="360"/>
      </w:pPr>
      <w:r>
        <w:t xml:space="preserve">Complete documentation of </w:t>
      </w:r>
      <w:r>
        <w:rPr>
          <w:b/>
          <w:bCs/>
          <w:color w:val="e94560"/>
        </w:rPr>
        <w:t xml:space="preserve">HOW</w:t>
      </w:r>
      <w:r>
        <w:t xml:space="preserve"> S-Engine works and </w:t>
      </w:r>
      <w:r>
        <w:rPr>
          <w:b/>
          <w:bCs/>
          <w:color w:val="e94560"/>
        </w:rPr>
        <w:t xml:space="preserve">WHY</w:t>
      </w:r>
      <w:r>
        <w:t xml:space="preserve"> it works.</w:t>
      </w:r>
    </w:p>
    <w:p>
      <w:pPr>
        <w:pStyle w:val="BodyText"/>
        <w:ind w:left="360"/>
      </w:pPr>
      <w:r>
        <w:rPr>
          <w:i/>
          <w:iCs/>
          <w:color w:val="666666"/>
        </w:rPr>
        <w:t xml:space="preserve">"After reading this, you will understand why no code was necessary."</w:t>
      </w:r>
    </w:p>
    <w:p>
      <w:pPr>
        <w:pStyle w:val="Heading2"/>
      </w:pPr>
      <w:r>
        <w:t xml:space="preserve">NCM Framework Specification</w:t>
      </w:r>
    </w:p>
    <w:p>
      <w:pPr>
        <w:pStyle w:val="BodyText"/>
        <w:ind w:left="360"/>
      </w:pPr>
      <w:r>
        <w:t xml:space="preserve">Narrative Cognitive Module — The 5-stage professional thinking algorithm template applicable to any domain.</w:t>
      </w:r>
    </w:p>
    <w:p>
      <w:pPr>
        <w:pStyle w:val="Heading2"/>
      </w:pPr>
      <w:r>
        <w:t xml:space="preserve">NLPg 1.0 Specification (Roadmap)</w:t>
      </w:r>
    </w:p>
    <w:p>
      <w:pPr>
        <w:pStyle w:val="BodyText"/>
        <w:ind w:left="360"/>
      </w:pPr>
      <w:r>
        <w:t xml:space="preserve">Natural Language Programming language specification — Grammar, type system, and execution model.</w:t>
      </w:r>
    </w:p>
    <w:p>
      <w:pPr>
        <w:pStyle w:val="Heading1"/>
        <w:spacing w:before="500"/>
      </w:pPr>
      <w:r>
        <w:t xml:space="preserve">5. NDA Terms</w:t>
      </w:r>
    </w:p>
    <w:p>
      <w:pPr>
        <w:pStyle w:val="BodyText"/>
      </w:pPr>
      <w:r>
        <w:t xml:space="preserve">This vision document is shared under the following conditions:</w:t>
      </w:r>
    </w:p>
    <w:p>
      <w:pPr>
        <w:pStyle w:val="BodyText"/>
        <w:ind w:left="720"/>
      </w:pPr>
      <w:r>
        <w:rPr>
          <w:b/>
          <w:bCs/>
        </w:rPr>
        <w:t xml:space="preserve">1. </w:t>
      </w:r>
      <w:r>
        <w:t xml:space="preserve">Non-disclosure of technical details to third parties</w:t>
      </w:r>
    </w:p>
    <w:p>
      <w:pPr>
        <w:pStyle w:val="BodyText"/>
        <w:ind w:left="720"/>
      </w:pPr>
      <w:r>
        <w:rPr>
          <w:b/>
          <w:bCs/>
        </w:rPr>
        <w:t xml:space="preserve">2. </w:t>
      </w:r>
      <w:r>
        <w:t xml:space="preserve">No reproduction or derivative work without written consent</w:t>
      </w:r>
    </w:p>
    <w:p>
      <w:pPr>
        <w:pStyle w:val="BodyText"/>
        <w:ind w:left="720"/>
      </w:pPr>
      <w:r>
        <w:rPr>
          <w:b/>
          <w:bCs/>
        </w:rPr>
        <w:t xml:space="preserve">3. </w:t>
      </w:r>
      <w:r>
        <w:t xml:space="preserve">Full whitepaper provided only upon formal agreement</w:t>
      </w:r>
    </w:p>
    <w:p>
      <w:pPr>
        <w:pStyle w:val="Quote"/>
        <w:spacing w:before="600"/>
      </w:pPr>
      <w:r>
        <w:t xml:space="preserve">"The simplest implementation is often the most revolutionary."</w:t>
      </w:r>
    </w:p>
    <w:p>
      <w:pPr>
        <w:pStyle w:val="Confidential"/>
        <w:spacing w:before="800"/>
      </w:pPr>
      <w:r>
        <w:t xml:space="preserve">— S-Engine Vision Document v1.0 —</w:t>
      </w:r>
    </w:p>
    <w:p>
      <w:pPr>
        <w:jc w:val="center"/>
      </w:pPr>
      <w:r>
        <w:rPr>
          <w:color w:val="999999"/>
          <w:sz w:val="18"/>
          <w:szCs w:val="18"/>
        </w:rPr>
        <w:t xml:space="preserve">December 2025 | Cho Hyunwoo</w:t>
      </w:r>
    </w:p>
    <w:p>
      <w:pPr>
        <w:spacing w:before="100"/>
        <w:jc w:val="center"/>
      </w:pPr>
      <w:r>
        <w:rPr>
          <w:i/>
          <w:iCs/>
          <w:color w:val="999999"/>
          <w:sz w:val="18"/>
          <w:szCs w:val="18"/>
        </w:rPr>
        <w:t xml:space="preserve">Independent AI Researcher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400" w:after="200"/>
      <w:jc w:val="center"/>
    </w:pPr>
    <w:rPr>
      <w:rFonts w:ascii="Arial" w:cs="Arial" w:eastAsia="Arial" w:hAnsi="Arial"/>
      <w:b/>
      <w:bCs/>
      <w:color w:val="1a1a2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6213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  <w:style w:type="paragraph" w:styleId="Subtitle">
    <w:name w:val="Subtitle"/>
    <w:basedOn w:val="Normal"/>
    <w:pPr>
      <w:spacing w:before="100" w:after="400"/>
      <w:jc w:val="center"/>
    </w:pPr>
    <w:rPr>
      <w:rFonts w:ascii="Arial" w:cs="Arial" w:eastAsia="Arial" w:hAnsi="Arial"/>
      <w:i/>
      <w:iCs/>
      <w:color w:val="4a4a4a"/>
      <w:sz w:val="28"/>
      <w:szCs w:val="28"/>
    </w:rPr>
  </w:style>
  <w:style w:type="paragraph" w:styleId="Quote">
    <w:name w:val="Quote"/>
    <w:basedOn w:val="Normal"/>
    <w:pPr>
      <w:spacing w:before="200" w:after="200"/>
      <w:jc w:val="center"/>
    </w:pPr>
    <w:rPr>
      <w:rFonts w:ascii="Arial" w:cs="Arial" w:eastAsia="Arial" w:hAnsi="Arial"/>
      <w:b/>
      <w:bCs/>
      <w:color w:val="e94560"/>
      <w:sz w:val="28"/>
      <w:szCs w:val="28"/>
    </w:rPr>
  </w:style>
  <w:style w:type="paragraph" w:styleId="BodyText">
    <w:name w:val="Body Text"/>
    <w:basedOn w:val="Normal"/>
    <w:pPr>
      <w:spacing w:before="100" w:after="100" w:line="360"/>
    </w:pPr>
    <w:rPr>
      <w:rFonts w:ascii="Arial" w:cs="Arial" w:eastAsia="Arial" w:hAnsi="Arial"/>
      <w:color w:val="333333"/>
      <w:sz w:val="22"/>
      <w:szCs w:val="22"/>
    </w:rPr>
  </w:style>
  <w:style w:type="paragraph" w:styleId="Confidential">
    <w:name w:val="Confidential"/>
    <w:basedOn w:val="Normal"/>
    <w:pPr>
      <w:spacing w:before="600" w:after="100"/>
      <w:jc w:val="center"/>
    </w:pPr>
    <w:rPr>
      <w:rFonts w:ascii="Arial" w:cs="Arial" w:eastAsia="Arial" w:hAnsi="Arial"/>
      <w:i/>
      <w:iCs/>
      <w:color w:val="99999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2025-12-04T19:58:48.723Z</dcterms:created>
  <dcterms:modified xsi:type="dcterms:W3CDTF">2025-12-04T19:58:48.724Z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