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40CD" w:rsidRDefault="00AF40C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02" w14:textId="77777777" w:rsidR="00AF40CD" w:rsidRDefault="00000000">
      <w:pPr>
        <w:pStyle w:val="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Prompt Protocol - 智能合约产品需求文档 (PRD)</w:t>
      </w:r>
    </w:p>
    <w:p w14:paraId="00000003" w14:textId="77777777" w:rsidR="00AF40CD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全局术语与资产定义</w:t>
      </w:r>
    </w:p>
    <w:p w14:paraId="00000004" w14:textId="77777777" w:rsidR="00AF40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PTC (Prompt Token)</w:t>
      </w:r>
      <w:r>
        <w:rPr>
          <w:rFonts w:ascii="Google Sans" w:eastAsia="Google Sans" w:hAnsi="Google Sans" w:cs="Google Sans"/>
          <w:color w:val="1F1F1F"/>
        </w:rPr>
        <w:t>：平台原生链上代币，采用 ERC-20 标准。</w:t>
      </w:r>
    </w:p>
    <w:p w14:paraId="00000005" w14:textId="77777777" w:rsidR="00AF40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vPTC (Virtual PTC)</w:t>
      </w:r>
      <w:r>
        <w:rPr>
          <w:rFonts w:ascii="Google Sans" w:eastAsia="Google Sans" w:hAnsi="Google Sans" w:cs="Google Sans"/>
          <w:color w:val="1F1F1F"/>
        </w:rPr>
        <w:t>：平台内部分数，作为节点质押的奖励资产，由链下后端系统进行计算、记录与调整。</w:t>
      </w:r>
    </w:p>
    <w:p w14:paraId="00000006" w14:textId="77777777" w:rsidR="00AF40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Prompt NFT</w:t>
      </w:r>
      <w:r>
        <w:rPr>
          <w:rFonts w:ascii="Google Sans" w:eastAsia="Google Sans" w:hAnsi="Google Sans" w:cs="Google Sans"/>
          <w:color w:val="1F1F1F"/>
        </w:rPr>
        <w:t>：平台核心数字资产，采用 ERC-721 标准。</w:t>
      </w:r>
    </w:p>
    <w:p w14:paraId="00000007" w14:textId="77777777" w:rsidR="00AF40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Vault Contract（保险库合约）</w:t>
      </w:r>
      <w:r>
        <w:rPr>
          <w:rFonts w:ascii="Google Sans" w:eastAsia="Google Sans" w:hAnsi="Google Sans" w:cs="Google Sans"/>
          <w:color w:val="1F1F1F"/>
        </w:rPr>
        <w:t>：专用于安全存放 PTC、保障用户提现的链上智能合约。</w:t>
      </w:r>
    </w:p>
    <w:p w14:paraId="00000008" w14:textId="77777777" w:rsidR="00AF40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Node Staking Contract（节点质押合约）</w:t>
      </w:r>
      <w:r>
        <w:rPr>
          <w:rFonts w:ascii="Google Sans" w:eastAsia="Google Sans" w:hAnsi="Google Sans" w:cs="Google Sans"/>
          <w:color w:val="1F1F1F"/>
        </w:rPr>
        <w:t>：核心业务合约，处理 NFT 质押、PTC 扣除及状态流转。</w:t>
      </w:r>
    </w:p>
    <w:p w14:paraId="00000009" w14:textId="77777777" w:rsidR="00AF40CD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Vault（保险库）智能合约设计</w:t>
      </w:r>
    </w:p>
    <w:p w14:paraId="0000000A" w14:textId="77777777" w:rsidR="00AF40CD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合约定义与定位</w:t>
      </w:r>
    </w:p>
    <w:p w14:paraId="0000000B" w14:textId="77777777" w:rsidR="00AF40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Vault 是独立部署的智能合约，充当 PTC 的链上安全储备库。其核心设计原则是“高安全性、资产锁死”，确保除了合规的用户提现行为外，没有任何角色（包括 Admin/Owner）能任意划转其内部的 PTC。</w:t>
      </w:r>
    </w:p>
    <w:p w14:paraId="0000000C" w14:textId="77777777" w:rsidR="00AF40CD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资金流入机制（Inflow）</w:t>
      </w:r>
    </w:p>
    <w:p w14:paraId="0000000D" w14:textId="77777777" w:rsidR="00AF40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合约需支持以下两种 PTC 流入渠道：</w:t>
      </w:r>
    </w:p>
    <w:p w14:paraId="0000000E" w14:textId="77777777" w:rsidR="00AF40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节点激活自动注入</w:t>
      </w:r>
      <w:r>
        <w:rPr>
          <w:rFonts w:ascii="Google Sans" w:eastAsia="Google Sans" w:hAnsi="Google Sans" w:cs="Google Sans"/>
          <w:color w:val="1F1F1F"/>
        </w:rPr>
        <w:t>：当用户在《Node质押合约》中激活节点时，扣除的 10,000 PTC 必须由质押合约自动触发转入 Vault 合约地址。</w:t>
      </w:r>
    </w:p>
    <w:p w14:paraId="0000000F" w14:textId="77777777" w:rsidR="00AF40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中心化注资（公司向/运营补给）</w:t>
      </w:r>
      <w:r>
        <w:rPr>
          <w:rFonts w:ascii="Google Sans" w:eastAsia="Google Sans" w:hAnsi="Google Sans" w:cs="Google Sans"/>
          <w:color w:val="1F1F1F"/>
        </w:rPr>
        <w:t>：支持外部地址（如公司国库钱包、管理员钱包）直接向 Vault 合约转账 PTC，用于补充提现池流动性。合约需暴露标准 deposit 函数或实现 receive()/fallback()。</w:t>
      </w:r>
    </w:p>
    <w:p w14:paraId="00000010" w14:textId="77777777" w:rsidR="00AF40CD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2.3 资金流出机制（Outflow）与权限控制</w:t>
      </w:r>
    </w:p>
    <w:p w14:paraId="00000011" w14:textId="77777777" w:rsidR="00AF40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唯一流出渠道</w:t>
      </w:r>
      <w:r>
        <w:rPr>
          <w:rFonts w:ascii="Google Sans" w:eastAsia="Google Sans" w:hAnsi="Google Sans" w:cs="Google Sans"/>
          <w:color w:val="1F1F1F"/>
        </w:rPr>
        <w:t>：Vault 内的 PTC 释放有且仅有一种方式，即“用户发起提现”。</w:t>
      </w:r>
    </w:p>
    <w:p w14:paraId="00000012" w14:textId="77777777" w:rsidR="00AF40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严格权限锁定</w:t>
      </w:r>
      <w:r>
        <w:rPr>
          <w:rFonts w:ascii="Google Sans" w:eastAsia="Google Sans" w:hAnsi="Google Sans" w:cs="Google Sans"/>
          <w:color w:val="1F1F1F"/>
        </w:rPr>
        <w:t>：拒绝任何形式的管理员划转函数（如无 emergencyWithdraw 给管理员的接口）。确保任何第三方、甚至系统多签管理员，都无权将 PTC 从 Vault 中任意转出。</w:t>
      </w:r>
    </w:p>
    <w:p w14:paraId="00000013" w14:textId="77777777" w:rsidR="00AF40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提现手续费逻辑</w:t>
      </w:r>
      <w:r>
        <w:rPr>
          <w:rFonts w:ascii="Google Sans" w:eastAsia="Google Sans" w:hAnsi="Google Sans" w:cs="Google Sans"/>
          <w:color w:val="1F1F1F"/>
        </w:rPr>
        <w:t xml:space="preserve">：为了配合平台的财务运营模型，当用户发起提现申请并经链下签名验证通过、从 Vault 释放 PTC 时，合约需在提现交易内自动扣除 </w:t>
      </w:r>
      <w:r>
        <w:rPr>
          <w:rFonts w:ascii="Google Sans" w:eastAsia="Google Sans" w:hAnsi="Google Sans" w:cs="Google Sans"/>
          <w:b/>
          <w:bCs/>
          <w:color w:val="1F1F1F"/>
        </w:rPr>
        <w:t>15% 的手续费</w:t>
      </w:r>
      <w:r>
        <w:rPr>
          <w:rFonts w:ascii="Google Sans" w:eastAsia="Google Sans" w:hAnsi="Google Sans" w:cs="Google Sans"/>
          <w:color w:val="1F1F1F"/>
        </w:rPr>
        <w:t>并划转至公司指定的收益账户，剩余 85% 释放给提现用户。该扣费逻辑必须包裹在用户提现的原子交易中，不赋予管理员独立的转账权限。</w:t>
      </w:r>
    </w:p>
    <w:p w14:paraId="00000014" w14:textId="77777777" w:rsidR="00AF40CD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2.4 技术实现建议（供工程师参考）</w:t>
      </w:r>
    </w:p>
    <w:p w14:paraId="00000015" w14:textId="77777777" w:rsidR="00AF40C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提现校验</w:t>
      </w:r>
      <w:r>
        <w:rPr>
          <w:rFonts w:ascii="Google Sans" w:eastAsia="Google Sans" w:hAnsi="Google Sans" w:cs="Google Sans"/>
          <w:color w:val="1F1F1F"/>
        </w:rPr>
        <w:t xml:space="preserve">：建议采用 </w:t>
      </w:r>
      <w:r>
        <w:rPr>
          <w:rFonts w:ascii="Google Sans" w:eastAsia="Google Sans" w:hAnsi="Google Sans" w:cs="Google Sans"/>
          <w:b/>
          <w:bCs/>
          <w:color w:val="1F1F1F"/>
        </w:rPr>
        <w:t>ECDSA 签名校验（EIP-712 标准）</w:t>
      </w:r>
      <w:r>
        <w:rPr>
          <w:rFonts w:ascii="Google Sans" w:eastAsia="Google Sans" w:hAnsi="Google Sans" w:cs="Google Sans"/>
          <w:color w:val="1F1F1F"/>
        </w:rPr>
        <w:t>。用户在前端发起提现，后端对可提现额度进行校验并生成加密签名，用户携带签名调用 Vault 的 withdraw 接口，合约校验签名有效性及防止重放攻击（Nonce 机制）后释放代币。</w:t>
      </w:r>
    </w:p>
    <w:p w14:paraId="00000016" w14:textId="77777777" w:rsidR="00AF40C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接口与事件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17" w14:textId="77777777" w:rsidR="00AF40C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event PTCDeposited(address indexed sender, uint256 amount, uint256 timestamp);</w:t>
      </w:r>
    </w:p>
    <w:p w14:paraId="00000018" w14:textId="77777777" w:rsidR="00AF40C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event PTCWithdrawn(address indexed user, uint256 totalAmount, uint256 userReceived, uint256 feeAmount, uint256 timestamp);</w:t>
      </w:r>
    </w:p>
    <w:p w14:paraId="00000019" w14:textId="77777777" w:rsidR="00AF40CD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Node（节点）质押智能合约设计</w:t>
      </w:r>
    </w:p>
    <w:p w14:paraId="0000001A" w14:textId="77777777" w:rsidR="00AF40CD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合约定义与定位</w:t>
      </w:r>
    </w:p>
    <w:p w14:paraId="0000001B" w14:textId="77777777" w:rsidR="00AF40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用户通过锁仓资产来激活网络节点的业务合约。用户需要同时投入“1 个 Prompt NFT”与“10,000 PTC”以开启为期一年的产出周期。</w:t>
      </w:r>
    </w:p>
    <w:p w14:paraId="0000001C" w14:textId="77777777" w:rsidR="00AF40CD" w:rsidRDefault="00000000">
      <w:pPr>
        <w:pStyle w:val="3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核心功能需求</w:t>
      </w:r>
    </w:p>
    <w:p w14:paraId="0000001D" w14:textId="77777777" w:rsidR="00AF40CD" w:rsidRDefault="00000000">
      <w:pPr>
        <w:pStyle w:val="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3.2.1 质押功能（Staking Logic）</w:t>
      </w:r>
    </w:p>
    <w:p w14:paraId="0000001E" w14:textId="77777777" w:rsidR="00AF40C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入参条件</w:t>
      </w:r>
      <w:r>
        <w:rPr>
          <w:rFonts w:ascii="Google Sans" w:eastAsia="Google Sans" w:hAnsi="Google Sans" w:cs="Google Sans"/>
          <w:color w:val="1F1F1F"/>
        </w:rPr>
        <w:t>：用户调用质押接口时，需同时授权（Approve）并转入：</w:t>
      </w:r>
    </w:p>
    <w:p w14:paraId="0000001F" w14:textId="77777777" w:rsidR="00AF40C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1 个特定的 Prompt NFT (ERC-721)</w:t>
      </w:r>
    </w:p>
    <w:p w14:paraId="00000020" w14:textId="77777777" w:rsidR="00AF40CD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10,000 PTC (ERC-20)</w:t>
      </w:r>
    </w:p>
    <w:p w14:paraId="00000021" w14:textId="77777777" w:rsidR="00AF40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   以上描述的内容是针对 1 个 Node，如果多个 Node，就乘以对应的数量。</w:t>
      </w:r>
    </w:p>
    <w:p w14:paraId="00000022" w14:textId="77777777" w:rsidR="00AF40C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锁仓限制（硬性约束）</w:t>
      </w:r>
      <w:r>
        <w:rPr>
          <w:rFonts w:ascii="Google Sans" w:eastAsia="Google Sans" w:hAnsi="Google Sans" w:cs="Google Sans"/>
          <w:color w:val="1F1F1F"/>
        </w:rPr>
        <w:t>：</w:t>
      </w:r>
    </w:p>
    <w:p w14:paraId="00000023" w14:textId="77777777" w:rsidR="00AF40CD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NFT 进入质押状态后，将被安全锁定在质押合约中。</w:t>
      </w:r>
    </w:p>
    <w:p w14:paraId="00000024" w14:textId="77777777" w:rsidR="00AF40CD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用户在质押期间不具备自主解质押（Unstake）的权限</w:t>
      </w:r>
      <w:r>
        <w:rPr>
          <w:rFonts w:ascii="Google Sans" w:eastAsia="Google Sans" w:hAnsi="Google Sans" w:cs="Google Sans"/>
          <w:color w:val="1F1F1F"/>
        </w:rPr>
        <w:t>，合约不提供中途退出的接口。</w:t>
      </w:r>
    </w:p>
    <w:p w14:paraId="00000025" w14:textId="77777777" w:rsidR="00AF40C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到期自动解锁</w:t>
      </w:r>
      <w:r>
        <w:rPr>
          <w:rFonts w:ascii="Google Sans" w:eastAsia="Google Sans" w:hAnsi="Google Sans" w:cs="Google Sans"/>
          <w:color w:val="1F1F1F"/>
        </w:rPr>
        <w:t xml:space="preserve">：质押周期严格设定为 </w:t>
      </w:r>
      <w:r>
        <w:rPr>
          <w:rFonts w:ascii="Google Sans" w:eastAsia="Google Sans" w:hAnsi="Google Sans" w:cs="Google Sans"/>
          <w:b/>
          <w:bCs/>
          <w:color w:val="1F1F1F"/>
        </w:rPr>
        <w:t>1 年（365 天）</w:t>
      </w:r>
      <w:r>
        <w:rPr>
          <w:rFonts w:ascii="Google Sans" w:eastAsia="Google Sans" w:hAnsi="Google Sans" w:cs="Google Sans"/>
          <w:color w:val="1F1F1F"/>
        </w:rPr>
        <w:t>。必须在满 365 天后，合约才允许释放（解锁）该 NFT。用户或前端在到期后调用解锁接口，合约验证时间戳通过后，自动将 NFT 退回用户钱包。</w:t>
      </w:r>
    </w:p>
    <w:p w14:paraId="00000026" w14:textId="77777777" w:rsidR="00AF40CD" w:rsidRDefault="00000000">
      <w:pPr>
        <w:pStyle w:val="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3.2.2 扣除 PTC 功能</w:t>
      </w:r>
    </w:p>
    <w:p w14:paraId="00000027" w14:textId="77777777" w:rsidR="00AF40C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当用户执行 stake 操作时，合约通过 transferFrom 扣除用户钱包内的 10,000 PTC。</w:t>
      </w:r>
    </w:p>
    <w:p w14:paraId="00000028" w14:textId="7D35382B" w:rsidR="00AF40C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去向追踪</w:t>
      </w:r>
      <w:r>
        <w:rPr>
          <w:rFonts w:ascii="Google Sans" w:eastAsia="Google Sans" w:hAnsi="Google Sans" w:cs="Google Sans"/>
          <w:color w:val="1F1F1F"/>
        </w:rPr>
        <w:t xml:space="preserve">：扣除的 10,000 PTC 必须在同笔交易中，直接转入上述的 </w:t>
      </w:r>
      <w:r>
        <w:rPr>
          <w:rFonts w:ascii="Google Sans" w:eastAsia="Google Sans" w:hAnsi="Google Sans" w:cs="Google Sans"/>
          <w:b/>
          <w:bCs/>
          <w:color w:val="1F1F1F"/>
        </w:rPr>
        <w:t>Vault（保险库）合约</w:t>
      </w:r>
      <w:r>
        <w:rPr>
          <w:rFonts w:ascii="Google Sans" w:eastAsia="Google Sans" w:hAnsi="Google Sans" w:cs="Google Sans"/>
          <w:color w:val="1F1F1F"/>
        </w:rPr>
        <w:t>中，不得在质押合约内留存。</w:t>
      </w:r>
      <w:r w:rsidR="008B1E8D">
        <w:rPr>
          <w:rFonts w:ascii="宋体" w:eastAsia="宋体" w:hAnsi="宋体" w:cs="宋体" w:hint="eastAsia"/>
          <w:color w:val="1F1F1F"/>
        </w:rPr>
        <w:t>（地址可设置）</w:t>
      </w:r>
    </w:p>
    <w:p w14:paraId="00000029" w14:textId="77777777" w:rsidR="00AF40CD" w:rsidRDefault="00000000">
      <w:pPr>
        <w:pStyle w:val="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3.2.3 NFT 标记功能（Tagging）</w:t>
      </w:r>
    </w:p>
    <w:p w14:paraId="0000002A" w14:textId="77777777" w:rsidR="00AF40C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永久标记</w:t>
      </w:r>
      <w:r>
        <w:rPr>
          <w:rFonts w:ascii="Google Sans" w:eastAsia="Google Sans" w:hAnsi="Google Sans" w:cs="Google Sans"/>
          <w:color w:val="1F1F1F"/>
        </w:rPr>
        <w:t>：一旦某个 Prompt NFT 参与过质押（无论当前处于“质押中”还是“已到期解质押”），该 NFT 在合约底层必须被永久打上一个 hasBeenStaked = true 的布尔值标记。</w:t>
      </w:r>
    </w:p>
    <w:p w14:paraId="0000002B" w14:textId="77777777" w:rsidR="00AF40C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作用</w:t>
      </w:r>
      <w:r>
        <w:rPr>
          <w:rFonts w:ascii="Google Sans" w:eastAsia="Google Sans" w:hAnsi="Google Sans" w:cs="Google Sans"/>
          <w:color w:val="1F1F1F"/>
        </w:rPr>
        <w:t>：该标记需公开可查，用于防范同一个 NFT 被循环用于初始高额奖励刺激（或作为后续业务的权益分级依据）。</w:t>
      </w:r>
    </w:p>
    <w:p w14:paraId="0000002C" w14:textId="77777777" w:rsidR="00AF40CD" w:rsidRDefault="00000000">
      <w:pPr>
        <w:pStyle w:val="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3.2.4 信息交互与查询接口</w:t>
      </w:r>
    </w:p>
    <w:p w14:paraId="0000002D" w14:textId="77777777" w:rsidR="00AF40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合约需向前后端提供完备的数据只读接口（View Functions）：</w:t>
      </w:r>
    </w:p>
    <w:p w14:paraId="0000002E" w14:textId="77777777" w:rsidR="00AF40C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查询指定用户当前所有在质押中的 NFT Token ID 列表及各节点的到期时间戳。</w:t>
      </w:r>
    </w:p>
    <w:p w14:paraId="0000002F" w14:textId="77777777" w:rsidR="00AF40C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查询指定 Token ID 的 NFT 是否被打上“质押过”的标记（isStakedMarked(uint256 tokenId) -&gt; bool）。</w:t>
      </w:r>
    </w:p>
    <w:p w14:paraId="00000030" w14:textId="77777777" w:rsidR="00AF40C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标准事件抛出，便于 Graph/后端节点进行数据索引：</w:t>
      </w:r>
    </w:p>
    <w:p w14:paraId="00000031" w14:textId="77777777" w:rsidR="00AF40CD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event NodeStaked(address indexed user, uint256 indexed tokenId, uint256 startTime, uint256 endTime);</w:t>
      </w:r>
    </w:p>
    <w:p w14:paraId="00000032" w14:textId="77777777" w:rsidR="00AF40CD" w:rsidRPr="004D051C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event NodeUnstaked(address indexed user, uint256 indexed tokenId, uint256 timestamp);</w:t>
      </w:r>
    </w:p>
    <w:p w14:paraId="04ADDC38" w14:textId="67B810D1" w:rsidR="004D051C" w:rsidRDefault="004D051C" w:rsidP="004D051C">
      <w:pPr>
        <w:pStyle w:val="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3.2.3 </w:t>
      </w:r>
      <w:r>
        <w:rPr>
          <w:rFonts w:ascii="宋体" w:eastAsia="宋体" w:hAnsi="宋体" w:cs="宋体" w:hint="eastAsia"/>
          <w:color w:val="1F1F1F"/>
        </w:rPr>
        <w:t>白名单</w:t>
      </w:r>
      <w:r>
        <w:rPr>
          <w:rFonts w:ascii="Google Sans" w:eastAsia="Google Sans" w:hAnsi="Google Sans" w:cs="Google Sans"/>
          <w:color w:val="1F1F1F"/>
        </w:rPr>
        <w:t>功能</w:t>
      </w:r>
    </w:p>
    <w:p w14:paraId="4C371C83" w14:textId="77777777" w:rsidR="004D051C" w:rsidRDefault="004D051C" w:rsidP="004D051C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hint="eastAsia"/>
        </w:rPr>
        <w:t>管理员可设置</w:t>
      </w:r>
      <w:r>
        <w:rPr>
          <w:rFonts w:hint="eastAsia"/>
        </w:rPr>
        <w:t>NFT</w:t>
      </w:r>
      <w:r>
        <w:rPr>
          <w:rFonts w:hint="eastAsia"/>
        </w:rPr>
        <w:t>白名单，白名单中的</w:t>
      </w:r>
      <w:r>
        <w:rPr>
          <w:rFonts w:hint="eastAsia"/>
        </w:rPr>
        <w:t>NFT</w:t>
      </w:r>
      <w:r>
        <w:rPr>
          <w:rFonts w:hint="eastAsia"/>
        </w:rPr>
        <w:t>，在质押的时候不需要交</w:t>
      </w:r>
      <w:r>
        <w:rPr>
          <w:rFonts w:hint="eastAsia"/>
        </w:rPr>
        <w:t>ptc</w:t>
      </w:r>
      <w:r>
        <w:rPr>
          <w:rFonts w:hint="eastAsia"/>
        </w:rPr>
        <w:t>。</w:t>
      </w:r>
    </w:p>
    <w:p w14:paraId="09EDB2A0" w14:textId="58F0A7F8" w:rsidR="00920941" w:rsidRDefault="00920941" w:rsidP="00920941">
      <w:pPr>
        <w:pStyle w:val="4"/>
        <w:spacing w:before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3.2.3 </w:t>
      </w:r>
      <w:r>
        <w:rPr>
          <w:rFonts w:ascii="宋体" w:eastAsia="宋体" w:hAnsi="宋体" w:cs="宋体" w:hint="eastAsia"/>
          <w:color w:val="1F1F1F"/>
        </w:rPr>
        <w:t>批量质押</w:t>
      </w:r>
      <w:r>
        <w:rPr>
          <w:rFonts w:ascii="Google Sans" w:eastAsia="Google Sans" w:hAnsi="Google Sans" w:cs="Google Sans"/>
          <w:color w:val="1F1F1F"/>
        </w:rPr>
        <w:t>功能</w:t>
      </w:r>
    </w:p>
    <w:p w14:paraId="06860382" w14:textId="23209782" w:rsidR="00920941" w:rsidRPr="00920941" w:rsidRDefault="00920941" w:rsidP="004D05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hint="eastAsia"/>
        </w:rPr>
      </w:pPr>
      <w:r>
        <w:rPr>
          <w:rFonts w:hint="eastAsia"/>
        </w:rPr>
        <w:t>用户可一次可通</w:t>
      </w:r>
      <w:r>
        <w:rPr>
          <w:rFonts w:hint="eastAsia"/>
        </w:rPr>
        <w:t>N</w:t>
      </w:r>
      <w:r>
        <w:rPr>
          <w:rFonts w:hint="eastAsia"/>
        </w:rPr>
        <w:t>个节点。</w:t>
      </w:r>
    </w:p>
    <w:p w14:paraId="262F6E79" w14:textId="77777777" w:rsidR="004D051C" w:rsidRPr="004D051C" w:rsidRDefault="004D051C" w:rsidP="004D051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40"/>
        <w:rPr>
          <w:rFonts w:hint="eastAsia"/>
        </w:rPr>
      </w:pPr>
    </w:p>
    <w:p w14:paraId="00000033" w14:textId="669343AF" w:rsidR="00AF40CD" w:rsidRDefault="00000000">
      <w:pPr>
        <w:pStyle w:val="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收益结算说明</w:t>
      </w:r>
    </w:p>
    <w:p w14:paraId="00000034" w14:textId="77777777" w:rsidR="00AF40C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链下计算原则</w:t>
      </w:r>
      <w:r>
        <w:rPr>
          <w:rFonts w:ascii="Google Sans" w:eastAsia="Google Sans" w:hAnsi="Google Sans" w:cs="Google Sans"/>
          <w:color w:val="1F1F1F"/>
        </w:rPr>
        <w:t>：本智能合约</w:t>
      </w:r>
      <w:r>
        <w:rPr>
          <w:rFonts w:ascii="Google Sans" w:eastAsia="Google Sans" w:hAnsi="Google Sans" w:cs="Google Sans"/>
          <w:b/>
          <w:bCs/>
          <w:color w:val="1F1F1F"/>
        </w:rPr>
        <w:t>不负责</w:t>
      </w:r>
      <w:r>
        <w:rPr>
          <w:rFonts w:ascii="Google Sans" w:eastAsia="Google Sans" w:hAnsi="Google Sans" w:cs="Google Sans"/>
          <w:color w:val="1F1F1F"/>
        </w:rPr>
        <w:t>任何 vPTC 收益的链上线性释放计算或累加逻辑。</w:t>
      </w:r>
    </w:p>
    <w:p w14:paraId="00000035" w14:textId="77777777" w:rsidR="00AF40CD" w:rsidRPr="003070B7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业务设计预期</w:t>
      </w:r>
      <w:r>
        <w:rPr>
          <w:rFonts w:ascii="Google Sans" w:eastAsia="Google Sans" w:hAnsi="Google Sans" w:cs="Google Sans"/>
          <w:color w:val="1F1F1F"/>
        </w:rPr>
        <w:t xml:space="preserve">：用户质押后，预期在一年内获得 </w:t>
      </w:r>
      <w:r>
        <w:rPr>
          <w:rFonts w:ascii="Google Sans" w:eastAsia="Google Sans" w:hAnsi="Google Sans" w:cs="Google Sans"/>
          <w:b/>
          <w:bCs/>
          <w:color w:val="1F1F1F"/>
        </w:rPr>
        <w:t>24,000 - 36,000 vPTC</w:t>
      </w:r>
      <w:r>
        <w:rPr>
          <w:rFonts w:ascii="Google Sans" w:eastAsia="Google Sans" w:hAnsi="Google Sans" w:cs="Google Sans"/>
          <w:color w:val="1F1F1F"/>
        </w:rPr>
        <w:t xml:space="preserve"> 的总奖励。为确保平台运营的灵活性（如未来根据全网算力、动态加权或活动进行调整），所有的收益发放、产出速率计算均由后端系统（链下）独立跑批并记录。合约层仅需做好上述的资产锁仓和状态流转。</w:t>
      </w:r>
    </w:p>
    <w:sectPr w:rsidR="00AF40CD" w:rsidRPr="003070B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7B6FC" w14:textId="77777777" w:rsidR="008B34D1" w:rsidRDefault="008B34D1" w:rsidP="00EC178B">
      <w:r>
        <w:separator/>
      </w:r>
    </w:p>
  </w:endnote>
  <w:endnote w:type="continuationSeparator" w:id="0">
    <w:p w14:paraId="5410C446" w14:textId="77777777" w:rsidR="008B34D1" w:rsidRDefault="008B34D1" w:rsidP="00EC1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AD2554-0C33-4737-89BC-5899312E22DB}"/>
  </w:font>
  <w:font w:name="Google Sans">
    <w:charset w:val="00"/>
    <w:family w:val="auto"/>
    <w:pitch w:val="default"/>
    <w:embedRegular r:id="rId2" w:fontKey="{F637247A-A876-44E2-B8B6-B14D39BF2A4B}"/>
    <w:embedBold r:id="rId3" w:fontKey="{903C6FFA-24B2-428D-A496-277C8316D3D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52B6B19-2D5B-4148-B474-575990302E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BB1F33F-63CF-4AC9-9197-FBFB3EA62A5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249CC" w14:textId="77777777" w:rsidR="008B34D1" w:rsidRDefault="008B34D1" w:rsidP="00EC178B">
      <w:r>
        <w:separator/>
      </w:r>
    </w:p>
  </w:footnote>
  <w:footnote w:type="continuationSeparator" w:id="0">
    <w:p w14:paraId="283447F2" w14:textId="77777777" w:rsidR="008B34D1" w:rsidRDefault="008B34D1" w:rsidP="00EC17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7CD"/>
    <w:multiLevelType w:val="multilevel"/>
    <w:tmpl w:val="8F286C1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B87B5C"/>
    <w:multiLevelType w:val="multilevel"/>
    <w:tmpl w:val="B694DD2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DE614C2"/>
    <w:multiLevelType w:val="multilevel"/>
    <w:tmpl w:val="3ACABF9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4B1B5B"/>
    <w:multiLevelType w:val="multilevel"/>
    <w:tmpl w:val="34F2A14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5123059"/>
    <w:multiLevelType w:val="multilevel"/>
    <w:tmpl w:val="E2963B6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F12F7C"/>
    <w:multiLevelType w:val="multilevel"/>
    <w:tmpl w:val="A484D91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C93ECF"/>
    <w:multiLevelType w:val="multilevel"/>
    <w:tmpl w:val="9A761CC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B814973"/>
    <w:multiLevelType w:val="multilevel"/>
    <w:tmpl w:val="FCA008F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8975962"/>
    <w:multiLevelType w:val="multilevel"/>
    <w:tmpl w:val="9CB2CD1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2E96182"/>
    <w:multiLevelType w:val="multilevel"/>
    <w:tmpl w:val="023E69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8E83DDA"/>
    <w:multiLevelType w:val="multilevel"/>
    <w:tmpl w:val="386ACC6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E96229B"/>
    <w:multiLevelType w:val="multilevel"/>
    <w:tmpl w:val="B6C419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FA665B2"/>
    <w:multiLevelType w:val="multilevel"/>
    <w:tmpl w:val="EE6A08C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54805124">
    <w:abstractNumId w:val="12"/>
  </w:num>
  <w:num w:numId="2" w16cid:durableId="1468234325">
    <w:abstractNumId w:val="9"/>
  </w:num>
  <w:num w:numId="3" w16cid:durableId="410931223">
    <w:abstractNumId w:val="5"/>
  </w:num>
  <w:num w:numId="4" w16cid:durableId="1423062760">
    <w:abstractNumId w:val="8"/>
  </w:num>
  <w:num w:numId="5" w16cid:durableId="985938990">
    <w:abstractNumId w:val="1"/>
  </w:num>
  <w:num w:numId="6" w16cid:durableId="2090350163">
    <w:abstractNumId w:val="11"/>
  </w:num>
  <w:num w:numId="7" w16cid:durableId="1041442107">
    <w:abstractNumId w:val="7"/>
  </w:num>
  <w:num w:numId="8" w16cid:durableId="1571697083">
    <w:abstractNumId w:val="0"/>
  </w:num>
  <w:num w:numId="9" w16cid:durableId="1995838928">
    <w:abstractNumId w:val="10"/>
  </w:num>
  <w:num w:numId="10" w16cid:durableId="322319415">
    <w:abstractNumId w:val="4"/>
  </w:num>
  <w:num w:numId="11" w16cid:durableId="624970487">
    <w:abstractNumId w:val="6"/>
  </w:num>
  <w:num w:numId="12" w16cid:durableId="1608273845">
    <w:abstractNumId w:val="3"/>
  </w:num>
  <w:num w:numId="13" w16cid:durableId="1864779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CD"/>
    <w:rsid w:val="00061DCE"/>
    <w:rsid w:val="001F66D0"/>
    <w:rsid w:val="003070B7"/>
    <w:rsid w:val="004D051C"/>
    <w:rsid w:val="0069214D"/>
    <w:rsid w:val="008B1E8D"/>
    <w:rsid w:val="008B34D1"/>
    <w:rsid w:val="00920941"/>
    <w:rsid w:val="00AF40CD"/>
    <w:rsid w:val="00B96627"/>
    <w:rsid w:val="00EC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28BF8"/>
  <w15:docId w15:val="{D2D5AD3C-B7DC-E243-8072-7DCA95E9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EC178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C178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C178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C17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hongyu cao</cp:lastModifiedBy>
  <cp:revision>7</cp:revision>
  <dcterms:created xsi:type="dcterms:W3CDTF">2026-07-12T14:08:00Z</dcterms:created>
  <dcterms:modified xsi:type="dcterms:W3CDTF">2026-07-12T14:11:00Z</dcterms:modified>
</cp:coreProperties>
</file>