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702FD">
      <w:pPr>
        <w:spacing w:after="0" w:line="240" w:lineRule="auto"/>
        <w:jc w:val="both"/>
        <w:rPr>
          <w:rFonts w:ascii="Calibri" w:hAnsi="Calibri" w:eastAsia="宋体" w:cs="Times New Roman"/>
          <w:sz w:val="44"/>
          <w:szCs w:val="44"/>
          <w:highlight w:val="none"/>
          <w14:ligatures w14:val="none"/>
        </w:rPr>
      </w:pPr>
    </w:p>
    <w:p w14:paraId="3489CD7C">
      <w:pPr>
        <w:spacing w:after="0" w:line="240" w:lineRule="auto"/>
        <w:jc w:val="both"/>
        <w:rPr>
          <w:rFonts w:ascii="Calibri" w:hAnsi="Calibri" w:eastAsia="宋体" w:cs="Times New Roman"/>
          <w:sz w:val="44"/>
          <w:szCs w:val="44"/>
          <w:highlight w:val="none"/>
          <w14:ligatures w14:val="none"/>
        </w:rPr>
      </w:pPr>
    </w:p>
    <w:p w14:paraId="0CB16614">
      <w:pPr>
        <w:spacing w:after="0" w:line="240" w:lineRule="auto"/>
        <w:jc w:val="both"/>
        <w:rPr>
          <w:rFonts w:ascii="Calibri" w:hAnsi="Calibri" w:eastAsia="宋体" w:cs="Times New Roman"/>
          <w:sz w:val="44"/>
          <w:szCs w:val="44"/>
          <w:highlight w:val="none"/>
          <w14:ligatures w14:val="none"/>
        </w:rPr>
      </w:pPr>
    </w:p>
    <w:p w14:paraId="64244B68">
      <w:pPr>
        <w:spacing w:after="0" w:line="240" w:lineRule="auto"/>
        <w:jc w:val="both"/>
        <w:rPr>
          <w:rFonts w:ascii="Calibri" w:hAnsi="Calibri" w:eastAsia="宋体" w:cs="Times New Roman"/>
          <w:sz w:val="44"/>
          <w:szCs w:val="44"/>
          <w:highlight w:val="none"/>
          <w14:ligatures w14:val="none"/>
        </w:rPr>
      </w:pPr>
    </w:p>
    <w:p w14:paraId="117F6D0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outlineLvl w:val="9"/>
        <w:rPr>
          <w:rFonts w:hint="eastAsia" w:ascii="华文中宋" w:hAnsi="华文中宋" w:eastAsia="华文中宋" w:cs="华文中宋"/>
          <w:b/>
          <w:bCs/>
          <w:kern w:val="0"/>
          <w:sz w:val="44"/>
          <w:szCs w:val="44"/>
          <w:highlight w:val="none"/>
          <w14:ligatures w14:val="none"/>
        </w:rPr>
      </w:pPr>
      <w:r>
        <w:rPr>
          <w:rFonts w:hint="eastAsia" w:ascii="华文中宋" w:hAnsi="华文中宋" w:eastAsia="华文中宋" w:cs="华文中宋"/>
          <w:b/>
          <w:bCs/>
          <w:kern w:val="0"/>
          <w:sz w:val="44"/>
          <w:szCs w:val="44"/>
          <w:highlight w:val="none"/>
          <w:lang w:val="en-US" w:eastAsia="zh-CN"/>
          <w14:ligatures w14:val="none"/>
        </w:rPr>
        <w:t>中国移动广东公司</w:t>
      </w:r>
      <w:r>
        <w:rPr>
          <w:rFonts w:hint="eastAsia" w:ascii="华文中宋" w:hAnsi="华文中宋" w:eastAsia="华文中宋" w:cs="华文中宋"/>
          <w:b/>
          <w:bCs/>
          <w:kern w:val="0"/>
          <w:sz w:val="44"/>
          <w:szCs w:val="44"/>
          <w:highlight w:val="none"/>
          <w14:ligatures w14:val="none"/>
        </w:rPr>
        <w:t>网络运行安全保障体系</w:t>
      </w:r>
      <w:r>
        <w:rPr>
          <w:rFonts w:hint="eastAsia" w:ascii="华文中宋" w:hAnsi="华文中宋" w:eastAsia="华文中宋"/>
          <w:b/>
          <w:bCs/>
          <w:color w:val="auto"/>
          <w:sz w:val="44"/>
          <w:szCs w:val="44"/>
          <w:highlight w:val="none"/>
          <w:lang w:val="en-US" w:eastAsia="zh-CN"/>
        </w:rPr>
        <w:t>实施细则</w:t>
      </w:r>
    </w:p>
    <w:p w14:paraId="47E0F4C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outlineLvl w:val="9"/>
        <w:rPr>
          <w:rFonts w:hint="eastAsia" w:ascii="华文中宋" w:hAnsi="华文中宋" w:eastAsia="华文中宋" w:cs="华文中宋"/>
          <w:b/>
          <w:bCs/>
          <w:kern w:val="0"/>
          <w:sz w:val="44"/>
          <w:szCs w:val="44"/>
          <w:highlight w:val="none"/>
          <w14:ligatures w14:val="none"/>
        </w:rPr>
      </w:pPr>
      <w:r>
        <w:rPr>
          <w:rFonts w:hint="eastAsia" w:ascii="华文中宋" w:hAnsi="华文中宋" w:eastAsia="华文中宋" w:cs="华文中宋"/>
          <w:b/>
          <w:bCs/>
          <w:kern w:val="0"/>
          <w:sz w:val="44"/>
          <w:szCs w:val="44"/>
          <w:highlight w:val="none"/>
          <w14:ligatures w14:val="none"/>
        </w:rPr>
        <w:t>(2025版)</w:t>
      </w:r>
    </w:p>
    <w:p w14:paraId="5FD56631">
      <w:pPr>
        <w:spacing w:after="0" w:line="240" w:lineRule="auto"/>
        <w:ind w:firstLine="560"/>
        <w:jc w:val="center"/>
        <w:rPr>
          <w:rFonts w:hint="eastAsia" w:ascii="仿宋_GB2312" w:hAnsi="楷体" w:eastAsia="宋体" w:cs="仿宋_GB2312"/>
          <w:b/>
          <w:sz w:val="44"/>
          <w:szCs w:val="44"/>
          <w:highlight w:val="none"/>
          <w14:ligatures w14:val="none"/>
        </w:rPr>
      </w:pPr>
    </w:p>
    <w:p w14:paraId="46FF2161">
      <w:pPr>
        <w:spacing w:after="0" w:line="360" w:lineRule="auto"/>
        <w:jc w:val="center"/>
        <w:outlineLvl w:val="9"/>
        <w:rPr>
          <w:rFonts w:hint="eastAsia" w:ascii="华文中宋" w:hAnsi="华文中宋" w:eastAsia="华文中宋" w:cs="华文中宋"/>
          <w:b/>
          <w:bCs/>
          <w:kern w:val="0"/>
          <w:sz w:val="44"/>
          <w:szCs w:val="44"/>
          <w:highlight w:val="none"/>
          <w:lang w:val="en-US" w:eastAsia="zh-CN"/>
          <w14:ligatures w14:val="none"/>
        </w:rPr>
      </w:pPr>
      <w:r>
        <w:rPr>
          <w:rFonts w:hint="eastAsia" w:ascii="华文中宋" w:hAnsi="华文中宋" w:eastAsia="华文中宋" w:cs="华文中宋"/>
          <w:b/>
          <w:bCs/>
          <w:kern w:val="0"/>
          <w:sz w:val="44"/>
          <w:szCs w:val="44"/>
          <w:highlight w:val="none"/>
          <w14:ligatures w14:val="none"/>
        </w:rPr>
        <w:t>第三分册</w:t>
      </w:r>
      <w:bookmarkStart w:id="4" w:name="_GoBack"/>
      <w:bookmarkEnd w:id="4"/>
      <w:r>
        <w:rPr>
          <w:rFonts w:hint="eastAsia" w:ascii="华文中宋" w:hAnsi="华文中宋" w:eastAsia="华文中宋" w:cs="华文中宋"/>
          <w:b/>
          <w:bCs/>
          <w:kern w:val="0"/>
          <w:sz w:val="44"/>
          <w:szCs w:val="44"/>
          <w:highlight w:val="none"/>
          <w14:ligatures w14:val="none"/>
        </w:rPr>
        <w:t>：风险隐患</w:t>
      </w:r>
      <w:r>
        <w:rPr>
          <w:rFonts w:hint="eastAsia" w:ascii="华文中宋" w:hAnsi="华文中宋" w:eastAsia="华文中宋" w:cs="华文中宋"/>
          <w:b/>
          <w:bCs/>
          <w:kern w:val="0"/>
          <w:sz w:val="44"/>
          <w:szCs w:val="44"/>
          <w:highlight w:val="none"/>
          <w:lang w:val="en-US" w:eastAsia="zh-CN"/>
          <w14:ligatures w14:val="none"/>
        </w:rPr>
        <w:t>管理</w:t>
      </w:r>
    </w:p>
    <w:p w14:paraId="6C53BDD8">
      <w:pPr>
        <w:spacing w:after="0" w:line="240" w:lineRule="auto"/>
        <w:jc w:val="center"/>
        <w:rPr>
          <w:rFonts w:hint="eastAsia" w:ascii="仿宋_GB2312" w:hAnsi="楷体" w:eastAsia="宋体" w:cs="仿宋_GB2312"/>
          <w:b/>
          <w:sz w:val="21"/>
          <w:szCs w:val="28"/>
          <w:highlight w:val="none"/>
          <w14:ligatures w14:val="none"/>
        </w:rPr>
      </w:pPr>
    </w:p>
    <w:p w14:paraId="212326E4">
      <w:pPr>
        <w:spacing w:after="0" w:line="240" w:lineRule="auto"/>
        <w:ind w:firstLine="560"/>
        <w:jc w:val="both"/>
        <w:rPr>
          <w:rFonts w:hint="eastAsia" w:ascii="仿宋_GB2312" w:hAnsi="楷体" w:eastAsia="宋体" w:cs="仿宋_GB2312"/>
          <w:b/>
          <w:sz w:val="21"/>
          <w:szCs w:val="28"/>
          <w:highlight w:val="none"/>
          <w14:ligatures w14:val="none"/>
        </w:rPr>
      </w:pPr>
    </w:p>
    <w:p w14:paraId="4C40D51C">
      <w:pPr>
        <w:spacing w:after="0" w:line="240" w:lineRule="auto"/>
        <w:ind w:firstLine="560"/>
        <w:jc w:val="both"/>
        <w:rPr>
          <w:rFonts w:hint="eastAsia" w:ascii="仿宋_GB2312" w:hAnsi="楷体" w:eastAsia="宋体" w:cs="仿宋_GB2312"/>
          <w:b/>
          <w:sz w:val="21"/>
          <w:szCs w:val="28"/>
          <w:highlight w:val="none"/>
          <w14:ligatures w14:val="none"/>
        </w:rPr>
      </w:pPr>
    </w:p>
    <w:p w14:paraId="0023CBA2">
      <w:pPr>
        <w:spacing w:after="0" w:line="240" w:lineRule="auto"/>
        <w:ind w:firstLine="560"/>
        <w:jc w:val="both"/>
        <w:rPr>
          <w:rFonts w:hint="eastAsia" w:ascii="仿宋_GB2312" w:hAnsi="楷体" w:eastAsia="宋体" w:cs="仿宋_GB2312"/>
          <w:b/>
          <w:sz w:val="21"/>
          <w:szCs w:val="28"/>
          <w:highlight w:val="none"/>
          <w14:ligatures w14:val="none"/>
        </w:rPr>
      </w:pPr>
    </w:p>
    <w:p w14:paraId="301CB281">
      <w:pPr>
        <w:spacing w:after="0" w:line="240" w:lineRule="auto"/>
        <w:ind w:firstLine="560"/>
        <w:jc w:val="both"/>
        <w:rPr>
          <w:rFonts w:hint="eastAsia" w:ascii="仿宋_GB2312" w:hAnsi="楷体" w:eastAsia="宋体" w:cs="仿宋_GB2312"/>
          <w:b/>
          <w:sz w:val="21"/>
          <w:szCs w:val="28"/>
          <w:highlight w:val="none"/>
          <w14:ligatures w14:val="none"/>
        </w:rPr>
      </w:pPr>
    </w:p>
    <w:p w14:paraId="0B19A7E8">
      <w:pPr>
        <w:spacing w:after="0" w:line="240" w:lineRule="auto"/>
        <w:ind w:firstLine="560"/>
        <w:jc w:val="both"/>
        <w:rPr>
          <w:rFonts w:hint="eastAsia" w:ascii="仿宋_GB2312" w:hAnsi="楷体" w:eastAsia="宋体" w:cs="仿宋_GB2312"/>
          <w:b/>
          <w:sz w:val="21"/>
          <w:szCs w:val="28"/>
          <w:highlight w:val="none"/>
          <w14:ligatures w14:val="none"/>
        </w:rPr>
      </w:pPr>
    </w:p>
    <w:p w14:paraId="01443598">
      <w:pPr>
        <w:spacing w:after="0" w:line="240" w:lineRule="auto"/>
        <w:ind w:firstLine="560"/>
        <w:jc w:val="both"/>
        <w:rPr>
          <w:rFonts w:hint="eastAsia" w:ascii="仿宋_GB2312" w:hAnsi="楷体" w:eastAsia="宋体" w:cs="仿宋_GB2312"/>
          <w:b/>
          <w:sz w:val="21"/>
          <w:szCs w:val="28"/>
          <w:highlight w:val="none"/>
          <w14:ligatures w14:val="none"/>
        </w:rPr>
      </w:pPr>
    </w:p>
    <w:p w14:paraId="46C5FD18">
      <w:pPr>
        <w:spacing w:after="0" w:line="240" w:lineRule="auto"/>
        <w:jc w:val="both"/>
        <w:rPr>
          <w:rFonts w:hint="eastAsia" w:ascii="仿宋_GB2312" w:hAnsi="楷体" w:eastAsia="宋体" w:cs="仿宋_GB2312"/>
          <w:b/>
          <w:sz w:val="21"/>
          <w:szCs w:val="28"/>
          <w:highlight w:val="none"/>
          <w14:ligatures w14:val="none"/>
        </w:rPr>
      </w:pPr>
    </w:p>
    <w:p w14:paraId="23ED2373">
      <w:pPr>
        <w:spacing w:after="0" w:line="240" w:lineRule="auto"/>
        <w:ind w:firstLine="560"/>
        <w:jc w:val="both"/>
        <w:rPr>
          <w:rFonts w:hint="eastAsia" w:ascii="仿宋_GB2312" w:hAnsi="楷体" w:eastAsia="宋体" w:cs="仿宋_GB2312"/>
          <w:b/>
          <w:sz w:val="21"/>
          <w:szCs w:val="28"/>
          <w:highlight w:val="none"/>
          <w14:ligatures w14:val="none"/>
        </w:rPr>
      </w:pPr>
    </w:p>
    <w:p w14:paraId="6A82305D">
      <w:pPr>
        <w:spacing w:after="0" w:line="240" w:lineRule="auto"/>
        <w:ind w:firstLine="560"/>
        <w:jc w:val="both"/>
        <w:rPr>
          <w:rFonts w:hint="eastAsia" w:ascii="仿宋_GB2312" w:hAnsi="楷体" w:eastAsia="宋体" w:cs="仿宋_GB2312"/>
          <w:b/>
          <w:sz w:val="21"/>
          <w:szCs w:val="28"/>
          <w:highlight w:val="none"/>
          <w14:ligatures w14:val="none"/>
        </w:rPr>
      </w:pPr>
    </w:p>
    <w:p w14:paraId="54C774C1">
      <w:pPr>
        <w:spacing w:after="0" w:line="240" w:lineRule="auto"/>
        <w:ind w:firstLine="560"/>
        <w:jc w:val="both"/>
        <w:rPr>
          <w:rFonts w:hint="eastAsia" w:ascii="仿宋_GB2312" w:hAnsi="楷体" w:eastAsia="宋体" w:cs="仿宋_GB2312"/>
          <w:b/>
          <w:sz w:val="21"/>
          <w:szCs w:val="28"/>
          <w:highlight w:val="none"/>
          <w14:ligatures w14:val="none"/>
        </w:rPr>
      </w:pPr>
    </w:p>
    <w:p w14:paraId="2E167BD6">
      <w:pPr>
        <w:spacing w:after="0" w:line="240" w:lineRule="auto"/>
        <w:ind w:firstLine="560"/>
        <w:jc w:val="both"/>
        <w:rPr>
          <w:rFonts w:hint="eastAsia" w:ascii="仿宋_GB2312" w:hAnsi="楷体" w:eastAsia="宋体" w:cs="仿宋_GB2312"/>
          <w:b/>
          <w:sz w:val="21"/>
          <w:szCs w:val="28"/>
          <w:highlight w:val="none"/>
          <w14:ligatures w14:val="none"/>
        </w:rPr>
      </w:pPr>
    </w:p>
    <w:p w14:paraId="43E74BB5">
      <w:pPr>
        <w:spacing w:after="0" w:line="240" w:lineRule="auto"/>
        <w:jc w:val="both"/>
        <w:rPr>
          <w:rFonts w:hint="eastAsia" w:ascii="仿宋_GB2312" w:hAnsi="楷体" w:eastAsia="宋体" w:cs="仿宋_GB2312"/>
          <w:b/>
          <w:sz w:val="21"/>
          <w:szCs w:val="28"/>
          <w:highlight w:val="none"/>
          <w14:ligatures w14:val="none"/>
        </w:rPr>
      </w:pPr>
    </w:p>
    <w:p w14:paraId="28853602">
      <w:pPr>
        <w:spacing w:after="0" w:line="240" w:lineRule="auto"/>
        <w:ind w:firstLine="560"/>
        <w:jc w:val="both"/>
        <w:rPr>
          <w:rFonts w:hint="eastAsia" w:ascii="仿宋_GB2312" w:hAnsi="楷体" w:eastAsia="宋体" w:cs="仿宋_GB2312"/>
          <w:b/>
          <w:sz w:val="21"/>
          <w:szCs w:val="28"/>
          <w:highlight w:val="none"/>
          <w14:ligatures w14:val="none"/>
        </w:rPr>
      </w:pPr>
    </w:p>
    <w:p w14:paraId="6935C852">
      <w:pPr>
        <w:spacing w:after="0" w:line="240" w:lineRule="auto"/>
        <w:ind w:firstLine="560"/>
        <w:jc w:val="both"/>
        <w:rPr>
          <w:rFonts w:hint="eastAsia" w:ascii="仿宋_GB2312" w:hAnsi="楷体" w:eastAsia="宋体" w:cs="仿宋_GB2312"/>
          <w:b/>
          <w:sz w:val="21"/>
          <w:szCs w:val="28"/>
          <w:highlight w:val="none"/>
          <w14:ligatures w14:val="none"/>
        </w:rPr>
      </w:pPr>
    </w:p>
    <w:p w14:paraId="56D0248F">
      <w:pPr>
        <w:spacing w:after="0" w:line="240" w:lineRule="auto"/>
        <w:ind w:firstLine="560"/>
        <w:jc w:val="center"/>
        <w:rPr>
          <w:rFonts w:hint="eastAsia" w:ascii="仿宋_GB2312" w:hAnsi="楷体" w:eastAsia="宋体" w:cs="仿宋_GB2312"/>
          <w:b/>
          <w:sz w:val="21"/>
          <w:szCs w:val="28"/>
          <w:highlight w:val="none"/>
          <w14:ligatures w14:val="none"/>
        </w:rPr>
      </w:pPr>
    </w:p>
    <w:p w14:paraId="3778E21D">
      <w:pPr>
        <w:spacing w:after="0" w:line="240" w:lineRule="auto"/>
        <w:jc w:val="center"/>
        <w:outlineLvl w:val="9"/>
        <w:rPr>
          <w:rFonts w:hint="eastAsia" w:ascii="华文中宋" w:hAnsi="华文中宋" w:eastAsia="华文中宋" w:cs="Times New Roman"/>
          <w:b/>
          <w:bCs/>
          <w:sz w:val="28"/>
          <w:szCs w:val="28"/>
          <w:highlight w:val="none"/>
          <w14:ligatures w14:val="none"/>
        </w:rPr>
      </w:pPr>
      <w:r>
        <w:rPr>
          <w:rFonts w:hint="eastAsia" w:ascii="华文中宋" w:hAnsi="华文中宋" w:eastAsia="华文中宋" w:cs="Times New Roman"/>
          <w:b/>
          <w:bCs/>
          <w:sz w:val="28"/>
          <w:szCs w:val="28"/>
          <w:highlight w:val="none"/>
          <w:lang w:val="en-US" w:eastAsia="zh-CN"/>
          <w14:ligatures w14:val="none"/>
        </w:rPr>
        <w:t>广东</w:t>
      </w:r>
      <w:r>
        <w:rPr>
          <w:rFonts w:hint="eastAsia" w:ascii="华文中宋" w:hAnsi="华文中宋" w:eastAsia="华文中宋" w:cs="Times New Roman"/>
          <w:b/>
          <w:bCs/>
          <w:sz w:val="28"/>
          <w:szCs w:val="28"/>
          <w:highlight w:val="none"/>
          <w14:ligatures w14:val="none"/>
        </w:rPr>
        <w:t>公司</w:t>
      </w:r>
    </w:p>
    <w:p w14:paraId="2E679E13">
      <w:pPr>
        <w:spacing w:after="0" w:line="240" w:lineRule="auto"/>
        <w:jc w:val="center"/>
        <w:outlineLvl w:val="9"/>
        <w:rPr>
          <w:rFonts w:hint="eastAsia" w:ascii="华文中宋" w:hAnsi="华文中宋" w:eastAsia="华文中宋" w:cs="Times New Roman"/>
          <w:b/>
          <w:bCs/>
          <w:sz w:val="28"/>
          <w:szCs w:val="28"/>
          <w:highlight w:val="none"/>
          <w14:ligatures w14:val="none"/>
        </w:rPr>
      </w:pPr>
      <w:r>
        <w:rPr>
          <w:rFonts w:ascii="华文中宋" w:hAnsi="华文中宋" w:eastAsia="华文中宋" w:cs="Times New Roman"/>
          <w:b/>
          <w:bCs/>
          <w:sz w:val="28"/>
          <w:szCs w:val="28"/>
          <w:highlight w:val="none"/>
          <w14:ligatures w14:val="none"/>
        </w:rPr>
        <w:t>20</w:t>
      </w:r>
      <w:r>
        <w:rPr>
          <w:rFonts w:hint="eastAsia" w:ascii="华文中宋" w:hAnsi="华文中宋" w:eastAsia="华文中宋" w:cs="Times New Roman"/>
          <w:b/>
          <w:bCs/>
          <w:sz w:val="28"/>
          <w:szCs w:val="28"/>
          <w:highlight w:val="none"/>
          <w14:ligatures w14:val="none"/>
        </w:rPr>
        <w:t>25</w:t>
      </w:r>
      <w:r>
        <w:rPr>
          <w:rFonts w:ascii="华文中宋" w:hAnsi="华文中宋" w:eastAsia="华文中宋" w:cs="Times New Roman"/>
          <w:b/>
          <w:bCs/>
          <w:sz w:val="28"/>
          <w:szCs w:val="28"/>
          <w:highlight w:val="none"/>
          <w14:ligatures w14:val="none"/>
        </w:rPr>
        <w:t>年</w:t>
      </w:r>
      <w:r>
        <w:rPr>
          <w:rFonts w:hint="eastAsia" w:ascii="华文中宋" w:hAnsi="华文中宋" w:eastAsia="华文中宋" w:cs="Times New Roman"/>
          <w:b/>
          <w:bCs/>
          <w:sz w:val="28"/>
          <w:szCs w:val="28"/>
          <w:highlight w:val="none"/>
          <w:lang w:val="en-US" w:eastAsia="zh-CN"/>
          <w14:ligatures w14:val="none"/>
        </w:rPr>
        <w:t>5</w:t>
      </w:r>
      <w:r>
        <w:rPr>
          <w:rFonts w:hint="eastAsia" w:ascii="华文中宋" w:hAnsi="华文中宋" w:eastAsia="华文中宋" w:cs="Times New Roman"/>
          <w:b/>
          <w:bCs/>
          <w:sz w:val="28"/>
          <w:szCs w:val="28"/>
          <w:highlight w:val="none"/>
          <w14:ligatures w14:val="none"/>
        </w:rPr>
        <w:t>月</w:t>
      </w:r>
    </w:p>
    <w:p w14:paraId="035513D6">
      <w:pPr>
        <w:rPr>
          <w:rFonts w:hint="eastAsia" w:ascii="黑体" w:hAnsi="黑体" w:eastAsia="黑体" w:cs="宋体"/>
          <w:kern w:val="0"/>
          <w:sz w:val="32"/>
          <w:szCs w:val="32"/>
          <w:highlight w:val="none"/>
          <w14:ligatures w14:val="none"/>
        </w:rPr>
      </w:pPr>
      <w:r>
        <w:rPr>
          <w:rFonts w:hint="eastAsia" w:ascii="华文中宋" w:hAnsi="华文中宋" w:eastAsia="华文中宋" w:cs="Times New Roman"/>
          <w:b/>
          <w:bCs/>
          <w:sz w:val="28"/>
          <w:szCs w:val="28"/>
          <w:highlight w:val="none"/>
          <w14:ligatures w14:val="none"/>
        </w:rPr>
        <w:br w:type="page"/>
      </w:r>
      <w:bookmarkStart w:id="0" w:name="_Toc189723733"/>
      <w:bookmarkStart w:id="1" w:name="_Toc490560818"/>
      <w:bookmarkStart w:id="2" w:name="_Toc145504486"/>
      <w:bookmarkStart w:id="3" w:name="_Toc189820366"/>
      <w:r>
        <w:rPr>
          <w:rFonts w:hint="eastAsia" w:ascii="黑体" w:hAnsi="黑体" w:eastAsia="黑体" w:cs="宋体"/>
          <w:kern w:val="0"/>
          <w:sz w:val="32"/>
          <w:szCs w:val="32"/>
          <w:highlight w:val="none"/>
          <w14:ligatures w14:val="none"/>
        </w:rPr>
        <w:t>一、范围</w:t>
      </w:r>
      <w:bookmarkEnd w:id="0"/>
      <w:bookmarkEnd w:id="1"/>
      <w:bookmarkEnd w:id="2"/>
      <w:bookmarkEnd w:id="3"/>
    </w:p>
    <w:p w14:paraId="218D4532">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 w:hAnsi="仿宋" w:eastAsia="仿宋" w:cs="宋体"/>
          <w:bCs/>
          <w:sz w:val="32"/>
          <w:szCs w:val="32"/>
          <w:highlight w:val="none"/>
          <w:lang w:val="en-US" w:eastAsia="zh-CN"/>
        </w:rPr>
        <w:t>风险隐患管理是网络运行安全的核心。本文件</w:t>
      </w:r>
      <w:r>
        <w:rPr>
          <w:rFonts w:hint="eastAsia" w:ascii="仿宋_GB2312" w:hAnsi="仿宋" w:eastAsia="仿宋_GB2312" w:cs="宋体"/>
          <w:bCs/>
          <w:sz w:val="32"/>
          <w:szCs w:val="32"/>
          <w:highlight w:val="none"/>
          <w14:ligatures w14:val="none"/>
        </w:rPr>
        <w:t>分为风险管理、隐患管理两大部分内容。</w:t>
      </w:r>
    </w:p>
    <w:p w14:paraId="112C2142">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风险管理涵盖网络运行安全风险定义、危险源分类、风险识别及风险管理，有效识别分析网络运行过程中存在的风险，推动网络运行安全能力提升从事后处置向事前防控转变。</w:t>
      </w:r>
    </w:p>
    <w:p w14:paraId="615B0E8E">
      <w:pPr>
        <w:widowControl/>
        <w:spacing w:after="0" w:line="360" w:lineRule="auto"/>
        <w:ind w:firstLine="418"/>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隐患管理涵盖网络隐患定义、分级分类原则、隐患排查方式、闭环管理流程、成效评估指标等，通过将隐患排查嵌入规划设计、入网验收、割接管控、故障处理等各项生产流程，实现全方位隐患排查；基于全网统一的标准化线上管理流程，实现规范化隐患管理。致力于减少由网络隐患导致的现网故障，提升网络抗风险能力。</w:t>
      </w:r>
    </w:p>
    <w:p w14:paraId="7AD7837F">
      <w:pPr>
        <w:widowControl/>
        <w:spacing w:after="0" w:line="360" w:lineRule="auto"/>
        <w:ind w:left="1163" w:hanging="523"/>
        <w:outlineLvl w:val="0"/>
        <w:rPr>
          <w:rFonts w:hint="eastAsia" w:ascii="黑体" w:hAnsi="黑体" w:eastAsia="黑体" w:cs="宋体"/>
          <w:kern w:val="0"/>
          <w:sz w:val="32"/>
          <w:szCs w:val="32"/>
          <w:highlight w:val="none"/>
          <w14:ligatures w14:val="none"/>
        </w:rPr>
      </w:pPr>
      <w:r>
        <w:rPr>
          <w:rFonts w:hint="eastAsia" w:ascii="黑体" w:hAnsi="黑体" w:eastAsia="黑体" w:cs="宋体"/>
          <w:kern w:val="0"/>
          <w:sz w:val="32"/>
          <w:szCs w:val="32"/>
          <w:highlight w:val="none"/>
          <w14:ligatures w14:val="none"/>
        </w:rPr>
        <w:t>二、目标</w:t>
      </w:r>
    </w:p>
    <w:p w14:paraId="197E03B0">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风险管理工作目标是逐步健全网络运行安全风险隐患双重预防机制，开展风险识别和分级分类，认清客观风险并有重点、有针对性地提出和落实相适应的安全保护措施，从而预防和减少网络运行安全事故的发生，持续提升网络抗风险能力。</w:t>
      </w:r>
    </w:p>
    <w:p w14:paraId="45D09852">
      <w:pPr>
        <w:widowControl/>
        <w:spacing w:after="0" w:line="360" w:lineRule="auto"/>
        <w:ind w:firstLine="640" w:firstLineChars="200"/>
        <w:rPr>
          <w:rFonts w:hint="default"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具体工作指标：风险识别覆盖率100%,风险防控措施有效率100%。</w:t>
      </w:r>
    </w:p>
    <w:p w14:paraId="42568C8B">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网络隐患管理工作的目标是全网统筹、标本兼治，规范化开展网络隐患排查整改，减少由网络隐患导致的现网故障，提升网络抗风险能力。</w:t>
      </w:r>
    </w:p>
    <w:p w14:paraId="6D68B427">
      <w:pPr>
        <w:widowControl/>
        <w:spacing w:after="0" w:line="360" w:lineRule="auto"/>
        <w:ind w:firstLine="640" w:firstLineChars="200"/>
        <w:rPr>
          <w:rFonts w:hint="default"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具体工作指标：隐患排查覆盖率100%、有源设备100%线上排查、隐患按期整改率100%。</w:t>
      </w:r>
    </w:p>
    <w:p w14:paraId="25C2F90B">
      <w:pPr>
        <w:pStyle w:val="31"/>
        <w:widowControl/>
        <w:numPr>
          <w:ilvl w:val="0"/>
          <w:numId w:val="1"/>
        </w:numPr>
        <w:spacing w:after="0" w:line="360" w:lineRule="auto"/>
        <w:outlineLvl w:val="0"/>
        <w:rPr>
          <w:rFonts w:hint="eastAsia" w:ascii="黑体" w:hAnsi="黑体" w:eastAsia="黑体" w:cs="宋体"/>
          <w:kern w:val="0"/>
          <w:sz w:val="32"/>
          <w:szCs w:val="32"/>
          <w:highlight w:val="none"/>
          <w14:ligatures w14:val="none"/>
        </w:rPr>
      </w:pPr>
      <w:r>
        <w:rPr>
          <w:rFonts w:hint="eastAsia" w:ascii="黑体" w:hAnsi="黑体" w:eastAsia="黑体" w:cs="宋体"/>
          <w:kern w:val="0"/>
          <w:sz w:val="32"/>
          <w:szCs w:val="32"/>
          <w:highlight w:val="none"/>
          <w14:ligatures w14:val="none"/>
        </w:rPr>
        <w:t>职责分工</w:t>
      </w:r>
    </w:p>
    <w:p w14:paraId="72805AD6">
      <w:pPr>
        <w:keepNext/>
        <w:keepLines/>
        <w:tabs>
          <w:tab w:val="left" w:pos="418"/>
        </w:tabs>
        <w:adjustRightInd w:val="0"/>
        <w:spacing w:before="160" w:after="80" w:line="279" w:lineRule="auto"/>
        <w:ind w:left="567"/>
        <w:outlineLvl w:val="1"/>
        <w:rPr>
          <w:rFonts w:hint="eastAsia" w:ascii="楷体" w:hAnsi="楷体" w:eastAsia="楷体" w:cs="楷体"/>
          <w:color w:val="000000"/>
          <w:sz w:val="32"/>
          <w:szCs w:val="40"/>
          <w:highlight w:val="none"/>
        </w:rPr>
      </w:pPr>
      <w:r>
        <w:rPr>
          <w:rFonts w:hint="eastAsia" w:ascii="楷体" w:hAnsi="楷体" w:eastAsia="楷体" w:cs="楷体"/>
          <w:color w:val="000000"/>
          <w:sz w:val="32"/>
          <w:szCs w:val="40"/>
          <w:highlight w:val="none"/>
        </w:rPr>
        <w:t xml:space="preserve">（一）风险管理职责分工 </w:t>
      </w:r>
    </w:p>
    <w:p w14:paraId="1584564E">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省</w:t>
      </w:r>
      <w:r>
        <w:rPr>
          <w:rFonts w:hint="eastAsia" w:ascii="仿宋_GB2312" w:hAnsi="仿宋" w:eastAsia="仿宋_GB2312" w:cs="宋体"/>
          <w:bCs/>
          <w:sz w:val="32"/>
          <w:szCs w:val="32"/>
          <w:highlight w:val="none"/>
          <w:lang w:val="en-US" w:eastAsia="zh-CN"/>
          <w14:ligatures w14:val="none"/>
        </w:rPr>
        <w:t>公司</w:t>
      </w:r>
      <w:r>
        <w:rPr>
          <w:rFonts w:hint="eastAsia" w:ascii="仿宋_GB2312" w:hAnsi="仿宋" w:eastAsia="仿宋_GB2312" w:cs="宋体"/>
          <w:bCs/>
          <w:sz w:val="32"/>
          <w:szCs w:val="32"/>
          <w:highlight w:val="none"/>
          <w14:ligatures w14:val="none"/>
        </w:rPr>
        <w:t>：结合总部要求及本省实际情况开展风险管理工作，逐步健全网络运行安全风险隐患双重预防机制</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14:ligatures w14:val="none"/>
        </w:rPr>
        <w:t>开展风险识别，梳理并上报影响网络运行的具体风险及作用路径，配合总部完成全网统一风险分级分类标准制定</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14:ligatures w14:val="none"/>
        </w:rPr>
        <w:t>按照本省具体风险，有针对性地提出和落实相适应的安全保护措施</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14:ligatures w14:val="none"/>
        </w:rPr>
        <w:t>研究本省风险防控嵌入日常网络运维工作方法，研究风险评估自动化手段，实现风险识别和防控流程化。</w:t>
      </w:r>
    </w:p>
    <w:p w14:paraId="0270480C">
      <w:pPr>
        <w:widowControl/>
        <w:spacing w:after="0" w:line="360" w:lineRule="auto"/>
        <w:ind w:firstLine="640" w:firstLineChars="200"/>
        <w:rPr>
          <w:rFonts w:hint="default"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地市公司：负责所辖网络</w:t>
      </w:r>
      <w:r>
        <w:rPr>
          <w:rFonts w:hint="eastAsia" w:ascii="仿宋_GB2312" w:hAnsi="仿宋" w:eastAsia="仿宋_GB2312" w:cs="宋体"/>
          <w:bCs/>
          <w:sz w:val="32"/>
          <w:szCs w:val="32"/>
          <w:highlight w:val="none"/>
          <w14:ligatures w14:val="none"/>
        </w:rPr>
        <w:t>风险识别，梳理影响网络运行的具体风险及作用路径</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lang w:val="en-US" w:eastAsia="zh-CN"/>
          <w14:ligatures w14:val="none"/>
        </w:rPr>
        <w:t>根据</w:t>
      </w:r>
      <w:r>
        <w:rPr>
          <w:rFonts w:hint="eastAsia" w:ascii="仿宋_GB2312" w:hAnsi="仿宋" w:eastAsia="仿宋_GB2312" w:cs="宋体"/>
          <w:bCs/>
          <w:sz w:val="32"/>
          <w:szCs w:val="32"/>
          <w:highlight w:val="none"/>
          <w14:ligatures w14:val="none"/>
        </w:rPr>
        <w:t>风险分级分类标准制定</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14:ligatures w14:val="none"/>
        </w:rPr>
        <w:t>有针对性地提出和落实相适应的安全保护措施</w:t>
      </w:r>
      <w:r>
        <w:rPr>
          <w:rFonts w:hint="eastAsia" w:ascii="仿宋_GB2312" w:hAnsi="仿宋" w:eastAsia="仿宋_GB2312" w:cs="宋体"/>
          <w:bCs/>
          <w:sz w:val="32"/>
          <w:szCs w:val="32"/>
          <w:highlight w:val="none"/>
          <w:lang w:eastAsia="zh-CN"/>
          <w14:ligatures w14:val="none"/>
        </w:rPr>
        <w:t>。</w:t>
      </w:r>
    </w:p>
    <w:p w14:paraId="7DAA0AD9">
      <w:pPr>
        <w:keepNext/>
        <w:keepLines/>
        <w:tabs>
          <w:tab w:val="left" w:pos="418"/>
        </w:tabs>
        <w:adjustRightInd w:val="0"/>
        <w:spacing w:before="160" w:after="80" w:line="279" w:lineRule="auto"/>
        <w:ind w:left="567"/>
        <w:outlineLvl w:val="1"/>
        <w:rPr>
          <w:rFonts w:hint="eastAsia" w:ascii="楷体" w:hAnsi="楷体" w:eastAsia="楷体" w:cs="楷体"/>
          <w:color w:val="000000"/>
          <w:sz w:val="32"/>
          <w:szCs w:val="40"/>
          <w:highlight w:val="none"/>
        </w:rPr>
      </w:pPr>
      <w:r>
        <w:rPr>
          <w:rFonts w:hint="eastAsia" w:ascii="楷体" w:hAnsi="楷体" w:eastAsia="楷体" w:cs="楷体"/>
          <w:color w:val="000000"/>
          <w:sz w:val="32"/>
          <w:szCs w:val="40"/>
          <w:highlight w:val="none"/>
        </w:rPr>
        <w:t xml:space="preserve">（二）隐患管理职责分工 </w:t>
      </w:r>
    </w:p>
    <w:p w14:paraId="6591F128">
      <w:pPr>
        <w:widowControl/>
        <w:spacing w:after="0" w:line="360" w:lineRule="auto"/>
        <w:ind w:firstLine="640" w:firstLineChars="200"/>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省公司：</w:t>
      </w:r>
      <w:r>
        <w:rPr>
          <w:rFonts w:hint="eastAsia" w:ascii="仿宋_GB2312" w:hAnsi="仿宋" w:eastAsia="仿宋_GB2312" w:cs="宋体"/>
          <w:bCs/>
          <w:sz w:val="32"/>
          <w:szCs w:val="32"/>
          <w:highlight w:val="none"/>
          <w14:ligatures w14:val="none"/>
        </w:rPr>
        <w:t>按照</w:t>
      </w:r>
      <w:r>
        <w:rPr>
          <w:rFonts w:hint="eastAsia" w:ascii="仿宋_GB2312" w:hAnsi="仿宋" w:eastAsia="仿宋_GB2312" w:cs="宋体"/>
          <w:bCs/>
          <w:sz w:val="32"/>
          <w:szCs w:val="32"/>
          <w:highlight w:val="none"/>
          <w:lang w:val="en-US" w:eastAsia="zh-CN"/>
          <w14:ligatures w14:val="none"/>
        </w:rPr>
        <w:t>集团公司</w:t>
      </w:r>
      <w:r>
        <w:rPr>
          <w:rFonts w:hint="eastAsia" w:ascii="仿宋_GB2312" w:hAnsi="仿宋" w:eastAsia="仿宋_GB2312" w:cs="宋体"/>
          <w:bCs/>
          <w:sz w:val="32"/>
          <w:szCs w:val="32"/>
          <w:highlight w:val="none"/>
          <w14:ligatures w14:val="none"/>
        </w:rPr>
        <w:t>要求，结合本省实际情况制定本省网络隐患管理工作</w:t>
      </w:r>
      <w:r>
        <w:rPr>
          <w:rFonts w:hint="eastAsia" w:ascii="仿宋_GB2312" w:hAnsi="仿宋" w:eastAsia="仿宋_GB2312" w:cs="宋体"/>
          <w:bCs/>
          <w:sz w:val="32"/>
          <w:szCs w:val="32"/>
          <w:highlight w:val="none"/>
          <w:lang w:val="en-US" w:eastAsia="zh-CN"/>
          <w14:ligatures w14:val="none"/>
        </w:rPr>
        <w:t>实施</w:t>
      </w:r>
      <w:r>
        <w:rPr>
          <w:rFonts w:hint="eastAsia" w:ascii="仿宋_GB2312" w:hAnsi="仿宋" w:eastAsia="仿宋_GB2312" w:cs="宋体"/>
          <w:bCs/>
          <w:sz w:val="32"/>
          <w:szCs w:val="32"/>
          <w:highlight w:val="none"/>
          <w14:ligatures w14:val="none"/>
        </w:rPr>
        <w:t>细则</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lang w:val="en-US" w:eastAsia="zh-CN"/>
          <w14:ligatures w14:val="none"/>
        </w:rPr>
        <w:t>组织开展省内隐患管理工作，</w:t>
      </w:r>
      <w:r>
        <w:rPr>
          <w:rFonts w:hint="eastAsia" w:ascii="仿宋_GB2312" w:hAnsi="仿宋" w:eastAsia="仿宋_GB2312" w:cs="宋体"/>
          <w:bCs/>
          <w:sz w:val="32"/>
          <w:szCs w:val="32"/>
          <w:highlight w:val="none"/>
          <w14:ligatures w14:val="none"/>
        </w:rPr>
        <w:t>确保隐患排查整改责任、监督管理责任明确到人</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lang w:val="en-US" w:eastAsia="zh-CN"/>
          <w14:ligatures w14:val="none"/>
        </w:rPr>
        <w:t xml:space="preserve">统一受理集团下发的隐患排查任务和隐患工单，并分派给相关部门跟进和闭环；负责所辖网络隐患排查整治工作，对隐患处理的执行进度和整改效果进行跟踪、审核、验收；定期组织省市各单位开展全网隐患挖掘，开展隐患处理的指挥调度，对隐患处理的执行进度和整改效果进行闭环质检；组织开展隐患挖掘规则的梳理及优化工作；组织开展隐患智能挖掘规则系统部署和验证；组织开展全网隐患分析工作，督促相关单位完成存在问题整改；负责省公司隐患信息化流程的设计和管理，包括需求管理、技术规范管理等工作。 </w:t>
      </w:r>
    </w:p>
    <w:p w14:paraId="261291BB">
      <w:pPr>
        <w:widowControl/>
        <w:spacing w:after="0" w:line="360" w:lineRule="auto"/>
        <w:ind w:firstLine="640" w:firstLineChars="200"/>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地市公司：负责受理省公司下发的隐患排查任务和隐患工单，按时保质完成整改；负责所辖网络的隐患挖掘、跟进和闭环；负责所辖网络的梳理及优化隐患挖掘规则，并上报省公司审核。</w:t>
      </w:r>
    </w:p>
    <w:p w14:paraId="1E7C1F9C">
      <w:pPr>
        <w:pStyle w:val="31"/>
        <w:widowControl/>
        <w:numPr>
          <w:ilvl w:val="0"/>
          <w:numId w:val="1"/>
        </w:numPr>
        <w:spacing w:after="0" w:line="360" w:lineRule="auto"/>
        <w:outlineLvl w:val="0"/>
        <w:rPr>
          <w:rFonts w:hint="eastAsia" w:ascii="黑体" w:hAnsi="黑体" w:eastAsia="黑体" w:cs="宋体"/>
          <w:kern w:val="0"/>
          <w:sz w:val="32"/>
          <w:szCs w:val="32"/>
          <w:highlight w:val="none"/>
          <w14:ligatures w14:val="none"/>
        </w:rPr>
      </w:pPr>
      <w:r>
        <w:rPr>
          <w:rFonts w:hint="eastAsia" w:ascii="黑体" w:hAnsi="黑体" w:eastAsia="黑体" w:cs="宋体"/>
          <w:kern w:val="0"/>
          <w:sz w:val="32"/>
          <w:szCs w:val="32"/>
          <w:highlight w:val="none"/>
          <w:lang w:val="en-US" w:eastAsia="zh-CN"/>
          <w14:ligatures w14:val="none"/>
        </w:rPr>
        <w:t>具体内容</w:t>
      </w:r>
    </w:p>
    <w:p w14:paraId="1077E332">
      <w:pPr>
        <w:keepNext/>
        <w:keepLines/>
        <w:tabs>
          <w:tab w:val="left" w:pos="418"/>
        </w:tabs>
        <w:adjustRightInd w:val="0"/>
        <w:spacing w:before="160" w:after="80" w:line="279" w:lineRule="auto"/>
        <w:ind w:left="567"/>
        <w:outlineLvl w:val="1"/>
        <w:rPr>
          <w:rFonts w:hint="eastAsia" w:ascii="楷体" w:hAnsi="楷体" w:eastAsia="楷体" w:cs="楷体"/>
          <w:color w:val="000000"/>
          <w:sz w:val="32"/>
          <w:szCs w:val="40"/>
          <w:highlight w:val="none"/>
        </w:rPr>
      </w:pPr>
      <w:r>
        <w:rPr>
          <w:rFonts w:hint="eastAsia" w:ascii="楷体" w:hAnsi="楷体" w:eastAsia="楷体" w:cs="楷体"/>
          <w:color w:val="000000"/>
          <w:sz w:val="32"/>
          <w:szCs w:val="40"/>
          <w:highlight w:val="none"/>
        </w:rPr>
        <w:t>（一）风险管理</w:t>
      </w:r>
    </w:p>
    <w:p w14:paraId="1AD402A0">
      <w:pPr>
        <w:widowControl/>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lang w:val="en-US" w:eastAsia="zh-CN"/>
          <w14:ligatures w14:val="none"/>
        </w:rPr>
        <w:t>网络运行风险是指</w:t>
      </w:r>
      <w:r>
        <w:rPr>
          <w:rFonts w:hint="eastAsia" w:ascii="仿宋_GB2312" w:hAnsi="仿宋" w:eastAsia="仿宋_GB2312" w:cs="宋体"/>
          <w:bCs/>
          <w:sz w:val="32"/>
          <w:szCs w:val="32"/>
          <w:highlight w:val="none"/>
          <w14:ligatures w14:val="none"/>
        </w:rPr>
        <w:t>网络运行维护过程中，特定威胁利用单个或一组资产脆弱性的可能性以及由此可能给网络</w:t>
      </w:r>
      <w:r>
        <w:rPr>
          <w:rFonts w:hint="eastAsia" w:ascii="仿宋_GB2312" w:hAnsi="仿宋" w:eastAsia="仿宋_GB2312" w:cs="宋体"/>
          <w:bCs/>
          <w:sz w:val="32"/>
          <w:szCs w:val="32"/>
          <w:highlight w:val="none"/>
          <w:lang w:val="en-US" w:eastAsia="zh-CN"/>
          <w14:ligatures w14:val="none"/>
        </w:rPr>
        <w:t>运营</w:t>
      </w:r>
      <w:r>
        <w:rPr>
          <w:rFonts w:hint="eastAsia" w:ascii="仿宋_GB2312" w:hAnsi="仿宋" w:eastAsia="仿宋_GB2312" w:cs="宋体"/>
          <w:bCs/>
          <w:sz w:val="32"/>
          <w:szCs w:val="32"/>
          <w:highlight w:val="none"/>
          <w14:ligatures w14:val="none"/>
        </w:rPr>
        <w:t>企业带来的损害，网络中断或服务质量下降为常见的网络运行安全风险。</w:t>
      </w:r>
    </w:p>
    <w:p w14:paraId="0E21E64E">
      <w:pPr>
        <w:adjustRightInd w:val="0"/>
        <w:spacing w:after="0" w:line="360" w:lineRule="auto"/>
        <w:ind w:firstLine="420" w:firstLineChars="200"/>
        <w:jc w:val="center"/>
        <w:rPr>
          <w:rFonts w:hint="eastAsia" w:ascii="等线" w:hAnsi="等线" w:eastAsia="宋体" w:cs="Times New Roman"/>
          <w:sz w:val="21"/>
          <w:szCs w:val="22"/>
          <w:highlight w:val="none"/>
          <w14:ligatures w14:val="none"/>
        </w:rPr>
      </w:pPr>
      <w:r>
        <w:rPr>
          <w:rFonts w:ascii="等线" w:hAnsi="等线" w:eastAsia="宋体" w:cs="Times New Roman"/>
          <w:sz w:val="21"/>
          <w:szCs w:val="22"/>
          <w:highlight w:val="none"/>
          <w14:ligatures w14:val="none"/>
        </w:rPr>
        <w:drawing>
          <wp:inline distT="0" distB="0" distL="114300" distR="114300">
            <wp:extent cx="3628390" cy="2658110"/>
            <wp:effectExtent l="0" t="0" r="0" b="8890"/>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8"/>
                    <a:stretch>
                      <a:fillRect/>
                    </a:stretch>
                  </pic:blipFill>
                  <pic:spPr>
                    <a:xfrm>
                      <a:off x="0" y="0"/>
                      <a:ext cx="3631605" cy="2660935"/>
                    </a:xfrm>
                    <a:prstGeom prst="rect">
                      <a:avLst/>
                    </a:prstGeom>
                    <a:noFill/>
                    <a:ln>
                      <a:noFill/>
                    </a:ln>
                  </pic:spPr>
                </pic:pic>
              </a:graphicData>
            </a:graphic>
          </wp:inline>
        </w:drawing>
      </w:r>
    </w:p>
    <w:p w14:paraId="482BA37A">
      <w:pPr>
        <w:adjustRightInd w:val="0"/>
        <w:spacing w:after="0" w:line="360" w:lineRule="auto"/>
        <w:ind w:firstLine="420" w:firstLineChars="200"/>
        <w:jc w:val="center"/>
        <w:rPr>
          <w:rFonts w:hint="eastAsia" w:ascii="华文中宋" w:hAnsi="华文中宋" w:eastAsia="华文中宋" w:cs="等线"/>
          <w:bCs/>
          <w:sz w:val="21"/>
          <w:szCs w:val="21"/>
          <w:highlight w:val="none"/>
          <w14:ligatures w14:val="none"/>
        </w:rPr>
      </w:pPr>
      <w:r>
        <w:rPr>
          <w:rFonts w:hint="eastAsia" w:ascii="华文中宋" w:hAnsi="华文中宋" w:eastAsia="华文中宋" w:cs="等线"/>
          <w:bCs/>
          <w:sz w:val="21"/>
          <w:szCs w:val="21"/>
          <w:highlight w:val="none"/>
          <w14:ligatures w14:val="none"/>
        </w:rPr>
        <w:t>图1 风险要素及其关系</w:t>
      </w:r>
    </w:p>
    <w:p w14:paraId="4915B0CC">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（1）风险要素的核心是资产,而资产存在脆弱性;</w:t>
      </w:r>
    </w:p>
    <w:p w14:paraId="0CA66DB1">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（2）安全措施的实施通过降低资产脆弱性被利用难易程度,抵御外部威胁,以实现对资产的保护;</w:t>
      </w:r>
    </w:p>
    <w:p w14:paraId="0744D103">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（3）威胁通过利用资产存在的脆弱性导致风险;</w:t>
      </w:r>
    </w:p>
    <w:p w14:paraId="74A45920">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（4）风险转化成安全事件后,会对资产的运行状态产生影响。</w:t>
      </w:r>
    </w:p>
    <w:p w14:paraId="3166B1F5">
      <w:pPr>
        <w:widowControl/>
        <w:spacing w:after="0" w:line="360" w:lineRule="auto"/>
        <w:ind w:firstLine="640" w:firstLineChars="20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资产按照层次可划分为业务资产、系统资产、系统组件和单元资产等，其中业务资产包括语音、数据、短彩信以及各种增值业务等，系统资产包括通信系统硬件、通信系统软件、配套设施、管理规程等，系统单元和组件指更细粒度的网络设备或者某项管理规定等。</w:t>
      </w:r>
    </w:p>
    <w:p w14:paraId="1A95946C">
      <w:pPr>
        <w:widowControl/>
        <w:spacing w:after="0" w:line="360" w:lineRule="auto"/>
        <w:ind w:firstLine="640" w:firstLineChars="200"/>
        <w:outlineLvl w:val="2"/>
        <w:rPr>
          <w:rFonts w:hint="default"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1.网络运行安全危险源</w:t>
      </w:r>
    </w:p>
    <w:p w14:paraId="12D0E36D">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lang w:val="en-US" w:eastAsia="zh-CN"/>
          <w14:ligatures w14:val="none"/>
        </w:rPr>
        <w:t>根据目前分析，网络运行安全危险源主要</w:t>
      </w:r>
      <w:r>
        <w:rPr>
          <w:rFonts w:hint="eastAsia" w:ascii="仿宋_GB2312" w:hAnsi="仿宋" w:eastAsia="仿宋_GB2312" w:cs="宋体"/>
          <w:bCs/>
          <w:sz w:val="32"/>
          <w:szCs w:val="32"/>
          <w:highlight w:val="none"/>
          <w14:ligatures w14:val="none"/>
        </w:rPr>
        <w:t>分为物理损害、自然灾害、技术失效、未授权行为、功能损害、供应链失效等方面</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lang w:val="en-US" w:eastAsia="zh-CN"/>
          <w14:ligatures w14:val="none"/>
        </w:rPr>
        <w:t>后续将根据工作推进逐步优化</w:t>
      </w:r>
      <w:r>
        <w:rPr>
          <w:rFonts w:hint="eastAsia" w:ascii="仿宋_GB2312" w:hAnsi="仿宋" w:eastAsia="仿宋_GB2312" w:cs="宋体"/>
          <w:bCs/>
          <w:sz w:val="32"/>
          <w:szCs w:val="32"/>
          <w:highlight w:val="none"/>
          <w14:ligatures w14:val="none"/>
        </w:rPr>
        <w:t>。</w:t>
      </w:r>
    </w:p>
    <w:tbl>
      <w:tblPr>
        <w:tblStyle w:val="16"/>
        <w:tblW w:w="0" w:type="auto"/>
        <w:jc w:val="center"/>
        <w:tblLayout w:type="autofit"/>
        <w:tblCellMar>
          <w:top w:w="0" w:type="dxa"/>
          <w:left w:w="108" w:type="dxa"/>
          <w:bottom w:w="0" w:type="dxa"/>
          <w:right w:w="108" w:type="dxa"/>
        </w:tblCellMar>
      </w:tblPr>
      <w:tblGrid>
        <w:gridCol w:w="846"/>
        <w:gridCol w:w="1263"/>
        <w:gridCol w:w="6187"/>
      </w:tblGrid>
      <w:tr w14:paraId="7BD04462">
        <w:trPr>
          <w:trHeight w:val="546"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5769739">
            <w:pPr>
              <w:widowControl/>
              <w:spacing w:after="0" w:line="240" w:lineRule="auto"/>
              <w:jc w:val="center"/>
              <w:textAlignment w:val="top"/>
              <w:rPr>
                <w:rFonts w:hint="eastAsia" w:ascii="宋体" w:hAnsi="宋体" w:eastAsia="宋体" w:cs="宋体"/>
                <w:b/>
                <w:bCs/>
                <w:color w:val="000000"/>
                <w:sz w:val="24"/>
                <w:highlight w:val="none"/>
                <w14:ligatures w14:val="none"/>
              </w:rPr>
            </w:pPr>
            <w:r>
              <w:rPr>
                <w:rFonts w:hint="eastAsia" w:ascii="宋体" w:hAnsi="宋体" w:eastAsia="宋体" w:cs="宋体"/>
                <w:b/>
                <w:bCs/>
                <w:color w:val="000000"/>
                <w:kern w:val="0"/>
                <w:sz w:val="24"/>
                <w:highlight w:val="none"/>
                <w:lang w:bidi="ar"/>
                <w14:ligatures w14:val="none"/>
              </w:rPr>
              <w:t>序号</w:t>
            </w:r>
          </w:p>
        </w:tc>
        <w:tc>
          <w:tcPr>
            <w:tcW w:w="1263"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31B3234">
            <w:pPr>
              <w:widowControl/>
              <w:spacing w:after="0" w:line="240" w:lineRule="auto"/>
              <w:jc w:val="center"/>
              <w:textAlignment w:val="top"/>
              <w:rPr>
                <w:rFonts w:hint="eastAsia" w:ascii="宋体" w:hAnsi="宋体" w:eastAsia="宋体" w:cs="宋体"/>
                <w:b/>
                <w:bCs/>
                <w:color w:val="000000"/>
                <w:sz w:val="24"/>
                <w:highlight w:val="none"/>
                <w14:ligatures w14:val="none"/>
              </w:rPr>
            </w:pPr>
            <w:r>
              <w:rPr>
                <w:rFonts w:hint="eastAsia" w:ascii="宋体" w:hAnsi="宋体" w:eastAsia="宋体" w:cs="宋体"/>
                <w:b/>
                <w:bCs/>
                <w:color w:val="000000"/>
                <w:kern w:val="0"/>
                <w:sz w:val="24"/>
                <w:highlight w:val="none"/>
                <w:lang w:bidi="ar"/>
                <w14:ligatures w14:val="none"/>
              </w:rPr>
              <w:t>威胁种类</w:t>
            </w:r>
          </w:p>
        </w:tc>
        <w:tc>
          <w:tcPr>
            <w:tcW w:w="6187"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AEE97E9">
            <w:pPr>
              <w:widowControl/>
              <w:spacing w:after="0" w:line="240" w:lineRule="auto"/>
              <w:jc w:val="center"/>
              <w:textAlignment w:val="top"/>
              <w:rPr>
                <w:rFonts w:hint="eastAsia" w:ascii="宋体" w:hAnsi="宋体" w:eastAsia="宋体" w:cs="宋体"/>
                <w:b/>
                <w:bCs/>
                <w:color w:val="000000"/>
                <w:sz w:val="24"/>
                <w:highlight w:val="none"/>
                <w14:ligatures w14:val="none"/>
              </w:rPr>
            </w:pPr>
            <w:r>
              <w:rPr>
                <w:rFonts w:hint="eastAsia" w:ascii="宋体" w:hAnsi="宋体" w:eastAsia="宋体" w:cs="宋体"/>
                <w:b/>
                <w:bCs/>
                <w:color w:val="000000"/>
                <w:kern w:val="0"/>
                <w:sz w:val="24"/>
                <w:highlight w:val="none"/>
                <w:lang w:bidi="ar"/>
                <w14:ligatures w14:val="none"/>
              </w:rPr>
              <w:t>威胁名称</w:t>
            </w:r>
          </w:p>
        </w:tc>
      </w:tr>
      <w:tr w14:paraId="2311F620">
        <w:trPr>
          <w:trHeight w:val="240"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019EA">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4A4D3">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物理损害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D6532">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静电</w:t>
            </w:r>
          </w:p>
        </w:tc>
      </w:tr>
      <w:tr w14:paraId="5A61C8BD">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00136">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031F1">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物理损害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4D862">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漏水</w:t>
            </w:r>
          </w:p>
        </w:tc>
      </w:tr>
      <w:tr w14:paraId="4D3CD68B">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C9D96">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T3</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56495">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物理损害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762A3">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温湿度异常</w:t>
            </w:r>
          </w:p>
        </w:tc>
      </w:tr>
      <w:tr w14:paraId="73C22433">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00B96">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T4</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BA679">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物理损害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7E8407">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火灾</w:t>
            </w:r>
          </w:p>
        </w:tc>
      </w:tr>
      <w:tr w14:paraId="032481BB">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BFF6F">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T5</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7A027">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物理损害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2470B">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污染，灰尘</w:t>
            </w:r>
          </w:p>
        </w:tc>
      </w:tr>
      <w:tr w14:paraId="6737206A">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B48BA">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T6</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EC4AD">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物理损害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8F5B9">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鼠蚁虫害</w:t>
            </w:r>
          </w:p>
        </w:tc>
      </w:tr>
      <w:tr w14:paraId="6E2C98D0">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50545">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T7</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B2686">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物理损害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F9C95">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外部人员进行物理破坏、盗窃等</w:t>
            </w:r>
          </w:p>
        </w:tc>
      </w:tr>
      <w:tr w14:paraId="47706182">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D67D6">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T8</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652B3">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自然灾害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EC5FD">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地震</w:t>
            </w:r>
          </w:p>
        </w:tc>
      </w:tr>
      <w:tr w14:paraId="3E4E7405">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FBFBE">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T9</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69F8B">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自然灾害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A2B0B">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洪灾</w:t>
            </w:r>
          </w:p>
        </w:tc>
      </w:tr>
      <w:tr w14:paraId="542BFF22">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7E3E8">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T10</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AB8AF">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自然灾害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AB64D">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暴雨</w:t>
            </w:r>
          </w:p>
        </w:tc>
      </w:tr>
      <w:tr w14:paraId="5D8F0A34">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D6C17">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T11</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F5A42">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自然灾害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51F1C">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暴雪</w:t>
            </w:r>
          </w:p>
        </w:tc>
      </w:tr>
      <w:tr w14:paraId="15E7C1F7">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978FF">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T12</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A7ECE">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自然灾害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28BCE9">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台风（大风）</w:t>
            </w:r>
          </w:p>
        </w:tc>
      </w:tr>
      <w:tr w14:paraId="06D44A11">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78CEA">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T13</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FFCDC">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自然灾害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39730">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冰冻</w:t>
            </w:r>
          </w:p>
        </w:tc>
      </w:tr>
      <w:tr w14:paraId="40962FAC">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11F88">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T14</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58CEA2">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技术失效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D1FA56">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市电中断</w:t>
            </w:r>
          </w:p>
        </w:tc>
      </w:tr>
      <w:tr w14:paraId="1BC6B48B">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B728E">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T15</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567CB">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技术失效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4416F">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空调或供水系统故障</w:t>
            </w:r>
          </w:p>
        </w:tc>
      </w:tr>
      <w:tr w14:paraId="2A20555B">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3A3">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T16</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D54E0B">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技术失效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62136C">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走线架坍塌</w:t>
            </w:r>
          </w:p>
        </w:tc>
      </w:tr>
      <w:tr w14:paraId="5AFCB492">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EC0B8">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T17</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954E8">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技术失效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53103">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机房建设（设计、建设的缺陷、选址缺陷、走线施工或材料利用等缺陷）</w:t>
            </w:r>
          </w:p>
        </w:tc>
      </w:tr>
      <w:tr w14:paraId="19A9CC91">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6C984">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T18</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754EC">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技术失效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81388">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设备、链路故障</w:t>
            </w:r>
          </w:p>
        </w:tc>
      </w:tr>
      <w:tr w14:paraId="27647FBF">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EB536">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T19</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1ECB">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技术失效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732BE">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系统资源饱和（节假日或特殊时段的高话务大流量冲击等)</w:t>
            </w:r>
          </w:p>
        </w:tc>
      </w:tr>
      <w:tr w14:paraId="18A3E406">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49F06">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T20</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20FA4F">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技术失效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8DD38">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授权到期或超限</w:t>
            </w:r>
          </w:p>
        </w:tc>
      </w:tr>
      <w:tr w14:paraId="1BE34776">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9C03C">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T21</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598C4">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未授权行为</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0835F">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恶意操作</w:t>
            </w:r>
          </w:p>
        </w:tc>
      </w:tr>
      <w:tr w14:paraId="2670E584">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1917C">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T22</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5EA5B2">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未授权行为</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712EF">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违规操作</w:t>
            </w:r>
          </w:p>
        </w:tc>
      </w:tr>
      <w:tr w14:paraId="58009D9E">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5E9F2">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T23</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0CF7C">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功能损害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5601E">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关键操作管控不足（指南不合理、步骤不明确、预案不完善等)导致网络异常</w:t>
            </w:r>
          </w:p>
        </w:tc>
      </w:tr>
      <w:tr w14:paraId="2E047B28">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D9AB3">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T24</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217D7">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功能损害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CFDB0">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误操作（能力不足、责任心不足等)</w:t>
            </w:r>
          </w:p>
        </w:tc>
      </w:tr>
      <w:tr w14:paraId="0F8BDDAF">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EBC8B">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T25</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2B8C7">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功能损害</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6726A">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人员可用性破坏（员工/专家等配置缺陷、员工值班制度缺陷、人力资源计划与实施偏差缺陷）</w:t>
            </w:r>
          </w:p>
        </w:tc>
      </w:tr>
      <w:tr w14:paraId="158B76C5">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C2F33">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T26</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F63BF">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供应链失效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90CAE">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供应商失效</w:t>
            </w:r>
          </w:p>
        </w:tc>
      </w:tr>
      <w:tr w14:paraId="4B0213A3">
        <w:trPr>
          <w:trHeight w:val="288" w:hRule="atLeast"/>
          <w:jc w:val="center"/>
        </w:trPr>
        <w:tc>
          <w:tcPr>
            <w:tcW w:w="8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854CA">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T27</w:t>
            </w:r>
          </w:p>
        </w:tc>
        <w:tc>
          <w:tcPr>
            <w:tcW w:w="12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4C0CC">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供应链失效</w:t>
            </w:r>
          </w:p>
        </w:tc>
        <w:tc>
          <w:tcPr>
            <w:tcW w:w="61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1BA9A">
            <w:pPr>
              <w:widowControl/>
              <w:spacing w:after="0" w:line="240" w:lineRule="auto"/>
              <w:jc w:val="center"/>
              <w:textAlignment w:val="bottom"/>
              <w:rPr>
                <w:rFonts w:hint="eastAsia" w:ascii="宋体" w:hAnsi="宋体" w:eastAsia="宋体" w:cs="宋体"/>
                <w:color w:val="000000"/>
                <w:sz w:val="24"/>
                <w:highlight w:val="none"/>
                <w14:ligatures w14:val="none"/>
              </w:rPr>
            </w:pPr>
            <w:r>
              <w:rPr>
                <w:rFonts w:hint="eastAsia" w:ascii="宋体" w:hAnsi="宋体" w:eastAsia="宋体" w:cs="宋体"/>
                <w:color w:val="000000"/>
                <w:kern w:val="0"/>
                <w:sz w:val="24"/>
                <w:highlight w:val="none"/>
                <w:lang w:bidi="ar"/>
                <w14:ligatures w14:val="none"/>
              </w:rPr>
              <w:t>第三方运维问题（外部指令下发失误）、第三方平台故障、第三方接口故障</w:t>
            </w:r>
          </w:p>
        </w:tc>
      </w:tr>
    </w:tbl>
    <w:p w14:paraId="73BE381E">
      <w:pPr>
        <w:widowControl/>
        <w:spacing w:after="0" w:line="360" w:lineRule="auto"/>
        <w:ind w:firstLine="640" w:firstLineChars="200"/>
        <w:outlineLvl w:val="2"/>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2.风险识别</w:t>
      </w:r>
    </w:p>
    <w:p w14:paraId="57BCDA48">
      <w:pPr>
        <w:adjustRightInd w:val="0"/>
        <w:spacing w:after="0" w:line="360" w:lineRule="auto"/>
        <w:ind w:firstLine="640" w:firstLineChars="200"/>
        <w:jc w:val="both"/>
        <w:rPr>
          <w:rFonts w:hint="default"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14:ligatures w14:val="none"/>
        </w:rPr>
        <w:t>各</w:t>
      </w:r>
      <w:r>
        <w:rPr>
          <w:rFonts w:hint="eastAsia" w:ascii="仿宋_GB2312" w:hAnsi="仿宋" w:eastAsia="仿宋_GB2312" w:cs="宋体"/>
          <w:bCs/>
          <w:sz w:val="32"/>
          <w:szCs w:val="32"/>
          <w:highlight w:val="none"/>
          <w:lang w:val="en-US" w:eastAsia="zh-CN"/>
          <w14:ligatures w14:val="none"/>
        </w:rPr>
        <w:t>维护单位</w:t>
      </w:r>
      <w:r>
        <w:rPr>
          <w:rFonts w:hint="eastAsia" w:ascii="仿宋_GB2312" w:hAnsi="仿宋" w:eastAsia="仿宋_GB2312" w:cs="宋体"/>
          <w:bCs/>
          <w:sz w:val="32"/>
          <w:szCs w:val="32"/>
          <w:highlight w:val="none"/>
          <w14:ligatures w14:val="none"/>
        </w:rPr>
        <w:t>需要根据在不同危险源对</w:t>
      </w:r>
      <w:r>
        <w:rPr>
          <w:rFonts w:hint="eastAsia" w:ascii="仿宋_GB2312" w:hAnsi="仿宋" w:eastAsia="仿宋_GB2312" w:cs="宋体"/>
          <w:bCs/>
          <w:sz w:val="32"/>
          <w:szCs w:val="32"/>
          <w:highlight w:val="none"/>
          <w:lang w:val="en-US" w:eastAsia="zh-CN"/>
          <w14:ligatures w14:val="none"/>
        </w:rPr>
        <w:t>所辖</w:t>
      </w:r>
      <w:r>
        <w:rPr>
          <w:rFonts w:hint="eastAsia" w:ascii="仿宋_GB2312" w:hAnsi="仿宋" w:eastAsia="仿宋_GB2312" w:cs="宋体"/>
          <w:bCs/>
          <w:sz w:val="32"/>
          <w:szCs w:val="32"/>
          <w:highlight w:val="none"/>
          <w14:ligatures w14:val="none"/>
        </w:rPr>
        <w:t>网络资产不同的作用路径导致的危险，开展风险评估和标准化管理体系评估等工作，评估结果作为本</w:t>
      </w:r>
      <w:r>
        <w:rPr>
          <w:rFonts w:hint="eastAsia" w:ascii="仿宋_GB2312" w:hAnsi="仿宋" w:eastAsia="仿宋_GB2312" w:cs="宋体"/>
          <w:bCs/>
          <w:sz w:val="32"/>
          <w:szCs w:val="32"/>
          <w:highlight w:val="none"/>
          <w:lang w:val="en-US" w:eastAsia="zh-CN"/>
          <w14:ligatures w14:val="none"/>
        </w:rPr>
        <w:t>单位</w:t>
      </w:r>
      <w:r>
        <w:rPr>
          <w:rFonts w:hint="eastAsia" w:ascii="仿宋_GB2312" w:hAnsi="仿宋" w:eastAsia="仿宋_GB2312" w:cs="宋体"/>
          <w:bCs/>
          <w:sz w:val="32"/>
          <w:szCs w:val="32"/>
          <w:highlight w:val="none"/>
          <w14:ligatures w14:val="none"/>
        </w:rPr>
        <w:t>的风险条目并将其上报</w:t>
      </w:r>
      <w:r>
        <w:rPr>
          <w:rFonts w:hint="eastAsia" w:ascii="仿宋_GB2312" w:hAnsi="仿宋" w:eastAsia="仿宋_GB2312" w:cs="宋体"/>
          <w:bCs/>
          <w:sz w:val="32"/>
          <w:szCs w:val="32"/>
          <w:highlight w:val="none"/>
          <w:lang w:val="en-US" w:eastAsia="zh-CN"/>
          <w14:ligatures w14:val="none"/>
        </w:rPr>
        <w:t>省公司，详细工作要求见附件4《中国移动广东公司网络运行安全标准化管理体系评估实施细则》。</w:t>
      </w:r>
    </w:p>
    <w:p w14:paraId="6E83090E">
      <w:pPr>
        <w:widowControl/>
        <w:spacing w:after="0" w:line="360" w:lineRule="auto"/>
        <w:ind w:firstLine="640" w:firstLineChars="200"/>
        <w:outlineLvl w:val="2"/>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3.风险防控</w:t>
      </w:r>
    </w:p>
    <w:p w14:paraId="5F91ABAB">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各</w:t>
      </w:r>
      <w:r>
        <w:rPr>
          <w:rFonts w:hint="eastAsia" w:ascii="仿宋_GB2312" w:hAnsi="仿宋" w:eastAsia="仿宋_GB2312" w:cs="宋体"/>
          <w:bCs/>
          <w:sz w:val="32"/>
          <w:szCs w:val="32"/>
          <w:highlight w:val="none"/>
          <w:lang w:val="en-US" w:eastAsia="zh-CN"/>
          <w14:ligatures w14:val="none"/>
        </w:rPr>
        <w:t>维护单位</w:t>
      </w:r>
      <w:r>
        <w:rPr>
          <w:rFonts w:hint="eastAsia" w:ascii="仿宋_GB2312" w:hAnsi="仿宋" w:eastAsia="仿宋_GB2312" w:cs="宋体"/>
          <w:bCs/>
          <w:sz w:val="32"/>
          <w:szCs w:val="32"/>
          <w:highlight w:val="none"/>
          <w14:ligatures w14:val="none"/>
        </w:rPr>
        <w:t>通过风险评估得到的风险需确认当前防控措施，并将防控措施落实到位，避免落实不到位出现隐患；针对防控措施缺失的风险要制定措施，降低风险等级，避免安全事故发生。</w:t>
      </w:r>
    </w:p>
    <w:p w14:paraId="58647838">
      <w:pPr>
        <w:keepNext/>
        <w:keepLines/>
        <w:tabs>
          <w:tab w:val="left" w:pos="418"/>
        </w:tabs>
        <w:adjustRightInd w:val="0"/>
        <w:spacing w:before="160" w:after="80" w:line="279" w:lineRule="auto"/>
        <w:ind w:left="567"/>
        <w:outlineLvl w:val="1"/>
        <w:rPr>
          <w:rFonts w:hint="eastAsia" w:ascii="楷体" w:hAnsi="楷体" w:eastAsia="楷体" w:cs="楷体"/>
          <w:color w:val="000000"/>
          <w:sz w:val="32"/>
          <w:szCs w:val="40"/>
          <w:highlight w:val="none"/>
        </w:rPr>
      </w:pPr>
      <w:r>
        <w:rPr>
          <w:rFonts w:hint="eastAsia" w:ascii="楷体" w:hAnsi="楷体" w:eastAsia="楷体" w:cs="楷体"/>
          <w:color w:val="000000"/>
          <w:sz w:val="32"/>
          <w:szCs w:val="40"/>
          <w:highlight w:val="none"/>
        </w:rPr>
        <w:t>（二）隐患管理</w:t>
      </w:r>
    </w:p>
    <w:p w14:paraId="6D17175E">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网络隐患是指网络设备/系统/工具/线路、组网结构、机房环境等客观上存在的可能由各种原因导致网络故障且通过采取防范/整改措施能够消除的潜在危险因素。</w:t>
      </w:r>
    </w:p>
    <w:p w14:paraId="255D9B40">
      <w:pPr>
        <w:widowControl/>
        <w:spacing w:after="0" w:line="360" w:lineRule="auto"/>
        <w:ind w:firstLine="640" w:firstLineChars="200"/>
        <w:jc w:val="both"/>
        <w:outlineLvl w:val="2"/>
        <w:rPr>
          <w:rFonts w:ascii="仿宋_GB2312" w:hAnsi="Calibri" w:eastAsia="仿宋_GB2312" w:cs="Times New Roman"/>
          <w:b w:val="0"/>
          <w:bCs/>
          <w:sz w:val="32"/>
          <w:szCs w:val="32"/>
          <w:highlight w:val="none"/>
          <w14:ligatures w14:val="none"/>
        </w:rPr>
      </w:pPr>
      <w:r>
        <w:rPr>
          <w:rFonts w:hint="eastAsia" w:ascii="仿宋_GB2312" w:hAnsi="Calibri" w:eastAsia="仿宋_GB2312" w:cs="Times New Roman"/>
          <w:b w:val="0"/>
          <w:bCs/>
          <w:sz w:val="32"/>
          <w:szCs w:val="32"/>
          <w:highlight w:val="none"/>
          <w:lang w:val="en-US" w:eastAsia="zh-CN"/>
          <w14:ligatures w14:val="none"/>
        </w:rPr>
        <w:t>1</w:t>
      </w:r>
      <w:r>
        <w:rPr>
          <w:rFonts w:hint="eastAsia" w:ascii="仿宋_GB2312" w:hAnsi="Calibri" w:eastAsia="仿宋_GB2312" w:cs="Times New Roman"/>
          <w:b w:val="0"/>
          <w:bCs/>
          <w:sz w:val="32"/>
          <w:szCs w:val="32"/>
          <w:highlight w:val="none"/>
          <w14:ligatures w14:val="none"/>
        </w:rPr>
        <w:t>.隐患分类定级</w:t>
      </w:r>
    </w:p>
    <w:p w14:paraId="7CE4721F">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分类方面，网络隐患分为网元类、组网类、业务系统类、动环设施类、安全类、IT系统类、其它类共7大类，细分为39小类，详见下表：</w:t>
      </w:r>
    </w:p>
    <w:tbl>
      <w:tblPr>
        <w:tblStyle w:val="16"/>
        <w:tblW w:w="4999" w:type="pct"/>
        <w:tblInd w:w="0" w:type="dxa"/>
        <w:tblLayout w:type="autofit"/>
        <w:tblCellMar>
          <w:top w:w="0" w:type="dxa"/>
          <w:left w:w="108" w:type="dxa"/>
          <w:bottom w:w="0" w:type="dxa"/>
          <w:right w:w="108" w:type="dxa"/>
        </w:tblCellMar>
      </w:tblPr>
      <w:tblGrid>
        <w:gridCol w:w="3616"/>
        <w:gridCol w:w="4904"/>
      </w:tblGrid>
      <w:tr w14:paraId="45A9522C">
        <w:trPr>
          <w:trHeight w:val="300" w:hRule="atLeast"/>
        </w:trPr>
        <w:tc>
          <w:tcPr>
            <w:tcW w:w="2122" w:type="pct"/>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5D31D37E">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分类（7类）</w:t>
            </w:r>
          </w:p>
        </w:tc>
        <w:tc>
          <w:tcPr>
            <w:tcW w:w="2877" w:type="pct"/>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9AE926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详细分类（39类）</w:t>
            </w:r>
          </w:p>
        </w:tc>
      </w:tr>
      <w:tr w14:paraId="3856F341">
        <w:trPr>
          <w:trHeight w:val="300" w:hRule="atLeast"/>
        </w:trPr>
        <w:tc>
          <w:tcPr>
            <w:tcW w:w="212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1788F">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网元类</w:t>
            </w: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CEE3CF">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老旧网元隐患</w:t>
            </w:r>
          </w:p>
        </w:tc>
      </w:tr>
      <w:tr w14:paraId="03564A72">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05BC8">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1F827F">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网元硬件隐患</w:t>
            </w:r>
          </w:p>
        </w:tc>
      </w:tr>
      <w:tr w14:paraId="13115339">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95C4B">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ED35C">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网元软件隐患</w:t>
            </w:r>
          </w:p>
        </w:tc>
      </w:tr>
      <w:tr w14:paraId="5C5DD5B6">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E8D5E">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236870">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网元容量隐患</w:t>
            </w:r>
          </w:p>
        </w:tc>
      </w:tr>
      <w:tr w14:paraId="109187C9">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F4ED0">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3CEC8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网元配置隐患</w:t>
            </w:r>
          </w:p>
        </w:tc>
      </w:tr>
      <w:tr w14:paraId="0EBADE5C">
        <w:trPr>
          <w:trHeight w:val="300" w:hRule="atLeast"/>
        </w:trPr>
        <w:tc>
          <w:tcPr>
            <w:tcW w:w="212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70B6B">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组网类</w:t>
            </w: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11D5A7">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备用设备/链路/路由不可用隐患</w:t>
            </w:r>
          </w:p>
        </w:tc>
      </w:tr>
      <w:tr w14:paraId="776A36EB">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81CB7">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756B5B">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线路隐患</w:t>
            </w:r>
          </w:p>
        </w:tc>
      </w:tr>
      <w:tr w14:paraId="477CC9EC">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12715">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FBF900">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同路由隐患</w:t>
            </w:r>
          </w:p>
        </w:tc>
      </w:tr>
      <w:tr w14:paraId="155F82EE">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DCD4E">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2520B0">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超大环或长单链隐患</w:t>
            </w:r>
          </w:p>
        </w:tc>
      </w:tr>
      <w:tr w14:paraId="0A4A662B">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7453D">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6F9BB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网元无保护隐患</w:t>
            </w:r>
          </w:p>
        </w:tc>
      </w:tr>
      <w:tr w14:paraId="41F3AD78">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3D1A8">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B6E4F6">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网元同局址隐患</w:t>
            </w:r>
          </w:p>
        </w:tc>
      </w:tr>
      <w:tr w14:paraId="527AECE0">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025AF">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5DEB2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网元备份隐患</w:t>
            </w:r>
          </w:p>
        </w:tc>
      </w:tr>
      <w:tr w14:paraId="37C00CAC">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4F88C">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434CEF">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业务单侧接入隐患</w:t>
            </w:r>
          </w:p>
        </w:tc>
      </w:tr>
      <w:tr w14:paraId="412434A4">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76498">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090E5">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负载均衡隐患</w:t>
            </w:r>
          </w:p>
        </w:tc>
      </w:tr>
      <w:tr w14:paraId="5C2C1B13">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1BD53">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6C7A10">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组网结构不规范</w:t>
            </w:r>
          </w:p>
        </w:tc>
      </w:tr>
      <w:tr w14:paraId="2E27E199">
        <w:trPr>
          <w:trHeight w:val="300" w:hRule="atLeast"/>
        </w:trPr>
        <w:tc>
          <w:tcPr>
            <w:tcW w:w="212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48D1AC">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业务系统类</w:t>
            </w: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C32A9">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业务系统非网元类容灾隐患</w:t>
            </w:r>
          </w:p>
        </w:tc>
      </w:tr>
      <w:tr w14:paraId="06B43D1A">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EBDFE">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AD74E1">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业务系统非网元类软件隐患</w:t>
            </w:r>
          </w:p>
        </w:tc>
      </w:tr>
      <w:tr w14:paraId="61D36B30">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276F0">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06E2D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业务系统非网元类配置隐患</w:t>
            </w:r>
          </w:p>
        </w:tc>
      </w:tr>
      <w:tr w14:paraId="7AC97842">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6D709">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8EC532">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业务系统非网元类容量隐患</w:t>
            </w:r>
          </w:p>
        </w:tc>
      </w:tr>
      <w:tr w14:paraId="7C64869D">
        <w:trPr>
          <w:trHeight w:val="300" w:hRule="atLeast"/>
        </w:trPr>
        <w:tc>
          <w:tcPr>
            <w:tcW w:w="212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F7F0C">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动环设施类</w:t>
            </w: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B42E74">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动环设施低于规范要求隐患</w:t>
            </w:r>
          </w:p>
        </w:tc>
      </w:tr>
      <w:tr w14:paraId="6A0C2EFD">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FDEE9">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638E1C">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动环设施老旧隐患</w:t>
            </w:r>
          </w:p>
        </w:tc>
      </w:tr>
      <w:tr w14:paraId="68CA3C80">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D5A3D">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0538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动环设施异常隐患</w:t>
            </w:r>
          </w:p>
        </w:tc>
      </w:tr>
      <w:tr w14:paraId="03CE7AB8">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E7D62">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7889D5">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单核心机楼隐患</w:t>
            </w:r>
          </w:p>
        </w:tc>
      </w:tr>
      <w:tr w14:paraId="3C46CA88">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CB762">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F8D67F">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机房环境安全隐患</w:t>
            </w:r>
          </w:p>
        </w:tc>
      </w:tr>
      <w:tr w14:paraId="3B6675C3">
        <w:trPr>
          <w:trHeight w:val="300" w:hRule="atLeast"/>
        </w:trPr>
        <w:tc>
          <w:tcPr>
            <w:tcW w:w="212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2875C">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安全类</w:t>
            </w: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0A8620">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数据安全隐患</w:t>
            </w:r>
          </w:p>
        </w:tc>
      </w:tr>
      <w:tr w14:paraId="053ED76D">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CF583">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5E3FB9">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安全漏洞隐患</w:t>
            </w:r>
          </w:p>
        </w:tc>
      </w:tr>
      <w:tr w14:paraId="4707BDE8">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8D678">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91721B">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防火墙策略隐患</w:t>
            </w:r>
          </w:p>
        </w:tc>
      </w:tr>
      <w:tr w14:paraId="319724DB">
        <w:trPr>
          <w:trHeight w:val="9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C5C91">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CD06B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账号口令隐患</w:t>
            </w:r>
          </w:p>
        </w:tc>
      </w:tr>
      <w:tr w14:paraId="6DBC418F">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579B">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3A8289">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设备违规入网隐患</w:t>
            </w:r>
          </w:p>
        </w:tc>
      </w:tr>
      <w:tr w14:paraId="1A4AB0F2">
        <w:trPr>
          <w:trHeight w:val="300" w:hRule="atLeast"/>
        </w:trPr>
        <w:tc>
          <w:tcPr>
            <w:tcW w:w="212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698F5">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IT系统类</w:t>
            </w: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0266BF">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网管支撑系统备用隐患</w:t>
            </w:r>
          </w:p>
        </w:tc>
      </w:tr>
      <w:tr w14:paraId="590FBFAC">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03873">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9FD6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网管支撑系统软件隐患</w:t>
            </w:r>
          </w:p>
        </w:tc>
      </w:tr>
      <w:tr w14:paraId="60D37838">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3C212">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476177">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入网设备托管隐患</w:t>
            </w:r>
          </w:p>
        </w:tc>
      </w:tr>
      <w:tr w14:paraId="7BBFA1A8">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FCA7E">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24143">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网管支撑系统老旧设备隐患</w:t>
            </w:r>
          </w:p>
        </w:tc>
      </w:tr>
      <w:tr w14:paraId="3A101FBA">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25AD1">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A29FA6">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网管支撑系统容量隐患</w:t>
            </w:r>
          </w:p>
        </w:tc>
      </w:tr>
      <w:tr w14:paraId="01B5514A">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47C7D">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E2186D">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访问隐患</w:t>
            </w:r>
          </w:p>
        </w:tc>
      </w:tr>
      <w:tr w14:paraId="7CAA6DAC">
        <w:trPr>
          <w:trHeight w:val="300" w:hRule="atLeast"/>
        </w:trPr>
        <w:tc>
          <w:tcPr>
            <w:tcW w:w="212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2DE57">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其它类</w:t>
            </w:r>
          </w:p>
        </w:tc>
        <w:tc>
          <w:tcPr>
            <w:tcW w:w="2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B269D">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工具/系统软件隐患</w:t>
            </w:r>
          </w:p>
        </w:tc>
      </w:tr>
      <w:tr w14:paraId="79EDBF69">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E2504">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BB8D0">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性能隐患</w:t>
            </w:r>
          </w:p>
        </w:tc>
      </w:tr>
      <w:tr w14:paraId="5AA778EF">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37B15">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6F36D">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兼容性隐患</w:t>
            </w:r>
          </w:p>
        </w:tc>
      </w:tr>
      <w:tr w14:paraId="0A17F8B6">
        <w:trPr>
          <w:trHeight w:val="300" w:hRule="atLeast"/>
        </w:trPr>
        <w:tc>
          <w:tcPr>
            <w:tcW w:w="212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66656">
            <w:pPr>
              <w:spacing w:after="0" w:line="240" w:lineRule="auto"/>
              <w:jc w:val="center"/>
              <w:rPr>
                <w:rFonts w:hint="eastAsia" w:ascii="宋体" w:hAnsi="宋体" w:eastAsia="宋体" w:cs="微软雅黑"/>
                <w:color w:val="000000"/>
                <w:sz w:val="24"/>
                <w:highlight w:val="none"/>
                <w14:ligatures w14:val="none"/>
              </w:rPr>
            </w:pPr>
          </w:p>
        </w:tc>
        <w:tc>
          <w:tcPr>
            <w:tcW w:w="2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30327">
            <w:pPr>
              <w:widowControl/>
              <w:spacing w:after="0" w:line="240" w:lineRule="auto"/>
              <w:jc w:val="center"/>
              <w:textAlignment w:val="center"/>
              <w:rPr>
                <w:rFonts w:hint="eastAsia" w:ascii="宋体" w:hAnsi="宋体" w:eastAsia="宋体" w:cs="微软雅黑"/>
                <w:color w:val="000000"/>
                <w:sz w:val="24"/>
                <w:highlight w:val="none"/>
                <w14:ligatures w14:val="none"/>
              </w:rPr>
            </w:pPr>
            <w:r>
              <w:rPr>
                <w:rFonts w:hint="eastAsia" w:ascii="宋体" w:hAnsi="宋体" w:eastAsia="宋体" w:cs="微软雅黑"/>
                <w:color w:val="000000"/>
                <w:kern w:val="0"/>
                <w:sz w:val="24"/>
                <w:highlight w:val="none"/>
                <w:lang w:bidi="ar"/>
                <w14:ligatures w14:val="none"/>
              </w:rPr>
              <w:t>其它隐患</w:t>
            </w:r>
          </w:p>
        </w:tc>
      </w:tr>
    </w:tbl>
    <w:p w14:paraId="72122384">
      <w:pPr>
        <w:numPr>
          <w:ilvl w:val="255"/>
          <w:numId w:val="0"/>
        </w:numPr>
        <w:snapToGrid w:val="0"/>
        <w:spacing w:after="0" w:line="360" w:lineRule="auto"/>
        <w:ind w:right="88" w:rightChars="40"/>
        <w:jc w:val="both"/>
        <w:rPr>
          <w:rFonts w:hint="eastAsia" w:ascii="宋体" w:hAnsi="宋体" w:eastAsia="宋体" w:cs="宋体"/>
          <w:bCs/>
          <w:color w:val="4B4B4B"/>
          <w:sz w:val="21"/>
          <w:szCs w:val="21"/>
          <w:highlight w:val="none"/>
          <w14:ligatures w14:val="none"/>
        </w:rPr>
      </w:pPr>
    </w:p>
    <w:p w14:paraId="791E18AF">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定级方面，根据隐患可能造成的影响严重程度将网络隐患级别分为关键、一般、轻微。原则上，可能造成重大/重要故障的隐患为关键隐患；所在网络层级较高（如核心网控制类设备、CMNET城域核心层设备、传输网本地骨干层/汇聚层、动环数据中心/核心机楼等）、可能造成其它故障且产生一定业务影响（如DRA业务消息转发成功率下降10%）的隐患为一般隐患；所在网络层级较低（如核心网接入网元、CMNET城域接入层设备、传输网本地接入层设备、无线接入网设备、动环普通机房等）、可能造成其它故障但未产生实质性业务影响（如单个基站退服）的隐患为轻微隐患。</w:t>
      </w:r>
    </w:p>
    <w:p w14:paraId="321EA891">
      <w:pPr>
        <w:adjustRightInd w:val="0"/>
        <w:spacing w:after="0" w:line="360" w:lineRule="auto"/>
        <w:ind w:firstLine="640" w:firstLineChars="200"/>
        <w:jc w:val="both"/>
        <w:rPr>
          <w:rFonts w:hint="eastAsia" w:ascii="仿宋_GB2312" w:hAnsi="仿宋" w:eastAsia="仿宋_GB2312" w:cs="宋体"/>
          <w:bCs/>
          <w:sz w:val="32"/>
          <w:szCs w:val="32"/>
          <w:highlight w:val="none"/>
          <w:lang w:eastAsia="zh-CN"/>
          <w14:ligatures w14:val="none"/>
        </w:rPr>
      </w:pPr>
      <w:r>
        <w:rPr>
          <w:rFonts w:hint="eastAsia" w:ascii="仿宋_GB2312" w:hAnsi="仿宋" w:eastAsia="仿宋_GB2312" w:cs="宋体"/>
          <w:bCs/>
          <w:sz w:val="32"/>
          <w:szCs w:val="32"/>
          <w:highlight w:val="none"/>
          <w14:ligatures w14:val="none"/>
        </w:rPr>
        <w:t>根据隐患分类定级原则,</w:t>
      </w:r>
      <w:r>
        <w:rPr>
          <w:rFonts w:hint="eastAsia" w:ascii="仿宋_GB2312" w:hAnsi="仿宋" w:eastAsia="仿宋_GB2312" w:cs="宋体"/>
          <w:bCs/>
          <w:sz w:val="32"/>
          <w:szCs w:val="32"/>
          <w:highlight w:val="none"/>
          <w:lang w:val="en-US" w:eastAsia="zh-CN"/>
          <w14:ligatures w14:val="none"/>
        </w:rPr>
        <w:t>省网络管理中心网络监控室</w:t>
      </w:r>
      <w:r>
        <w:rPr>
          <w:rFonts w:hint="eastAsia" w:ascii="仿宋_GB2312" w:hAnsi="仿宋" w:eastAsia="仿宋_GB2312" w:cs="宋体"/>
          <w:bCs/>
          <w:sz w:val="32"/>
          <w:szCs w:val="32"/>
          <w:highlight w:val="none"/>
          <w14:ligatures w14:val="none"/>
        </w:rPr>
        <w:t>牵头梳理各专业隐患排查清单，形成网络隐患梳理表（</w:t>
      </w:r>
      <w:r>
        <w:rPr>
          <w:rFonts w:hint="eastAsia" w:ascii="仿宋_GB2312" w:hAnsi="仿宋" w:eastAsia="仿宋_GB2312" w:cs="宋体"/>
          <w:bCs/>
          <w:sz w:val="32"/>
          <w:szCs w:val="32"/>
          <w:highlight w:val="none"/>
          <w:lang w:val="en-US" w:eastAsia="zh-CN"/>
          <w14:ligatures w14:val="none"/>
        </w:rPr>
        <w:t>详见附件1</w:t>
      </w:r>
      <w:r>
        <w:rPr>
          <w:rFonts w:hint="eastAsia" w:ascii="仿宋_GB2312" w:hAnsi="仿宋" w:eastAsia="仿宋_GB2312" w:cs="宋体"/>
          <w:bCs/>
          <w:sz w:val="32"/>
          <w:szCs w:val="32"/>
          <w:highlight w:val="none"/>
          <w14:ligatures w14:val="none"/>
        </w:rPr>
        <w:t>）。省网络维护部门对所辖网络隐患梳理表进行管理，网络隐患梳理表更新需经网络部、规划技术部、工程建设部相关专业评审，报省网管中心监控专业发布，并录入隐患管理系统</w:t>
      </w:r>
      <w:r>
        <w:rPr>
          <w:rFonts w:hint="eastAsia" w:ascii="仿宋_GB2312" w:hAnsi="仿宋" w:eastAsia="仿宋_GB2312" w:cs="宋体"/>
          <w:bCs/>
          <w:sz w:val="32"/>
          <w:szCs w:val="32"/>
          <w:highlight w:val="none"/>
          <w:lang w:eastAsia="zh-CN"/>
          <w14:ligatures w14:val="none"/>
        </w:rPr>
        <w:t>。</w:t>
      </w:r>
    </w:p>
    <w:p w14:paraId="4D7491D3">
      <w:pPr>
        <w:widowControl/>
        <w:spacing w:after="0" w:line="360" w:lineRule="auto"/>
        <w:ind w:firstLine="640" w:firstLineChars="200"/>
        <w:jc w:val="both"/>
        <w:outlineLvl w:val="2"/>
        <w:rPr>
          <w:rFonts w:ascii="仿宋_GB2312" w:hAnsi="Calibri" w:eastAsia="仿宋_GB2312" w:cs="Times New Roman"/>
          <w:b w:val="0"/>
          <w:bCs/>
          <w:sz w:val="32"/>
          <w:szCs w:val="32"/>
          <w:highlight w:val="none"/>
          <w14:ligatures w14:val="none"/>
        </w:rPr>
      </w:pPr>
      <w:r>
        <w:rPr>
          <w:rFonts w:hint="eastAsia" w:ascii="仿宋_GB2312" w:hAnsi="Calibri" w:eastAsia="仿宋_GB2312" w:cs="Times New Roman"/>
          <w:b w:val="0"/>
          <w:bCs/>
          <w:sz w:val="32"/>
          <w:szCs w:val="32"/>
          <w:highlight w:val="none"/>
          <w:lang w:val="en-US" w:eastAsia="zh-CN"/>
          <w14:ligatures w14:val="none"/>
        </w:rPr>
        <w:t>2</w:t>
      </w:r>
      <w:r>
        <w:rPr>
          <w:rFonts w:hint="eastAsia" w:ascii="仿宋_GB2312" w:hAnsi="Calibri" w:eastAsia="仿宋_GB2312" w:cs="Times New Roman"/>
          <w:b w:val="0"/>
          <w:bCs/>
          <w:sz w:val="32"/>
          <w:szCs w:val="32"/>
          <w:highlight w:val="none"/>
          <w14:ligatures w14:val="none"/>
        </w:rPr>
        <w:t>.隐患排查</w:t>
      </w:r>
    </w:p>
    <w:p w14:paraId="38CFC9F1">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在“规建维优”各项生产流程中开展网络隐患排查。将网络隐患排查嵌入规划设计、入网验收阶段，规避项目设计方案、工程建设中可能存在的隐患，杜绝项目带病入网；将网络隐患排查嵌入割接管控流程，在割接方案制定、割接后运行观察等环节开展隐患排查，避免因割接操作引入现网隐患；将网络隐患排查嵌入故障处理流程，在故障处理完成后及时开展隐患排查，避免因故障处置引入现网隐患。针对重大/重要故障，故障处理完成后必须开展故障回溯隐患工作(参照</w:t>
      </w:r>
      <w:r>
        <w:rPr>
          <w:rFonts w:hint="eastAsia" w:ascii="仿宋_GB2312" w:hAnsi="仿宋" w:eastAsia="仿宋_GB2312" w:cs="宋体"/>
          <w:bCs/>
          <w:sz w:val="32"/>
          <w:szCs w:val="32"/>
          <w:highlight w:val="none"/>
          <w:lang w:val="en-US" w:eastAsia="zh-CN"/>
          <w14:ligatures w14:val="none"/>
        </w:rPr>
        <w:t>附件2</w:t>
      </w:r>
      <w:r>
        <w:rPr>
          <w:rFonts w:hint="eastAsia" w:ascii="仿宋_GB2312" w:hAnsi="仿宋" w:eastAsia="仿宋_GB2312" w:cs="宋体"/>
          <w:bCs/>
          <w:sz w:val="32"/>
          <w:szCs w:val="32"/>
          <w:highlight w:val="none"/>
          <w14:ligatures w14:val="none"/>
        </w:rPr>
        <w:t>《中国移动重大及重要故障回溯隐患机制》执行)。将网络隐患排查嵌入数据配置、日常巡检、投诉处理等其它生产流程中，实现隐患排查全覆盖。</w:t>
      </w:r>
    </w:p>
    <w:p w14:paraId="33D13745">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隐患排查手段方面，人工排查和智能挖掘相结合，应用多维数据（包括但不限于告警、工单、性能、投诉、拨测、日志、拓扑资源等），梳理并部署隐患智能挖掘规则，将隐患智能挖掘能力嵌入规划设计、入网验收、割接管控、故障处理、数据配置、日常巡检、投诉处理等生产流程中，实现隐患排查的自动化。</w:t>
      </w:r>
    </w:p>
    <w:p w14:paraId="3A9738BA">
      <w:pPr>
        <w:widowControl/>
        <w:spacing w:after="0" w:line="360" w:lineRule="auto"/>
        <w:ind w:firstLine="640" w:firstLineChars="200"/>
        <w:jc w:val="both"/>
        <w:outlineLvl w:val="2"/>
        <w:rPr>
          <w:rFonts w:ascii="仿宋_GB2312" w:hAnsi="Calibri" w:eastAsia="仿宋_GB2312" w:cs="Times New Roman"/>
          <w:b w:val="0"/>
          <w:bCs/>
          <w:sz w:val="32"/>
          <w:szCs w:val="32"/>
          <w:highlight w:val="none"/>
          <w14:ligatures w14:val="none"/>
        </w:rPr>
      </w:pPr>
      <w:r>
        <w:rPr>
          <w:rFonts w:hint="eastAsia" w:ascii="仿宋_GB2312" w:hAnsi="Calibri" w:eastAsia="仿宋_GB2312" w:cs="Times New Roman"/>
          <w:b w:val="0"/>
          <w:bCs/>
          <w:sz w:val="32"/>
          <w:szCs w:val="32"/>
          <w:highlight w:val="none"/>
          <w:lang w:val="en-US" w:eastAsia="zh-CN"/>
          <w14:ligatures w14:val="none"/>
        </w:rPr>
        <w:t>3</w:t>
      </w:r>
      <w:r>
        <w:rPr>
          <w:rFonts w:hint="eastAsia" w:ascii="仿宋_GB2312" w:hAnsi="Calibri" w:eastAsia="仿宋_GB2312" w:cs="Times New Roman"/>
          <w:b w:val="0"/>
          <w:bCs/>
          <w:sz w:val="32"/>
          <w:szCs w:val="32"/>
          <w:highlight w:val="none"/>
          <w14:ligatures w14:val="none"/>
        </w:rPr>
        <w:t>.隐患入库</w:t>
      </w:r>
    </w:p>
    <w:p w14:paraId="2F212A72">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发现隐患及时入库管理。网络隐患排查发现后，需及时纳入集中调度系统网络隐患库，参照网络隐患管理流程（</w:t>
      </w:r>
      <w:r>
        <w:rPr>
          <w:rFonts w:hint="eastAsia" w:ascii="仿宋_GB2312" w:hAnsi="仿宋" w:eastAsia="仿宋_GB2312" w:cs="宋体"/>
          <w:bCs/>
          <w:sz w:val="32"/>
          <w:szCs w:val="32"/>
          <w:highlight w:val="none"/>
          <w:lang w:val="en-US" w:eastAsia="zh-CN"/>
          <w14:ligatures w14:val="none"/>
        </w:rPr>
        <w:t>详见附录1</w:t>
      </w:r>
      <w:r>
        <w:rPr>
          <w:rFonts w:hint="eastAsia" w:ascii="仿宋_GB2312" w:hAnsi="仿宋" w:eastAsia="仿宋_GB2312" w:cs="宋体"/>
          <w:bCs/>
          <w:sz w:val="32"/>
          <w:szCs w:val="32"/>
          <w:highlight w:val="none"/>
          <w14:ligatures w14:val="none"/>
        </w:rPr>
        <w:t>）进行管理。网络隐患录入网络隐患库时，需生成隐患标准化ID，同时生成网络隐患流水号作为该条隐患的唯一标识。（隐患标准化ID及流水号编号规则详见</w:t>
      </w:r>
      <w:r>
        <w:rPr>
          <w:rFonts w:hint="eastAsia" w:ascii="仿宋_GB2312" w:hAnsi="仿宋" w:eastAsia="仿宋_GB2312" w:cs="宋体"/>
          <w:bCs/>
          <w:sz w:val="32"/>
          <w:szCs w:val="32"/>
          <w:highlight w:val="none"/>
          <w:lang w:val="en-US" w:eastAsia="zh-CN"/>
          <w14:ligatures w14:val="none"/>
        </w:rPr>
        <w:t>附件3）</w:t>
      </w:r>
      <w:r>
        <w:rPr>
          <w:rFonts w:hint="eastAsia" w:ascii="仿宋_GB2312" w:hAnsi="仿宋" w:eastAsia="仿宋_GB2312" w:cs="宋体"/>
          <w:bCs/>
          <w:sz w:val="32"/>
          <w:szCs w:val="32"/>
          <w:highlight w:val="none"/>
          <w14:ligatures w14:val="none"/>
        </w:rPr>
        <w:t>。维护责任单位原则上应在排查出隐患后48小时之内在网络隐患库完成隐患上报。</w:t>
      </w:r>
    </w:p>
    <w:p w14:paraId="4A117EE6">
      <w:pPr>
        <w:widowControl/>
        <w:spacing w:after="0" w:line="360" w:lineRule="auto"/>
        <w:ind w:firstLine="640" w:firstLineChars="200"/>
        <w:jc w:val="both"/>
        <w:outlineLvl w:val="2"/>
        <w:rPr>
          <w:rFonts w:ascii="仿宋_GB2312" w:hAnsi="Calibri" w:eastAsia="仿宋_GB2312" w:cs="Times New Roman"/>
          <w:b w:val="0"/>
          <w:bCs/>
          <w:sz w:val="32"/>
          <w:szCs w:val="32"/>
          <w:highlight w:val="none"/>
          <w14:ligatures w14:val="none"/>
        </w:rPr>
      </w:pPr>
      <w:r>
        <w:rPr>
          <w:rFonts w:hint="eastAsia" w:ascii="仿宋_GB2312" w:hAnsi="Calibri" w:eastAsia="仿宋_GB2312" w:cs="Times New Roman"/>
          <w:b w:val="0"/>
          <w:bCs/>
          <w:sz w:val="32"/>
          <w:szCs w:val="32"/>
          <w:highlight w:val="none"/>
          <w:lang w:val="en-US" w:eastAsia="zh-CN"/>
          <w14:ligatures w14:val="none"/>
        </w:rPr>
        <w:t>4</w:t>
      </w:r>
      <w:r>
        <w:rPr>
          <w:rFonts w:hint="eastAsia" w:ascii="仿宋_GB2312" w:hAnsi="Calibri" w:eastAsia="仿宋_GB2312" w:cs="Times New Roman"/>
          <w:b w:val="0"/>
          <w:bCs/>
          <w:sz w:val="32"/>
          <w:szCs w:val="32"/>
          <w:highlight w:val="none"/>
          <w14:ligatures w14:val="none"/>
        </w:rPr>
        <w:t>.隐患整改</w:t>
      </w:r>
    </w:p>
    <w:p w14:paraId="7166BC71">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加快推动隐患整改。维护责任单位原则上应在隐患发现后5个工作日内制定完备的整改方案及应急预案，整改方案应包括但不限于隐患详细描述、影响范围、整改措施、整改时限，应急预案应包括但不限于应急预案标题及修订记录、应急措施、启动条件、演练计划。维护责任单位应根据隐患级别、解决方案分类、网络专业确定隐患整改排期，并明确每个隐患的整改责任人，推动隐患按期完成整改。针对关键隐患、一般隐患，具备整改条件的应立行立改、即知即改，不涉及立项整改的排期不超过3个月，涉及立项整改的原则上排期不超过1年。</w:t>
      </w:r>
    </w:p>
    <w:p w14:paraId="25641989">
      <w:pPr>
        <w:widowControl/>
        <w:spacing w:after="0" w:line="360" w:lineRule="auto"/>
        <w:ind w:firstLine="640" w:firstLineChars="200"/>
        <w:jc w:val="both"/>
        <w:outlineLvl w:val="2"/>
        <w:rPr>
          <w:rFonts w:ascii="仿宋_GB2312" w:hAnsi="Calibri" w:eastAsia="仿宋_GB2312" w:cs="Times New Roman"/>
          <w:b w:val="0"/>
          <w:bCs/>
          <w:sz w:val="32"/>
          <w:szCs w:val="32"/>
          <w:highlight w:val="none"/>
          <w14:ligatures w14:val="none"/>
        </w:rPr>
      </w:pPr>
      <w:r>
        <w:rPr>
          <w:rFonts w:hint="eastAsia" w:ascii="仿宋_GB2312" w:hAnsi="Calibri" w:eastAsia="仿宋_GB2312" w:cs="Times New Roman"/>
          <w:b w:val="0"/>
          <w:bCs/>
          <w:sz w:val="32"/>
          <w:szCs w:val="32"/>
          <w:highlight w:val="none"/>
          <w:lang w:val="en-US" w:eastAsia="zh-CN"/>
          <w14:ligatures w14:val="none"/>
        </w:rPr>
        <w:t>5</w:t>
      </w:r>
      <w:r>
        <w:rPr>
          <w:rFonts w:hint="eastAsia" w:ascii="仿宋_GB2312" w:hAnsi="Calibri" w:eastAsia="仿宋_GB2312" w:cs="Times New Roman"/>
          <w:b w:val="0"/>
          <w:bCs/>
          <w:sz w:val="32"/>
          <w:szCs w:val="32"/>
          <w:highlight w:val="none"/>
          <w14:ligatures w14:val="none"/>
        </w:rPr>
        <w:t>.跟踪督办</w:t>
      </w:r>
    </w:p>
    <w:p w14:paraId="3EF80B9A">
      <w:pPr>
        <w:adjustRightInd w:val="0"/>
        <w:spacing w:after="0" w:line="360" w:lineRule="auto"/>
        <w:ind w:firstLine="640" w:firstLineChars="200"/>
        <w:jc w:val="both"/>
        <w:rPr>
          <w:rFonts w:hint="eastAsia" w:ascii="仿宋_GB2312" w:hAnsi="仿宋" w:eastAsia="仿宋_GB2312" w:cs="宋体"/>
          <w:b w:val="0"/>
          <w:bCs/>
          <w:sz w:val="32"/>
          <w:szCs w:val="32"/>
          <w:highlight w:val="none"/>
          <w14:ligatures w14:val="none"/>
        </w:rPr>
      </w:pPr>
      <w:r>
        <w:rPr>
          <w:rFonts w:hint="eastAsia" w:ascii="仿宋_GB2312" w:hAnsi="仿宋" w:eastAsia="仿宋_GB2312" w:cs="宋体"/>
          <w:bCs/>
          <w:sz w:val="32"/>
          <w:szCs w:val="32"/>
          <w:highlight w:val="none"/>
          <w14:ligatures w14:val="none"/>
        </w:rPr>
        <w:t>定期督办隐患整改进展。维护责任单位应明确每个隐患的督办责任人，督办责任人与整改责任人不允许为同一人。对于关键隐患，督办责任人建议由三级经理或同级别专家担任</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14:ligatures w14:val="none"/>
        </w:rPr>
        <w:t>对于一般隐患，督办责任人需由各单位隐患管理员担任</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14:ligatures w14:val="none"/>
        </w:rPr>
        <w:t>督办责任人需定期对隐患整改进展进行督办，针对解决排期在1年以内的隐患，需按月进行督办并在隐患库中更新隐患整改进展。针对解决排期超过1年的隐患，需按季度进行督办并在隐患库中更新隐患整改</w:t>
      </w:r>
      <w:r>
        <w:rPr>
          <w:rFonts w:hint="eastAsia" w:ascii="仿宋_GB2312" w:hAnsi="仿宋" w:eastAsia="仿宋_GB2312" w:cs="宋体"/>
          <w:b w:val="0"/>
          <w:bCs/>
          <w:sz w:val="32"/>
          <w:szCs w:val="32"/>
          <w:highlight w:val="none"/>
          <w14:ligatures w14:val="none"/>
        </w:rPr>
        <w:t>进展。</w:t>
      </w:r>
      <w:r>
        <w:rPr>
          <w:rFonts w:hint="eastAsia" w:ascii="仿宋_GB2312" w:hAnsi="仿宋" w:eastAsia="仿宋_GB2312" w:cs="宋体"/>
          <w:b w:val="0"/>
          <w:bCs/>
          <w:sz w:val="32"/>
          <w:szCs w:val="32"/>
          <w:highlight w:val="none"/>
          <w:lang w:val="en-US" w:eastAsia="zh-CN"/>
          <w14:ligatures w14:val="none"/>
        </w:rPr>
        <w:t>省公司</w:t>
      </w:r>
      <w:r>
        <w:rPr>
          <w:rFonts w:hint="eastAsia" w:ascii="仿宋_GB2312" w:hAnsi="仿宋" w:eastAsia="仿宋_GB2312" w:cs="宋体"/>
          <w:b w:val="0"/>
          <w:bCs/>
          <w:sz w:val="32"/>
          <w:szCs w:val="32"/>
          <w:highlight w:val="none"/>
          <w14:ligatures w14:val="none"/>
        </w:rPr>
        <w:t>将对未按时完成整改的隐患纳入通报考核。</w:t>
      </w:r>
    </w:p>
    <w:p w14:paraId="7141F581">
      <w:pPr>
        <w:widowControl/>
        <w:spacing w:after="0" w:line="360" w:lineRule="auto"/>
        <w:ind w:firstLine="640" w:firstLineChars="200"/>
        <w:jc w:val="both"/>
        <w:outlineLvl w:val="2"/>
        <w:rPr>
          <w:rFonts w:ascii="仿宋_GB2312" w:hAnsi="Calibri" w:eastAsia="仿宋_GB2312" w:cs="Times New Roman"/>
          <w:b w:val="0"/>
          <w:bCs/>
          <w:sz w:val="32"/>
          <w:szCs w:val="32"/>
          <w:highlight w:val="none"/>
          <w14:ligatures w14:val="none"/>
        </w:rPr>
      </w:pPr>
      <w:r>
        <w:rPr>
          <w:rFonts w:hint="eastAsia" w:ascii="仿宋_GB2312" w:hAnsi="Calibri" w:eastAsia="仿宋_GB2312" w:cs="Times New Roman"/>
          <w:b w:val="0"/>
          <w:bCs/>
          <w:sz w:val="32"/>
          <w:szCs w:val="32"/>
          <w:highlight w:val="none"/>
          <w:lang w:val="en-US" w:eastAsia="zh-CN"/>
          <w14:ligatures w14:val="none"/>
        </w:rPr>
        <w:t>6</w:t>
      </w:r>
      <w:r>
        <w:rPr>
          <w:rFonts w:hint="eastAsia" w:ascii="仿宋_GB2312" w:hAnsi="Calibri" w:eastAsia="仿宋_GB2312" w:cs="Times New Roman"/>
          <w:b w:val="0"/>
          <w:bCs/>
          <w:sz w:val="32"/>
          <w:szCs w:val="32"/>
          <w:highlight w:val="none"/>
          <w14:ligatures w14:val="none"/>
        </w:rPr>
        <w:t>.闭环质检</w:t>
      </w:r>
    </w:p>
    <w:p w14:paraId="751D081A">
      <w:pPr>
        <w:adjustRightInd w:val="0"/>
        <w:spacing w:after="0" w:line="360" w:lineRule="auto"/>
        <w:ind w:firstLine="640" w:firstLineChars="200"/>
        <w:jc w:val="both"/>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14:ligatures w14:val="none"/>
        </w:rPr>
        <w:t>保证隐患闭环质量。隐患整改后5个工作日内，需在网络隐患库上传隐患整改证明材料。整改证明材料包括但不限于：整改完成时间、整改措施、整改后的网络拓扑/资源信息（如涉及需提供）、整改后网管系统截图/现场图片等。</w:t>
      </w:r>
    </w:p>
    <w:p w14:paraId="60BC77B2">
      <w:pPr>
        <w:keepNext/>
        <w:keepLines/>
        <w:spacing w:after="0" w:line="415" w:lineRule="auto"/>
        <w:jc w:val="center"/>
        <w:rPr>
          <w:rFonts w:ascii="黑体" w:hAnsi="Arial" w:eastAsia="黑体" w:cs="Times New Roman"/>
          <w:bCs/>
          <w:sz w:val="24"/>
          <w:highlight w:val="none"/>
          <w14:ligatures w14:val="none"/>
        </w:rPr>
      </w:pPr>
    </w:p>
    <w:p w14:paraId="2EA785DB">
      <w:pPr>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br w:type="page"/>
      </w:r>
    </w:p>
    <w:p w14:paraId="75D57856">
      <w:pPr>
        <w:adjustRightInd w:val="0"/>
        <w:spacing w:after="0" w:line="360" w:lineRule="auto"/>
        <w:ind w:firstLine="640" w:firstLineChars="200"/>
        <w:jc w:val="both"/>
        <w:outlineLvl w:val="0"/>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附录1：网络隐患管理流程</w:t>
      </w:r>
    </w:p>
    <w:p w14:paraId="2C2B2B4C">
      <w:pPr>
        <w:keepNext/>
        <w:keepLines/>
        <w:spacing w:after="0" w:line="415" w:lineRule="auto"/>
        <w:ind w:left="709"/>
        <w:jc w:val="both"/>
        <w:rPr>
          <w:rFonts w:hint="eastAsia" w:ascii="黑体" w:hAnsi="黑体" w:eastAsia="黑体" w:cs="Arial"/>
          <w:b/>
          <w:bCs/>
          <w:kern w:val="28"/>
          <w:sz w:val="36"/>
          <w:szCs w:val="36"/>
          <w:highlight w:val="none"/>
          <w14:ligatures w14:val="none"/>
        </w:rPr>
      </w:pPr>
      <w:r>
        <w:rPr>
          <w:rFonts w:hint="eastAsia" w:ascii="仿宋_GB2312" w:hAnsi="宋体" w:eastAsia="仿宋_GB2312"/>
          <w:b/>
          <w:kern w:val="28"/>
          <w:sz w:val="30"/>
          <w:szCs w:val="30"/>
        </w:rPr>
        <w:drawing>
          <wp:inline distT="0" distB="0" distL="114300" distR="114300">
            <wp:extent cx="3947160" cy="7322185"/>
            <wp:effectExtent l="0" t="0" r="0" b="8255"/>
            <wp:docPr id="2" name="图片 2" descr="附录3：网络隐患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附录3：网络隐患管理流程"/>
                    <pic:cNvPicPr>
                      <a:picLocks noChangeAspect="1"/>
                    </pic:cNvPicPr>
                  </pic:nvPicPr>
                  <pic:blipFill>
                    <a:blip r:embed="rId9"/>
                    <a:stretch>
                      <a:fillRect/>
                    </a:stretch>
                  </pic:blipFill>
                  <pic:spPr>
                    <a:xfrm>
                      <a:off x="0" y="0"/>
                      <a:ext cx="3947160" cy="7322185"/>
                    </a:xfrm>
                    <a:prstGeom prst="rect">
                      <a:avLst/>
                    </a:prstGeom>
                  </pic:spPr>
                </pic:pic>
              </a:graphicData>
            </a:graphic>
          </wp:inline>
        </w:drawing>
      </w:r>
    </w:p>
    <w:p w14:paraId="22CE3542">
      <w:pPr>
        <w:keepNext/>
        <w:keepLines/>
        <w:spacing w:after="0" w:line="415" w:lineRule="auto"/>
        <w:ind w:left="709"/>
        <w:jc w:val="center"/>
        <w:rPr>
          <w:rFonts w:hint="eastAsia" w:ascii="仿宋_GB2312" w:hAnsi="仿宋" w:eastAsia="仿宋_GB2312" w:cs="宋体"/>
          <w:bCs/>
          <w:sz w:val="32"/>
          <w:szCs w:val="32"/>
          <w:highlight w:val="none"/>
          <w:lang w:val="en-US" w:eastAsia="zh-CN"/>
          <w14:ligatures w14:val="none"/>
        </w:rPr>
      </w:pPr>
    </w:p>
    <w:p w14:paraId="1AFA1A21">
      <w:pPr>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br w:type="page"/>
      </w:r>
    </w:p>
    <w:p w14:paraId="321EBA91">
      <w:pPr>
        <w:adjustRightInd w:val="0"/>
        <w:spacing w:after="0" w:line="360" w:lineRule="auto"/>
        <w:ind w:firstLine="640" w:firstLineChars="200"/>
        <w:jc w:val="both"/>
        <w:outlineLvl w:val="0"/>
        <w:rPr>
          <w:rFonts w:hint="eastAsia" w:ascii="仿宋_GB2312" w:hAnsi="仿宋" w:eastAsia="仿宋_GB2312" w:cs="宋体"/>
          <w:bCs/>
          <w:sz w:val="32"/>
          <w:szCs w:val="32"/>
          <w:highlight w:val="none"/>
          <w14:ligatures w14:val="none"/>
        </w:rPr>
      </w:pPr>
      <w:r>
        <w:rPr>
          <w:rFonts w:hint="eastAsia" w:ascii="仿宋_GB2312" w:hAnsi="仿宋" w:eastAsia="仿宋_GB2312" w:cs="宋体"/>
          <w:bCs/>
          <w:sz w:val="32"/>
          <w:szCs w:val="32"/>
          <w:highlight w:val="none"/>
          <w:lang w:val="en-US" w:eastAsia="zh-CN"/>
          <w14:ligatures w14:val="none"/>
        </w:rPr>
        <w:t>附件1</w:t>
      </w:r>
      <w:r>
        <w:rPr>
          <w:rFonts w:hint="eastAsia" w:ascii="仿宋_GB2312" w:hAnsi="仿宋" w:eastAsia="仿宋_GB2312" w:cs="宋体"/>
          <w:bCs/>
          <w:sz w:val="32"/>
          <w:szCs w:val="32"/>
          <w:highlight w:val="none"/>
          <w:lang w:eastAsia="zh-CN"/>
          <w14:ligatures w14:val="none"/>
        </w:rPr>
        <w:t>：</w:t>
      </w:r>
      <w:r>
        <w:rPr>
          <w:rFonts w:hint="eastAsia" w:ascii="仿宋_GB2312" w:hAnsi="仿宋" w:eastAsia="仿宋_GB2312" w:cs="宋体"/>
          <w:bCs/>
          <w:sz w:val="32"/>
          <w:szCs w:val="32"/>
          <w:highlight w:val="none"/>
          <w14:ligatures w14:val="none"/>
        </w:rPr>
        <w:t>网络隐患梳理表</w:t>
      </w:r>
    </w:p>
    <w:p w14:paraId="433B55C6">
      <w:pPr>
        <w:adjustRightInd w:val="0"/>
        <w:spacing w:after="0" w:line="360" w:lineRule="auto"/>
        <w:ind w:firstLine="640" w:firstLineChars="200"/>
        <w:jc w:val="both"/>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object>
          <v:shape id="_x0000_i1025" o:spt="75" type="#_x0000_t75" style="height:66pt;width:72.75pt;" o:ole="t" filled="f" o:preferrelative="t" stroked="f" coordsize="21600,21600">
            <v:path/>
            <v:fill on="f" focussize="0,0"/>
            <v:stroke on="f"/>
            <v:imagedata r:id="rId11" o:title=""/>
            <o:lock v:ext="edit" aspectratio="t"/>
            <w10:wrap type="none"/>
            <w10:anchorlock/>
          </v:shape>
          <o:OLEObject Type="Embed" ProgID="Excel.Sheet.12" ShapeID="_x0000_i1025" DrawAspect="Icon" ObjectID="_1468075725" r:id="rId10">
            <o:LockedField>false</o:LockedField>
          </o:OLEObject>
        </w:object>
      </w:r>
    </w:p>
    <w:p w14:paraId="313028C9">
      <w:pPr>
        <w:adjustRightInd w:val="0"/>
        <w:spacing w:after="0" w:line="360" w:lineRule="auto"/>
        <w:ind w:firstLine="640" w:firstLineChars="200"/>
        <w:jc w:val="both"/>
        <w:outlineLvl w:val="0"/>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附件2：重大及重要故障回溯隐患机制</w:t>
      </w:r>
    </w:p>
    <w:p w14:paraId="1A236E2D">
      <w:pPr>
        <w:keepNext/>
        <w:keepLines/>
        <w:spacing w:after="0" w:line="415" w:lineRule="auto"/>
        <w:ind w:left="709"/>
        <w:jc w:val="both"/>
        <w:rPr>
          <w:rFonts w:hint="eastAsia" w:ascii="黑体" w:hAnsi="黑体" w:eastAsia="黑体" w:cs="Arial"/>
          <w:b/>
          <w:bCs/>
          <w:kern w:val="28"/>
          <w:sz w:val="36"/>
          <w:szCs w:val="36"/>
          <w:highlight w:val="none"/>
          <w:lang w:eastAsia="zh-CN"/>
          <w14:ligatures w14:val="none"/>
        </w:rPr>
      </w:pPr>
      <w:r>
        <w:rPr>
          <w:rFonts w:hint="eastAsia" w:ascii="黑体" w:hAnsi="黑体" w:eastAsia="黑体" w:cs="Arial"/>
          <w:b/>
          <w:bCs/>
          <w:kern w:val="28"/>
          <w:sz w:val="36"/>
          <w:szCs w:val="36"/>
          <w:highlight w:val="none"/>
          <w:lang w:eastAsia="zh-CN"/>
          <w14:ligatures w14:val="none"/>
        </w:rPr>
        <w:object>
          <v:shape id="_x0000_i1026" o:spt="75" type="#_x0000_t75" style="height:66pt;width:72.75pt;" o:ole="t" filled="f" o:preferrelative="t" stroked="f" coordsize="21600,21600">
            <v:path/>
            <v:fill on="f" focussize="0,0"/>
            <v:stroke on="f"/>
            <v:imagedata r:id="rId13" o:title=""/>
            <o:lock v:ext="edit" aspectratio="t"/>
            <w10:wrap type="none"/>
            <w10:anchorlock/>
          </v:shape>
          <o:OLEObject Type="Embed" ProgID="Word.Document.12" ShapeID="_x0000_i1026" DrawAspect="Icon" ObjectID="_1468075726" r:id="rId12">
            <o:LockedField>false</o:LockedField>
          </o:OLEObject>
        </w:object>
      </w:r>
    </w:p>
    <w:p w14:paraId="5DA1551B">
      <w:pPr>
        <w:adjustRightInd w:val="0"/>
        <w:spacing w:after="0" w:line="360" w:lineRule="auto"/>
        <w:ind w:firstLine="640" w:firstLineChars="200"/>
        <w:jc w:val="both"/>
        <w:outlineLvl w:val="0"/>
        <w:rPr>
          <w:rFonts w:hint="default" w:ascii="Calibri" w:hAnsi="Calibri" w:eastAsia="宋体" w:cs="Times New Roman"/>
          <w:sz w:val="21"/>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t>附件3：隐患标准化ID及流水号编号规则</w:t>
      </w:r>
      <w:r>
        <w:rPr>
          <w:rFonts w:hint="eastAsia" w:ascii="Calibri" w:hAnsi="Calibri" w:eastAsia="宋体" w:cs="Times New Roman"/>
          <w:sz w:val="21"/>
          <w:highlight w:val="none"/>
          <w:lang w:val="en-US" w:eastAsia="zh-CN"/>
          <w14:ligatures w14:val="none"/>
        </w:rPr>
        <w:t xml:space="preserve"> </w:t>
      </w:r>
    </w:p>
    <w:p w14:paraId="3E94807A">
      <w:pPr>
        <w:adjustRightInd w:val="0"/>
        <w:spacing w:after="0" w:line="360" w:lineRule="auto"/>
        <w:ind w:firstLine="640" w:firstLineChars="200"/>
        <w:jc w:val="both"/>
        <w:outlineLvl w:val="0"/>
        <w:rPr>
          <w:rFonts w:hint="eastAsia" w:ascii="仿宋_GB2312" w:hAnsi="仿宋" w:eastAsia="仿宋_GB2312" w:cs="宋体"/>
          <w:bCs/>
          <w:sz w:val="32"/>
          <w:szCs w:val="32"/>
          <w:highlight w:val="none"/>
          <w:lang w:val="en-US" w:eastAsia="zh-CN"/>
          <w14:ligatures w14:val="none"/>
        </w:rPr>
      </w:pPr>
      <w:r>
        <w:rPr>
          <w:rFonts w:hint="eastAsia" w:ascii="仿宋_GB2312" w:hAnsi="仿宋" w:eastAsia="仿宋_GB2312" w:cs="宋体"/>
          <w:bCs/>
          <w:sz w:val="32"/>
          <w:szCs w:val="32"/>
          <w:highlight w:val="none"/>
          <w:lang w:val="en-US" w:eastAsia="zh-CN"/>
          <w14:ligatures w14:val="none"/>
        </w:rPr>
        <w:pict>
          <v:shape id="_x0000_s1026" o:spid="_x0000_s1026" o:spt="75" type="#_x0000_t75" style="position:absolute;left:0pt;margin-left:39pt;margin-top:10.8pt;height:65.4pt;width:72.6pt;mso-wrap-distance-bottom:0pt;mso-wrap-distance-top:0pt;z-index:251660288;mso-width-relative:page;mso-height-relative:page;" o:ole="t" filled="f" o:preferrelative="t" stroked="f" coordsize="21600,21600">
            <v:path/>
            <v:fill on="f" focussize="0,0"/>
            <v:stroke on="f"/>
            <v:imagedata r:id="rId15" o:title=""/>
            <o:lock v:ext="edit" aspectratio="t"/>
            <w10:wrap type="topAndBottom"/>
          </v:shape>
          <o:OLEObject Type="Embed" ProgID="Word.Document.12" ShapeID="_x0000_s1026" DrawAspect="Icon" ObjectID="_1468075727" r:id="rId14">
            <o:LockedField>false</o:LockedField>
          </o:OLEObject>
        </w:pict>
      </w:r>
      <w:r>
        <w:rPr>
          <w:rFonts w:hint="eastAsia" w:ascii="仿宋_GB2312" w:hAnsi="仿宋" w:eastAsia="仿宋_GB2312" w:cs="宋体"/>
          <w:bCs/>
          <w:sz w:val="32"/>
          <w:szCs w:val="32"/>
          <w:highlight w:val="none"/>
          <w:lang w:val="en-US" w:eastAsia="zh-CN"/>
          <w14:ligatures w14:val="none"/>
        </w:rPr>
        <w:t>附件4：中国移动广东公司网络运行安全标准化管理体系评估实施细则</w:t>
      </w:r>
    </w:p>
    <w:p w14:paraId="5E8D7EB5">
      <w:pPr>
        <w:adjustRightInd w:val="0"/>
        <w:spacing w:after="0" w:line="360" w:lineRule="auto"/>
        <w:ind w:firstLine="640" w:firstLineChars="200"/>
        <w:jc w:val="both"/>
        <w:outlineLvl w:val="0"/>
        <w:rPr>
          <w:rFonts w:hint="default" w:ascii="仿宋_GB2312" w:hAnsi="仿宋" w:eastAsia="仿宋_GB2312" w:cs="宋体"/>
          <w:bCs/>
          <w:sz w:val="32"/>
          <w:szCs w:val="32"/>
          <w:highlight w:val="none"/>
          <w:lang w:val="en-US" w:eastAsia="zh-CN"/>
          <w14:ligatures w14:val="none"/>
        </w:rPr>
      </w:pPr>
      <w:r>
        <w:rPr>
          <w:rFonts w:hint="default" w:ascii="仿宋_GB2312" w:hAnsi="仿宋" w:eastAsia="仿宋_GB2312" w:cs="宋体"/>
          <w:bCs/>
          <w:sz w:val="32"/>
          <w:szCs w:val="32"/>
          <w:highlight w:val="none"/>
          <w:lang w:val="en-US" w:eastAsia="zh-CN"/>
          <w14:ligatures w14:val="none"/>
        </w:rPr>
        <w:object>
          <v:shape id="_x0000_i1027" o:spt="75" type="#_x0000_t75" style="height:65.4pt;width:72.6pt;" o:ole="t" filled="f" o:preferrelative="t" stroked="f" coordsize="21600,21600">
            <v:path/>
            <v:fill on="f" focussize="0,0"/>
            <v:stroke on="f"/>
            <v:imagedata r:id="rId17" o:title=""/>
            <o:lock v:ext="edit" aspectratio="t"/>
            <w10:wrap type="none"/>
            <w10:anchorlock/>
          </v:shape>
          <o:OLEObject Type="Embed" ProgID="Word.Document.12" ShapeID="_x0000_i1027" DrawAspect="Icon" ObjectID="_1468075728" r:id="rId16">
            <o:LockedField>false</o:LockedField>
          </o:OLEObject>
        </w:object>
      </w:r>
    </w:p>
    <w:p w14:paraId="3A34588D">
      <w:pPr>
        <w:spacing w:after="0" w:line="600" w:lineRule="exact"/>
        <w:jc w:val="both"/>
        <w:rPr>
          <w:rFonts w:hint="eastAsia" w:ascii="Calibri" w:hAnsi="Calibri" w:eastAsia="宋体" w:cs="Times New Roman"/>
          <w:sz w:val="21"/>
          <w:highlight w:val="none"/>
          <w:lang w:eastAsia="zh-CN"/>
          <w14:ligatures w14:val="none"/>
        </w:rPr>
      </w:pPr>
    </w:p>
    <w:p w14:paraId="2780F3D1">
      <w:pPr>
        <w:spacing w:after="0" w:line="600" w:lineRule="exact"/>
        <w:jc w:val="both"/>
        <w:rPr>
          <w:rFonts w:ascii="Calibri" w:hAnsi="Calibri" w:eastAsia="宋体" w:cs="Times New Roman"/>
          <w:sz w:val="21"/>
          <w:highlight w:val="none"/>
          <w14:ligatures w14:val="none"/>
        </w:rPr>
      </w:pPr>
    </w:p>
    <w:p w14:paraId="3126ADFA">
      <w:pPr>
        <w:rPr>
          <w:rFonts w:hint="eastAsia"/>
          <w:highlight w:val="none"/>
        </w:rPr>
      </w:pP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8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altName w:val="方正仿宋_GBK"/>
    <w:panose1 w:val="0201060903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FE9CD">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733E0">
                          <w:pPr>
                            <w:pStyle w:val="11"/>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3F733E0">
                    <w:pPr>
                      <w:pStyle w:val="11"/>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76D49">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15467B"/>
    <w:multiLevelType w:val="multilevel"/>
    <w:tmpl w:val="1A15467B"/>
    <w:lvl w:ilvl="0" w:tentative="0">
      <w:start w:val="3"/>
      <w:numFmt w:val="japaneseCounting"/>
      <w:lvlText w:val="%1、"/>
      <w:lvlJc w:val="left"/>
      <w:pPr>
        <w:ind w:left="1360" w:hanging="720"/>
      </w:pPr>
      <w:rPr>
        <w:rFonts w:hint="default"/>
      </w:rPr>
    </w:lvl>
    <w:lvl w:ilvl="1" w:tentative="0">
      <w:start w:val="1"/>
      <w:numFmt w:val="japaneseCounting"/>
      <w:lvlText w:val="（%2）"/>
      <w:lvlJc w:val="left"/>
      <w:pPr>
        <w:ind w:left="2160" w:hanging="1080"/>
      </w:pPr>
      <w:rPr>
        <w:rFonts w:hint="default"/>
      </w:rPr>
    </w:lvl>
    <w:lvl w:ilvl="2" w:tentative="0">
      <w:start w:val="1"/>
      <w:numFmt w:val="lowerRoman"/>
      <w:lvlText w:val="%3."/>
      <w:lvlJc w:val="right"/>
      <w:pPr>
        <w:ind w:left="1960" w:hanging="440"/>
      </w:pPr>
    </w:lvl>
    <w:lvl w:ilvl="3" w:tentative="0">
      <w:start w:val="1"/>
      <w:numFmt w:val="decimal"/>
      <w:lvlText w:val="%4."/>
      <w:lvlJc w:val="left"/>
      <w:pPr>
        <w:ind w:left="2400" w:hanging="440"/>
      </w:pPr>
    </w:lvl>
    <w:lvl w:ilvl="4" w:tentative="0">
      <w:start w:val="1"/>
      <w:numFmt w:val="lowerLetter"/>
      <w:lvlText w:val="%5)"/>
      <w:lvlJc w:val="left"/>
      <w:pPr>
        <w:ind w:left="2840" w:hanging="440"/>
      </w:pPr>
    </w:lvl>
    <w:lvl w:ilvl="5" w:tentative="0">
      <w:start w:val="1"/>
      <w:numFmt w:val="lowerRoman"/>
      <w:lvlText w:val="%6."/>
      <w:lvlJc w:val="right"/>
      <w:pPr>
        <w:ind w:left="3280" w:hanging="440"/>
      </w:pPr>
    </w:lvl>
    <w:lvl w:ilvl="6" w:tentative="0">
      <w:start w:val="1"/>
      <w:numFmt w:val="decimal"/>
      <w:lvlText w:val="%7."/>
      <w:lvlJc w:val="left"/>
      <w:pPr>
        <w:ind w:left="3720" w:hanging="440"/>
      </w:pPr>
    </w:lvl>
    <w:lvl w:ilvl="7" w:tentative="0">
      <w:start w:val="1"/>
      <w:numFmt w:val="lowerLetter"/>
      <w:lvlText w:val="%8)"/>
      <w:lvlJc w:val="left"/>
      <w:pPr>
        <w:ind w:left="4160" w:hanging="440"/>
      </w:pPr>
    </w:lvl>
    <w:lvl w:ilvl="8" w:tentative="0">
      <w:start w:val="1"/>
      <w:numFmt w:val="lowerRoman"/>
      <w:lvlText w:val="%9."/>
      <w:lvlJc w:val="right"/>
      <w:pPr>
        <w:ind w:left="460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B31"/>
    <w:rsid w:val="00036F89"/>
    <w:rsid w:val="000846B8"/>
    <w:rsid w:val="0011659F"/>
    <w:rsid w:val="001220E7"/>
    <w:rsid w:val="001A2A31"/>
    <w:rsid w:val="001D5405"/>
    <w:rsid w:val="002121CC"/>
    <w:rsid w:val="002B29FE"/>
    <w:rsid w:val="002C2EA5"/>
    <w:rsid w:val="00342CE8"/>
    <w:rsid w:val="00375C68"/>
    <w:rsid w:val="004C6648"/>
    <w:rsid w:val="00585985"/>
    <w:rsid w:val="00656997"/>
    <w:rsid w:val="00663340"/>
    <w:rsid w:val="00676AB9"/>
    <w:rsid w:val="00681D96"/>
    <w:rsid w:val="00686A0D"/>
    <w:rsid w:val="006C2A3D"/>
    <w:rsid w:val="006C4BA3"/>
    <w:rsid w:val="00772422"/>
    <w:rsid w:val="007922A0"/>
    <w:rsid w:val="007B0F1E"/>
    <w:rsid w:val="00827ABF"/>
    <w:rsid w:val="009E5984"/>
    <w:rsid w:val="00A362D7"/>
    <w:rsid w:val="00A67C7F"/>
    <w:rsid w:val="00AF0170"/>
    <w:rsid w:val="00D214F2"/>
    <w:rsid w:val="00D44B31"/>
    <w:rsid w:val="00EB1B28"/>
    <w:rsid w:val="03EE333A"/>
    <w:rsid w:val="05E25CD6"/>
    <w:rsid w:val="06E654C8"/>
    <w:rsid w:val="08B66F9A"/>
    <w:rsid w:val="08D55170"/>
    <w:rsid w:val="0B777060"/>
    <w:rsid w:val="0C7F157F"/>
    <w:rsid w:val="0C9E7A71"/>
    <w:rsid w:val="0D822738"/>
    <w:rsid w:val="0DD17FF4"/>
    <w:rsid w:val="0DE907C9"/>
    <w:rsid w:val="0EF44384"/>
    <w:rsid w:val="11C9307C"/>
    <w:rsid w:val="12484460"/>
    <w:rsid w:val="132316DC"/>
    <w:rsid w:val="139A199E"/>
    <w:rsid w:val="13A059A6"/>
    <w:rsid w:val="13A622B6"/>
    <w:rsid w:val="17153028"/>
    <w:rsid w:val="1833416F"/>
    <w:rsid w:val="18536DD5"/>
    <w:rsid w:val="1ABE63ED"/>
    <w:rsid w:val="1AED1CBA"/>
    <w:rsid w:val="1E5721B2"/>
    <w:rsid w:val="1EB02F65"/>
    <w:rsid w:val="223720A2"/>
    <w:rsid w:val="244D0366"/>
    <w:rsid w:val="25BA3AEB"/>
    <w:rsid w:val="2A207E29"/>
    <w:rsid w:val="2AE15CAC"/>
    <w:rsid w:val="2E2A34C6"/>
    <w:rsid w:val="304E2FD7"/>
    <w:rsid w:val="32103781"/>
    <w:rsid w:val="34994256"/>
    <w:rsid w:val="34C7531E"/>
    <w:rsid w:val="36597FB4"/>
    <w:rsid w:val="3864559E"/>
    <w:rsid w:val="3B06174F"/>
    <w:rsid w:val="3C0F502C"/>
    <w:rsid w:val="3E36391C"/>
    <w:rsid w:val="45543180"/>
    <w:rsid w:val="45CA720B"/>
    <w:rsid w:val="474A4205"/>
    <w:rsid w:val="48FB35B8"/>
    <w:rsid w:val="493801A2"/>
    <w:rsid w:val="4C1007D3"/>
    <w:rsid w:val="4CDD4723"/>
    <w:rsid w:val="4DB66B06"/>
    <w:rsid w:val="4F1E25EA"/>
    <w:rsid w:val="4FA67B87"/>
    <w:rsid w:val="4FA873F3"/>
    <w:rsid w:val="5015592D"/>
    <w:rsid w:val="50B67E05"/>
    <w:rsid w:val="520914C1"/>
    <w:rsid w:val="55587413"/>
    <w:rsid w:val="56E01443"/>
    <w:rsid w:val="58666F3F"/>
    <w:rsid w:val="594C028D"/>
    <w:rsid w:val="59BA33D2"/>
    <w:rsid w:val="5C2528EA"/>
    <w:rsid w:val="6021144A"/>
    <w:rsid w:val="62DA69B5"/>
    <w:rsid w:val="631A1780"/>
    <w:rsid w:val="64AD5650"/>
    <w:rsid w:val="671962B5"/>
    <w:rsid w:val="676A4358"/>
    <w:rsid w:val="6BD44496"/>
    <w:rsid w:val="6C9C1458"/>
    <w:rsid w:val="6D8A7502"/>
    <w:rsid w:val="6DD022FF"/>
    <w:rsid w:val="6EE77306"/>
    <w:rsid w:val="756B5E6B"/>
    <w:rsid w:val="75EA241E"/>
    <w:rsid w:val="76391AC6"/>
    <w:rsid w:val="7640419E"/>
    <w:rsid w:val="7C4B2553"/>
    <w:rsid w:val="7CBD60D3"/>
    <w:rsid w:val="7CD633DE"/>
    <w:rsid w:val="7E612823"/>
    <w:rsid w:val="7F9441DB"/>
    <w:rsid w:val="C7775EE0"/>
    <w:rsid w:val="C8FB3813"/>
    <w:rsid w:val="D17BA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emf"/><Relationship Id="rId16" Type="http://schemas.openxmlformats.org/officeDocument/2006/relationships/oleObject" Target="embeddings/oleObject4.bin"/><Relationship Id="rId15" Type="http://schemas.openxmlformats.org/officeDocument/2006/relationships/image" Target="media/image5.emf"/><Relationship Id="rId14" Type="http://schemas.openxmlformats.org/officeDocument/2006/relationships/oleObject" Target="embeddings/oleObject3.bin"/><Relationship Id="rId13" Type="http://schemas.openxmlformats.org/officeDocument/2006/relationships/image" Target="media/image4.emf"/><Relationship Id="rId12" Type="http://schemas.openxmlformats.org/officeDocument/2006/relationships/oleObject" Target="embeddings/oleObject2.bin"/><Relationship Id="rId11" Type="http://schemas.openxmlformats.org/officeDocument/2006/relationships/image" Target="media/image3.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2372</Words>
  <Characters>2447</Characters>
  <Lines>45</Lines>
  <Paragraphs>12</Paragraphs>
  <TotalTime>855</TotalTime>
  <ScaleCrop>false</ScaleCrop>
  <LinksUpToDate>false</LinksUpToDate>
  <CharactersWithSpaces>2451</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2025-03-10T16:53:00Z</dcterms:created>
  <dc:creator>Z Ricardo.</dc:creator>
  <cp:lastModifiedBy>于凯_</cp:lastModifiedBy>
  <cp:lastPrinted>2025-03-11T18:06:00Z</cp:lastPrinted>
  <dcterms:modified xsi:type="dcterms:W3CDTF">2025-09-16T14:11:09Z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B89FECAFA515A4F37DFFC868132FAD4D_43</vt:lpwstr>
  </property>
  <property fmtid="{D5CDD505-2E9C-101B-9397-08002B2CF9AE}" pid="4" name="KSOTemplateDocerSaveRecord">
    <vt:lpwstr>eyJoZGlkIjoiZGE3Y2I3OTRlNTA1NjUwZGY1NGI3NTM4NWZhMGI4N2IiLCJ1c2VySWQiOiI0NjAzMzkxNTQifQ==</vt:lpwstr>
  </property>
</Properties>
</file>