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/>
        <w:jc w:val="center"/>
      </w:pPr>
      <w:r>
        <w:rPr>
          <w:b/>
          <w:color w:val="1F4E79"/>
          <w:sz w:val="52"/>
        </w:rPr>
        <w:t>AI Sales Agent Platform</w:t>
      </w:r>
    </w:p>
    <w:p>
      <w:pPr>
        <w:jc w:val="center"/>
      </w:pPr>
      <w:r>
        <w:rPr>
          <w:color w:val="464646"/>
          <w:sz w:val="28"/>
        </w:rPr>
        <w:t>Arquitetura e Decisões Técnicas (ADR resumido)</w:t>
      </w:r>
    </w:p>
    <w:p>
      <w:pPr>
        <w:spacing w:before="480"/>
        <w:jc w:val="center"/>
      </w:pPr>
      <w:r>
        <w:rPr>
          <w:sz w:val="20"/>
        </w:rPr>
        <w:t>Versão consolidada: v0.10</w:t>
        <w:br/>
        <w:t>Idioma: Português do Brasil (pt_BR)</w:t>
        <w:br/>
        <w:t>Status: laboratório técnico validado até v0.10</w:t>
      </w:r>
    </w:p>
    <w:p>
      <w:r>
        <w:br w:type="page"/>
      </w:r>
    </w:p>
    <w:p>
      <w:pPr>
        <w:pStyle w:val="Heading1"/>
      </w:pPr>
      <w:r>
        <w:t>1. Princípios adotados</w:t>
      </w:r>
    </w:p>
    <w:p>
      <w:pPr>
        <w:pStyle w:val="ListBullet"/>
        <w:spacing w:after="40"/>
      </w:pPr>
      <w:r>
        <w:t>Uma plataforma, múltiplos tenants: evitar duplicar aplicações por cliente.</w:t>
      </w:r>
    </w:p>
    <w:p>
      <w:pPr>
        <w:pStyle w:val="ListBullet"/>
        <w:spacing w:after="40"/>
      </w:pPr>
      <w:r>
        <w:t>Configuração orientada a dados: comportamento comercial muda por tenant sem rebuild.</w:t>
      </w:r>
    </w:p>
    <w:p>
      <w:pPr>
        <w:pStyle w:val="ListBullet"/>
        <w:spacing w:after="40"/>
      </w:pPr>
      <w:r>
        <w:t>LLM não é autoridade de segurança: políticas de tools também são aplicadas no backend.</w:t>
      </w:r>
    </w:p>
    <w:p>
      <w:pPr>
        <w:pStyle w:val="ListBullet"/>
        <w:spacing w:after="40"/>
      </w:pPr>
      <w:r>
        <w:t>Idempotência em entradas externas e ações de escrita.</w:t>
      </w:r>
    </w:p>
    <w:p>
      <w:pPr>
        <w:pStyle w:val="ListBullet"/>
        <w:spacing w:after="40"/>
      </w:pPr>
      <w:r>
        <w:t>Auditoria por padrão para agente, tools, canais e sessões.</w:t>
      </w:r>
    </w:p>
    <w:p>
      <w:pPr>
        <w:pStyle w:val="ListBullet"/>
        <w:spacing w:after="40"/>
      </w:pPr>
      <w:r>
        <w:t>Segredos fora do banco sempre que possível.</w:t>
      </w:r>
    </w:p>
    <w:p>
      <w:pPr>
        <w:pStyle w:val="ListBullet"/>
        <w:spacing w:after="40"/>
      </w:pPr>
      <w:r>
        <w:t>Laboratório e produção claramente separados.</w:t>
      </w:r>
    </w:p>
    <w:p>
      <w:pPr>
        <w:pStyle w:val="Heading1"/>
      </w:pPr>
      <w:r>
        <w:t>2. ADR-001 - Uma aplicação multi-tenant em vez de uma aplicação por cliente</w:t>
      </w:r>
    </w:p>
    <w:p>
      <w:pPr>
        <w:spacing w:after="100"/>
      </w:pPr>
      <w:r>
        <w:t>Decisão: usar um único runtime compartilhado com isolamento lógico por tenant_id e configuração dinâmica.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Critério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Multi-tenant escolhido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Uma aplicação por cliente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Deploy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Único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N deploys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Correções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Centralizadas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Repetidas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Custo operacional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Menor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Cresce por cliente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Isolamento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Exige disciplina no código/dados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Mais simples por processo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Onboarding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Configuração/provisionamento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Novo ambiente</w:t>
            </w:r>
          </w:p>
        </w:tc>
      </w:tr>
    </w:tbl>
    <w:p>
      <w:pPr>
        <w:spacing w:after="20"/>
      </w:pPr>
    </w:p>
    <w:p>
      <w:pPr>
        <w:spacing w:after="100"/>
      </w:pPr>
      <w:r>
        <w:t>Trade-off: o ganho operacional aumenta a responsabilidade sobre tenant scoping. Por isso filtros por tenant são aplicados nos serviços, catálogos, RAG e canais.</w:t>
      </w:r>
    </w:p>
    <w:p>
      <w:pPr>
        <w:pStyle w:val="Heading1"/>
      </w:pPr>
      <w:r>
        <w:t>3. ADR-002 - Tools filtradas no modelo e no servidor</w:t>
      </w:r>
    </w:p>
    <w:p>
      <w:pPr>
        <w:spacing w:after="100"/>
      </w:pPr>
      <w:r>
        <w:t>Decisão: não basta esconder uma tool do catálogo enviado ao LLM. A mesma allowlist filtrada é usada no executor server-side.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8F5E9"/>
          </w:tcPr>
          <w:p>
            <w:r>
              <w:rPr>
                <w:b/>
              </w:rPr>
              <w:t xml:space="preserve">Risco evitado — </w:t>
            </w:r>
            <w:r>
              <w:t>Um modelo poderia tentar chamar uma função pelo nome mesmo sem ela aparecer no prompt. A autorização precisa existir fora do modelo.</w:t>
            </w:r>
          </w:p>
        </w:tc>
      </w:tr>
    </w:tbl>
    <w:p>
      <w:pPr>
        <w:spacing w:after="20"/>
      </w:pPr>
    </w:p>
    <w:p>
      <w:pPr>
        <w:pStyle w:val="Heading1"/>
      </w:pPr>
      <w:r>
        <w:t>4. ADR-003 - Catálogo de produtos no banco</w:t>
      </w:r>
    </w:p>
    <w:p>
      <w:pPr>
        <w:spacing w:after="100"/>
      </w:pPr>
      <w:r>
        <w:t>Decisão: check_price consulta tenant_products em vez de dicionário hardcoded. Isso permite preços diferentes por cliente, atualização em runtime e elimina rebuild para mudança comercial.</w:t>
      </w:r>
    </w:p>
    <w:p>
      <w:pPr>
        <w:pStyle w:val="Heading1"/>
      </w:pPr>
      <w:r>
        <w:t>5. ADR-004 - Idempotência</w:t>
      </w:r>
    </w:p>
    <w:p>
      <w:pPr>
        <w:spacing w:after="100"/>
      </w:pPr>
      <w:r>
        <w:t>A idempotência aparece em três camadas: tools de escrita, mensagens de canal e chamadas de voz.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Contexto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Chave conceitual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Resultado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create_lead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tenant + idempotency key + tool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Evita lead duplicado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provider + provider_event_id/wamid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Evita processar replay da Meta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Voice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tenant + provider + provider_call_id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Evita reprocessar a mesma chamada/evento</w:t>
            </w:r>
          </w:p>
        </w:tc>
      </w:tr>
    </w:tbl>
    <w:p>
      <w:pPr>
        <w:spacing w:after="20"/>
      </w:pPr>
    </w:p>
    <w:p>
      <w:pPr>
        <w:pStyle w:val="Heading1"/>
      </w:pPr>
      <w:r>
        <w:t>6. ADR-005 - ACK rápido no webhook</w:t>
      </w:r>
    </w:p>
    <w:p>
      <w:pPr>
        <w:spacing w:after="100"/>
      </w:pPr>
      <w:r>
        <w:t>Decisão: validar, persistir e responder 200 antes de esperar o LLM. O processamento do agente acontece depois. Isso reduz risco de timeout/retry do provedor.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FF8E1"/>
          </w:tcPr>
          <w:p>
            <w:r>
              <w:rPr>
                <w:b/>
              </w:rPr>
              <w:t xml:space="preserve">Evolução de produção — </w:t>
            </w:r>
            <w:r>
              <w:t>Substituir background in-process por fila durável e worker para eliminar janela de perda em restart.</w:t>
            </w:r>
          </w:p>
        </w:tc>
      </w:tr>
    </w:tbl>
    <w:p>
      <w:pPr>
        <w:spacing w:after="20"/>
      </w:pPr>
    </w:p>
    <w:p>
      <w:pPr>
        <w:pStyle w:val="Heading1"/>
      </w:pPr>
      <w:r>
        <w:t>7. ADR-006 - LangGraph como orquestrador, serviços especializados fora do estado</w:t>
      </w:r>
    </w:p>
    <w:p>
      <w:pPr>
        <w:spacing w:after="100"/>
      </w:pPr>
      <w:r>
        <w:t>O grafo armazena estado de conversa e decisões, mas dependências de runtime como sessão de banco e serviços não são serializadas no checkpoint. Isso mantém o estado persistível e evita acoplamento a objetos não serializáveis.</w:t>
      </w:r>
    </w:p>
    <w:p>
      <w:pPr>
        <w:pStyle w:val="Heading1"/>
      </w:pPr>
      <w:r>
        <w:t>8. ADR-007 - HITL persistente</w:t>
      </w:r>
    </w:p>
    <w:p>
      <w:pPr>
        <w:spacing w:after="100"/>
      </w:pPr>
      <w:r>
        <w:t>Decisão: usar interrupt/resume nativos do LangGraph e impedir nova mensagem quando há uma revisão pendente. Aprovação ou rejeição vira parte do estado, com reviewer e nota.</w:t>
      </w:r>
    </w:p>
    <w:p>
      <w:pPr>
        <w:pStyle w:val="Heading1"/>
      </w:pPr>
      <w:r>
        <w:t>9. ADR-008 - RAG em PostgreSQL + pgvector</w:t>
      </w:r>
    </w:p>
    <w:p>
      <w:pPr>
        <w:spacing w:after="100"/>
      </w:pPr>
      <w:r>
        <w:t>Decisão: manter dados transacionais e vetores no mesmo banco durante a fase de portfólio. Benefícios: simplicidade operacional, backup único e filtros tenant-scoped naturais.</w:t>
      </w:r>
    </w:p>
    <w:p>
      <w:pPr>
        <w:spacing w:after="100"/>
      </w:pPr>
      <w:r>
        <w:t>Lição aprendida: não combinar manualmente codec pgvector do asyncpg com o tipo VECTOR do SQLAlchemy quando ambos tentam serializar o embedding; a correção foi deixar o tipo SQLAlchemy controlar o binding.</w:t>
      </w:r>
    </w:p>
    <w:p>
      <w:pPr>
        <w:pStyle w:val="Heading1"/>
      </w:pPr>
      <w:r>
        <w:t>10. ADR-009 - Segredos fora do banco</w:t>
      </w:r>
    </w:p>
    <w:p>
      <w:pPr>
        <w:spacing w:after="100"/>
      </w:pPr>
      <w:r>
        <w:t>Channel accounts guardam apenas referências como access_token_env. Tokens reais permanecem em variáveis de ambiente/secret manager. Isso reduz exposição em dumps de banco.</w:t>
      </w:r>
    </w:p>
    <w:p>
      <w:pPr>
        <w:pStyle w:val="Heading1"/>
      </w:pPr>
      <w:r>
        <w:t>11. ADR-010 - Separar decisão do agente e transporte de voz</w:t>
      </w:r>
    </w:p>
    <w:p>
      <w:pPr>
        <w:spacing w:after="100"/>
      </w:pPr>
      <w:r>
        <w:t>LangGraph decide o que responder e usa tools/RAG. OpenAI Realtime cuida do áudio. Twilio-compatible bridge cuida de framing e controle de mídia. Essa separação facilita trocar modelos, telefonia ou codec sem reescrever o agente inteiro.</w:t>
      </w:r>
    </w:p>
    <w:p>
      <w:pPr>
        <w:pStyle w:val="Codigo"/>
        <w:shd w:fill="F3F4F6"/>
      </w:pPr>
      <w:r>
        <w:t>Agente (semântico)     Transporte (mídia)</w:t>
        <w:br/>
        <w:t>LangGraph -&gt; resposta -&gt; Realtime -&gt; PCMU -&gt; Twilio-compatible WS</w:t>
      </w:r>
    </w:p>
    <w:p>
      <w:pPr>
        <w:pStyle w:val="Heading1"/>
      </w:pPr>
      <w:r>
        <w:t>12. ADR-011 - Barge-in com clear</w:t>
      </w:r>
    </w:p>
    <w:p>
      <w:pPr>
        <w:spacing w:after="100"/>
      </w:pPr>
      <w:r>
        <w:t>Durante playback, novo áudio inbound é tratado como interrupção. A ponte interrompe os frames futuros e envia clear para esvaziar o buffer remoto. A sessão registra interrupted=true e incrementa barge_in_count.</w:t>
      </w:r>
    </w:p>
    <w:p>
      <w:pPr>
        <w:pStyle w:val="Heading1"/>
      </w:pPr>
      <w:r>
        <w:t>13. Segurança por fronteira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Fronteira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Controle atual</w:t>
            </w:r>
          </w:p>
        </w:tc>
        <w:tc>
          <w:tcPr>
            <w:tcW w:type="dxa" w:w="3312"/>
            <w:vAlign w:val="center"/>
            <w:shd w:fill="EAF2F8"/>
          </w:tcPr>
          <w:p>
            <w:r/>
            <w:r>
              <w:rPr>
                <w:b/>
                <w:sz w:val="18"/>
              </w:rPr>
              <w:t>Produção recomendada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REST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JWT + RBAC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JWT/OIDC corporativo + rotação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WhatsApp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HMAC Meta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HMAC + segredo em secret manager + fila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Twilio lab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VOICE_BRIDGE_LAB_TOKEN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X-Twilio-Signature real + WSS público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Dados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tenant_id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RLS opcional + testes de isolamento</w:t>
            </w:r>
          </w:p>
        </w:tc>
      </w:tr>
      <w:tr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Segredos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env vars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b w:val="0"/>
                <w:sz w:val="17"/>
              </w:rPr>
              <w:t>AWS Secrets Manager / Azure Key Vault / GCP Secret Manager</w:t>
            </w:r>
          </w:p>
        </w:tc>
      </w:tr>
    </w:tbl>
    <w:p>
      <w:pPr>
        <w:spacing w:after="20"/>
      </w:pPr>
    </w:p>
    <w:p>
      <w:pPr>
        <w:pStyle w:val="Heading1"/>
      </w:pPr>
      <w:r>
        <w:t>14. Observabilidade futura</w:t>
      </w:r>
    </w:p>
    <w:p>
      <w:pPr>
        <w:pStyle w:val="ListBullet"/>
        <w:spacing w:after="40"/>
      </w:pPr>
      <w:r>
        <w:t>SLIs: taxa de sucesso, latência p50/p95/p99, erros de tool, tempo de primeira resposta, tempo de primeira mídia de voz.</w:t>
      </w:r>
    </w:p>
    <w:p>
      <w:pPr>
        <w:pStyle w:val="ListBullet"/>
        <w:spacing w:after="40"/>
      </w:pPr>
      <w:r>
        <w:t>SLOs separados para REST, webhook e Realtime.</w:t>
      </w:r>
    </w:p>
    <w:p>
      <w:pPr>
        <w:pStyle w:val="ListBullet"/>
        <w:spacing w:after="40"/>
      </w:pPr>
      <w:r>
        <w:t>Tracing distribuído com correlation_id entre channel_event, conversation, AgentRun, ToolCall e voice_session.</w:t>
      </w:r>
    </w:p>
    <w:p>
      <w:pPr>
        <w:pStyle w:val="ListBullet"/>
        <w:spacing w:after="40"/>
      </w:pPr>
      <w:r>
        <w:t>Métricas de custo por tenant: tokens, embeddings, Realtime audio tokens e chamadas externas.</w:t>
      </w:r>
    </w:p>
    <w:p>
      <w:pPr>
        <w:pStyle w:val="ListBullet"/>
        <w:spacing w:after="40"/>
      </w:pPr>
      <w:r>
        <w:t>Alertas por error budget em vez de apenas thresholds isolados.</w:t>
      </w:r>
    </w:p>
    <w:p>
      <w:pPr>
        <w:pStyle w:val="Heading1"/>
      </w:pPr>
      <w:r>
        <w:t>15. Decisões a reavaliar em escala</w:t>
      </w:r>
    </w:p>
    <w:p>
      <w:pPr>
        <w:pStyle w:val="ListBullet"/>
        <w:spacing w:after="40"/>
      </w:pPr>
      <w:r>
        <w:t>PostgreSQL compartilhado pode evoluir para RLS, schemas separados ou bancos separados para tenants de maior criticidade.</w:t>
      </w:r>
    </w:p>
    <w:p>
      <w:pPr>
        <w:pStyle w:val="ListBullet"/>
        <w:spacing w:after="40"/>
      </w:pPr>
      <w:r>
        <w:t>BackgroundTask deve migrar para fila durável.</w:t>
      </w:r>
    </w:p>
    <w:p>
      <w:pPr>
        <w:pStyle w:val="ListBullet"/>
        <w:spacing w:after="40"/>
      </w:pPr>
      <w:r>
        <w:t>Redis deve ter papel explícito (cache, rate limit, fila ou sessão) e observabilidade própria.</w:t>
      </w:r>
    </w:p>
    <w:p>
      <w:pPr>
        <w:pStyle w:val="ListBullet"/>
        <w:spacing w:after="40"/>
      </w:pPr>
      <w:r>
        <w:t>WebSocket de voz em múltiplas réplicas pode exigir afinidade de sessão ou estado externo.</w:t>
      </w:r>
    </w:p>
    <w:p>
      <w:pPr>
        <w:pStyle w:val="ListBullet"/>
        <w:spacing w:after="40"/>
      </w:pPr>
      <w:r>
        <w:t>Rate limiting e quotas por tenant devem impedir noisy neighbor.</w:t>
      </w:r>
    </w:p>
    <w:p>
      <w:pPr>
        <w:pStyle w:val="ListBullet"/>
        <w:spacing w:after="40"/>
      </w:pPr>
      <w:r>
        <w:t>Custos de Realtime e embeddings precisam de budget por tenant.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Página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E6E6E"/>
        <w:sz w:val="16"/>
      </w:rPr>
      <w:t>AI Sales Agent Platform | Documentação pt_BR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before="80" w:after="80"/>
      <w:ind w:left="360" w:right="360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