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33A0"/>
          </w:tcPr>
          <w:p>
            <w:r>
              <w:rPr>
                <w:sz w:val="36"/>
              </w:rPr>
            </w:r>
            <w:r>
              <w:rPr>
                <w:rFonts w:ascii="Arial" w:hAnsi="Arial"/>
                <w:b/>
                <w:color w:val="FFFFFF"/>
              </w:rPr>
              <w:t>BV | RMC Copilot</w:t>
            </w:r>
          </w:p>
        </w:tc>
      </w:tr>
      <w:tr>
        <w:tc>
          <w:tcPr>
            <w:tcW w:type="dxa" w:w="8640"/>
            <w:shd w:fill="F2F4F7"/>
          </w:tcPr>
          <w:p>
            <w:r/>
            <w:r>
              <w:rPr>
                <w:rFonts w:ascii="Arial" w:hAnsi="Arial"/>
                <w:b/>
                <w:color w:val="1F2937"/>
              </w:rPr>
              <w:t>Relatório de Análise Individual de Recursos — SRV-DASHPRD01</w:t>
              <w:br/>
              <w:t>Classificação: PÚBLICO</w:t>
            </w:r>
          </w:p>
        </w:tc>
      </w:tr>
    </w:tbl>
    <w:p/>
    <w:p>
      <w:pPr>
        <w:pStyle w:val="Heading1"/>
        <w:jc w:val="left"/>
      </w:pPr>
      <w:r>
        <w:t>Relatório de Análise Individual de Recursos — SRV-DASHPRD01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Solicitação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SOL178954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Servidor / VM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SRV-DASHPRD01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Recurso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Disco (Partição C:)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histórico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90 dias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analisado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20/03/2026 a 17/06/2026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Analista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Francisco Alves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Origem dos dados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streamlit/local_simulado</w:t>
            </w:r>
          </w:p>
        </w:tc>
      </w:tr>
    </w:tbl>
    <w:p>
      <w:pPr>
        <w:pStyle w:val="Heading2"/>
      </w:pPr>
      <w:r>
        <w:t>1. Resumo Executivo</w:t>
      </w:r>
    </w:p>
    <w:p>
      <w:r>
        <w:t>A análise do recurso Disco (Partição C:) da VM SRV-DASHPRD01 indica comportamento operacional estável. A capacidade atual é de 179.40 GB, o uso médio foi de 77.44 GB (43.16%) e o P95 ficou em 81.24 GB (45.28%), dentro da margem de segurança de 80%.</w:t>
      </w:r>
    </w:p>
    <w:p>
      <w:pPr>
        <w:pStyle w:val="Heading2"/>
      </w:pPr>
      <w:r>
        <w:t>2. Análise Técnica dos Gráficos</w:t>
      </w:r>
    </w:p>
    <w:p>
      <w:r>
        <w:t>O gráfico de comparação e previsão deve ser usado para verificar se a linha de utilização se aproxima da capacidade total ou da margem de segurança. O gráfico de média móvel ajuda a diferenciar picos isolados de tendência real. A decomposição da série temporal evidencia tendência, sazonalidade e resíduos. O histograma mostra onde o recurso permanece concentrado na maior parte do tempo, e o gráfico de uso por hora identifica janelas recorrentes de maior consumo.</w:t>
      </w:r>
    </w:p>
    <w:p>
      <w:pPr>
        <w:pStyle w:val="Heading3"/>
      </w:pPr>
      <w:r>
        <w:t>A. Comparação e Previsão</w:t>
      </w:r>
    </w:p>
    <w:p>
      <w:r>
        <w:drawing>
          <wp:inline xmlns:a="http://schemas.openxmlformats.org/drawingml/2006/main" xmlns:pic="http://schemas.openxmlformats.org/drawingml/2006/picture">
            <wp:extent cx="5760720" cy="282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K_C_comparacao_previs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B. Histórico com Média Móvel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SK_C_media_mo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C. Decomposição da Série Temporal</w:t>
      </w:r>
    </w:p>
    <w:p>
      <w:r>
        <w:drawing>
          <wp:inline xmlns:a="http://schemas.openxmlformats.org/drawingml/2006/main" xmlns:pic="http://schemas.openxmlformats.org/drawingml/2006/picture">
            <wp:extent cx="5760720" cy="3382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K_C_decompos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D. Distribuição de Uso</w:t>
      </w:r>
    </w:p>
    <w:p>
      <w:r>
        <w:drawing>
          <wp:inline xmlns:a="http://schemas.openxmlformats.org/drawingml/2006/main" xmlns:pic="http://schemas.openxmlformats.org/drawingml/2006/picture">
            <wp:extent cx="5760720" cy="2826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K_C_histo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E. Uso Médio por Hora</w:t>
      </w:r>
    </w:p>
    <w:p>
      <w:r>
        <w:drawing>
          <wp:inline xmlns:a="http://schemas.openxmlformats.org/drawingml/2006/main" xmlns:pic="http://schemas.openxmlformats.org/drawingml/2006/picture">
            <wp:extent cx="5760720" cy="2601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SK_C_uso_por_h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Análise Estatística</w:t>
      </w:r>
    </w:p>
    <w:p>
      <w:r>
        <w:t>No período de 20/03/2026 a 17/06/2026, foram analisadas 360 amostras. A capacidade total considerada foi 179.40 GB e a margem de segurança de 80% equivale a 143.52 GB. Mínimo: 70.72 GB; média: 77.44 GB; mediana: 77.52 GB; P95: 81.24 GB; máximo: 83.66 GB. Previsões: 30 dias 83.04 GB (46.29%), 60 dias 85.30 GB (47.55%), 90 dias 87.57 GB (48.81%).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total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179.40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Margem de segurança (80%)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143.52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mínimo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70.72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médio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77.44 GB (43.16%)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Mediana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77.52 GB (43.21%)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75.50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79.55 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P95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81.24 GB (45.28%)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máximo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83.66 GB (46.63%)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30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83.04 GB (46.29%)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60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85.30 GB (47.55%)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90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87.57 GB (48.81%)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OK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Ação recomendada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MANTER MONITORAMENTO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Não aplicável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Variação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Não aplicável</w:t>
            </w:r>
          </w:p>
        </w:tc>
      </w:tr>
    </w:tbl>
    <w:p>
      <w:pPr>
        <w:pStyle w:val="Heading2"/>
      </w:pPr>
      <w:r>
        <w:t>4. Conclusão e Recomendação</w:t>
      </w:r>
    </w:p>
    <w:p>
      <w:r>
        <w:t>Não há indicação de aumento imediato do recurso Disco (Partição C:). A recomendação é manter a configuração atual e continuar o monitoramento periódico.</w:t>
      </w:r>
    </w:p>
    <w:p>
      <w:pPr>
        <w:pStyle w:val="Heading2"/>
      </w:pPr>
      <w:r>
        <w:t>5. Observações</w:t>
      </w:r>
    </w:p>
    <w:p>
      <w:pPr>
        <w:pStyle w:val="ListBullet"/>
      </w:pPr>
      <w:r>
        <w:t>A LLM/Data+RAG não calcula os números: ela apenas transforma os indicadores calculados pelo motor estatístico em texto executivo.</w:t>
      </w:r>
    </w:p>
    <w:p>
      <w:pPr>
        <w:pStyle w:val="ListBullet"/>
      </w:pPr>
      <w:r>
        <w:t>A margem de segurança usada foi de 80% da capacidade total.</w:t>
      </w:r>
    </w:p>
    <w:p>
      <w:pPr>
        <w:pStyle w:val="ListBullet"/>
      </w:pPr>
      <w:r>
        <w:t>Forecast linear simples de 90 dias; usar como apoio, não como única fonte de decisão.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PÚBLICO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