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PÃŠBLICO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SOL1809645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Disco (Partição C:)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15/03/2026 a 13/06/2026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Solicitante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Eduardo Barbosa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DuckDB oficial / run_id=RMC_Recursos_VM_v5_10_4_4_3_20260615_130005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Disco (Partição C:) da VM SRV-DASHPRD01 indica comportamento operacional estável. A capacidade atual é de 179.40 GB, o uso médio foi de 81.11 GB (45.21%) e o P95 ficou em 89.25 GB (49.75%), dentro da margem de segurança de 80%.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K_C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K_C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97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K_C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31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K_C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K_C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15/03/2026 a 13/06/2026, foram analisadas 91 amostras. A capacidade total considerada foi 179.40 GB e a margem de segurança de 80% equivale a 143.52 GB. Mínimo: 71.69 GB; média: 81.11 GB; mediana: 80.59 GB; P95: 89.25 GB; máximo: 89.36 GB. Previsões: 30 dias 83.32 GB (46.45%), 60 dias 84.33 GB (47.01%), 90 dias 85.33 GB (47.57%).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179.40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143.52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71.69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81.11 GB (45.21%)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80.59 GB (44.92%)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77.39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85.14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89.25 GB (49.75%)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89.36 GB (49.81%)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83.32 GB (46.45%)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84.33 GB (47.01%)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85.33 GB (47.57%)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MANTER MONITORAMENTO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Não há indicação de aumento imediato do recurso Disco (Partição C:). A recomendação é manter a configuração atual e continuar o monitoramento periódico.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PÃŠBLICO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