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PÃŠBLICO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SOL1809645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Memória (RAM)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15/03/2026 a 13/06/2026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Eduardo Barbosa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DuckDB oficial / run_id=RMC_Recursos_VM_v5_10_4_4_3_20260615_130005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Memória (RAM) da VM SRV-DASHPRD01 indica comportamento operacional estável. A capacidade atual é de 100.00 %, o uso médio foi de 30.51 % (30.51%) e o P95 ficou em 60.55 % (60.55%), dentro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M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M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4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15/03/2026 a 13/06/2026, foram analisadas 91 amostras. A capacidade total considerada foi 100.00 % e a margem de segurança de 80% equivale a 80.00 %. Mínimo: 11.27 %; média: 30.51 %; mediana: 26.60 %; P95: 60.55 %; máximo: 100.00 %. Previsões: 30 dias 39.82 % (39.82%), 60 dias 43.57 % (43.57%), 90 dias 47.33 % (47.33%).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100.00 %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80.00 %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11.27 %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30.51 % (30.51%)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26.60 % (26.60%)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20.22 %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36.97 %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60.55 % (60.55%)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100.00 % (100.00%)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39.82 % (39.82%)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43.57 % (43.57%)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47.33 % (47.33%)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MANTER MONITORAMENTO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Não há indicação de aumento imediato do recurso Memória (RAM). A recomendação é manter a configuração atual e continuar o monitoramento periódico.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PÃŠBLICO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