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033A0"/>
          </w:tcPr>
          <w:p>
            <w:r>
              <w:rPr>
                <w:b/>
                <w:color w:val="FFFFFF"/>
                <w:sz w:val="32"/>
              </w:rPr>
              <w:t>BV | RMC Copilot</w:t>
            </w:r>
          </w:p>
        </w:tc>
      </w:tr>
      <w:tr>
        <w:tc>
          <w:tcPr>
            <w:tcW w:type="dxa" w:w="10656"/>
            <w:shd w:fill="F2F4F7"/>
          </w:tcPr>
          <w:p>
            <w:r>
              <w:rPr>
                <w:b/>
                <w:color w:val="1F2937"/>
              </w:rPr>
              <w:t>Relatório Consolidado de Análise Individual de Recursos — SRV-DASHPRD01</w:t>
              <w:br/>
              <w:t>Classificação: PÃŠBLICO</w:t>
            </w:r>
          </w:p>
        </w:tc>
      </w:tr>
    </w:tbl>
    <w:p>
      <w:pPr>
        <w:pStyle w:val="Heading1"/>
        <w:jc w:val="left"/>
      </w:pPr>
      <w:r>
        <w:t>Relatório Consolidado de Análise Individual de Recursos — SRV-DASHPRD01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Campo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Solicitação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SOL1809645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Servidor / VM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SRV-DASHPRD01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Período histórico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90 dias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Solicitante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Eduardo Barbosa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Analista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Francisco Alves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Classificação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PÃŠBLICO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Data de geração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19/06/2026 17:12</w:t>
            </w:r>
          </w:p>
        </w:tc>
      </w:tr>
    </w:tbl>
    <w:p>
      <w:pPr>
        <w:pStyle w:val="Heading2"/>
      </w:pPr>
      <w:r>
        <w:t>Índice</w:t>
      </w:r>
    </w:p>
    <w:p>
      <w:r>
        <w:t>1. Resumo Executivo Consolidado</w:t>
      </w:r>
    </w:p>
    <w:p>
      <w:r>
        <w:t>2. Análises por Recurso</w:t>
      </w:r>
    </w:p>
    <w:p>
      <w:r>
        <w:t>2.1. Processamento (CPU)</w:t>
      </w:r>
    </w:p>
    <w:p>
      <w:r>
        <w:t>2.2. Memória (RAM)</w:t>
      </w:r>
    </w:p>
    <w:p>
      <w:r>
        <w:t>2.3. Disco (Partição C:)</w:t>
      </w:r>
    </w:p>
    <w:p>
      <w:r>
        <w:t>3. Observações</w:t>
      </w:r>
    </w:p>
    <w:p>
      <w:pPr>
        <w:pStyle w:val="Heading2"/>
      </w:pPr>
      <w:r>
        <w:t>1. Resumo Executivo Consolidado</w:t>
      </w:r>
    </w:p>
    <w:p>
      <w:r>
        <w:t>Foram avaliados 3 recurso(s) da VM SRV-DASHPRD01 para a solicitação SOL1809645. O ponto de maior atenção identificado foi Processamento (CPU), com diagnóstico SUPERDIMENSIONADO e ação recomendada AVALIAR_REDUÇÃO_RECURSO.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r/>
            <w:r>
              <w:rPr>
                <w:rFonts w:ascii="Arial" w:hAnsi="Arial"/>
                <w:b/>
                <w:sz w:val="18"/>
              </w:rPr>
              <w:t>Recurso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/>
                <w:sz w:val="18"/>
              </w:rPr>
              <w:t>Diagnóstico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/>
                <w:sz w:val="18"/>
              </w:rPr>
              <w:t>Ação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/>
                <w:sz w:val="18"/>
              </w:rPr>
              <w:t>Média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/>
                <w:sz w:val="18"/>
              </w:rPr>
              <w:t>P95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/>
                <w:sz w:val="18"/>
              </w:rPr>
              <w:t>Forecast 90d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/>
                <w:sz w:val="18"/>
              </w:rPr>
              <w:t>Capacidade sugerida</w:t>
            </w:r>
          </w:p>
        </w:tc>
      </w:tr>
      <w:tr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Processamento (CPU)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SUPERDIMENSIONADO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AVALIAR REDUÇÃO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5.94%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13.16%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10.62%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40.00 %</w:t>
            </w:r>
          </w:p>
        </w:tc>
      </w:tr>
      <w:tr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Memória (RAM)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OK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MANTER MONITORAMENTO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30.51%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60.55%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47.33%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Não aplicável</w:t>
            </w:r>
          </w:p>
        </w:tc>
      </w:tr>
      <w:tr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Disco (Partição C:)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OK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MANTER MONITORAMENTO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45.21%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49.75%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47.57%</w:t>
            </w:r>
          </w:p>
        </w:tc>
        <w:tc>
          <w:tcPr>
            <w:tcW w:type="dxa" w:w="1522"/>
          </w:tcPr>
          <w:p>
            <w:r/>
            <w:r>
              <w:rPr>
                <w:rFonts w:ascii="Arial" w:hAnsi="Arial"/>
                <w:b w:val="0"/>
                <w:sz w:val="18"/>
              </w:rPr>
              <w:t>Não aplicável</w:t>
            </w:r>
          </w:p>
        </w:tc>
      </w:tr>
    </w:tbl>
    <w:p>
      <w:pPr>
        <w:pStyle w:val="Heading2"/>
      </w:pPr>
      <w:r>
        <w:t>2. Análises por Recurso</w:t>
      </w:r>
    </w:p>
    <w:p>
      <w:pPr>
        <w:pStyle w:val="Heading3"/>
      </w:pPr>
      <w:r>
        <w:t>2.1. Processamento (CPU)</w:t>
      </w:r>
    </w:p>
    <w:p>
      <w:r>
        <w:t>Diagnóstico: SUPERDIMENSIONADO | Ação: AVALIAR REDUÇÃO</w:t>
      </w:r>
    </w:p>
    <w:p>
      <w:pPr>
        <w:pStyle w:val="Heading4"/>
      </w:pPr>
      <w:r>
        <w:t>Resumo Executivo</w:t>
      </w:r>
    </w:p>
    <w:p>
      <w:r>
        <w:t>A análise do recurso Processamento (CPU) da VM SRV-DASHPRD01 indica possível superdimensionamento. A capacidade atual é de 100.00 %, enquanto o uso médio foi de apenas 5.94 % (5.94%) e o P95 ficou em 13.16 % (13.16%). Não há evidência estatística de necessidade de aumento do recurso neste momento.</w:t>
      </w:r>
    </w:p>
    <w:p>
      <w:pPr>
        <w:pStyle w:val="Heading4"/>
      </w:pPr>
      <w:r>
        <w:t>Análise Técnica dos Gráficos</w:t>
      </w:r>
    </w:p>
    <w:p>
      <w:r>
        <w:t>O gráfico de comparação e previsão deve ser usado para verificar se a linha de utilização se aproxima da capacidade total ou da margem de segurança. O gráfico de média móvel ajuda a diferenciar picos isolados de tendência real. A decomposição da série temporal evidencia tendência, sazonalidade e resíduos. O histograma mostra onde o recurso permanece concentrado na maior parte do tempo, e o gráfico de uso por hora identifica janelas recorrentes de maior consumo.</w:t>
      </w:r>
    </w:p>
    <w:p>
      <w:r>
        <w:rPr>
          <w:b/>
        </w:rPr>
        <w:t>A. Comparação e Previsão</w:t>
      </w:r>
    </w:p>
    <w:p>
      <w:r>
        <w:drawing>
          <wp:inline xmlns:a="http://schemas.openxmlformats.org/drawingml/2006/main" xmlns:pic="http://schemas.openxmlformats.org/drawingml/2006/picture">
            <wp:extent cx="5760720" cy="282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PU_comparacao_previ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B. Histórico com Média Móvel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PU_media_mo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C. Decomposição da Série Temporal</w:t>
      </w:r>
    </w:p>
    <w:p>
      <w:r>
        <w:drawing>
          <wp:inline xmlns:a="http://schemas.openxmlformats.org/drawingml/2006/main" xmlns:pic="http://schemas.openxmlformats.org/drawingml/2006/picture">
            <wp:extent cx="5760720" cy="3384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PU_decompos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D. Distribuição de Uso</w:t>
      </w:r>
    </w:p>
    <w:p>
      <w:r>
        <w:drawing>
          <wp:inline xmlns:a="http://schemas.openxmlformats.org/drawingml/2006/main" xmlns:pic="http://schemas.openxmlformats.org/drawingml/2006/picture">
            <wp:extent cx="5760720" cy="2826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PU_hist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E. Uso Médio por Hora</w:t>
      </w:r>
    </w:p>
    <w:p>
      <w:r>
        <w:drawing>
          <wp:inline xmlns:a="http://schemas.openxmlformats.org/drawingml/2006/main" xmlns:pic="http://schemas.openxmlformats.org/drawingml/2006/picture">
            <wp:extent cx="5760720" cy="2601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PU_uso_por_h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Análise Estatística</w:t>
      </w:r>
    </w:p>
    <w:p>
      <w:r>
        <w:t>No período de 15/03/2026 a 13/06/2026, foram analisadas 91 amostras. A capacidade total considerada foi 100.00 % e a margem de segurança de 80% equivale a 80.00 %. Mínimo: 1.74 %; média: 5.94 %; mediana: 5.08 %; P95: 13.16 %; máximo: 20.87 %. Previsões: 30 dias 8.54 % (8.54%), 60 dias 9.58 % (9.58%), 90 dias 10.62 % (10.62%).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Métrica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Capacidade total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100.00 %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Margem de segurança (80%)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80.00 %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Uso médio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5.94 % (5.94%)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P95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13.16 % (13.16%)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Máximo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20.87 % (20.87%)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Forecast 90 dias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10.62 % (10.62%)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Capacidade sugerida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40.00 %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Variação sugerida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-60.00 %</w:t>
            </w:r>
          </w:p>
        </w:tc>
      </w:tr>
    </w:tbl>
    <w:p>
      <w:pPr>
        <w:pStyle w:val="Heading4"/>
      </w:pPr>
      <w:r>
        <w:t>Conclusão e Recomendação</w:t>
      </w:r>
    </w:p>
    <w:p>
      <w:r>
        <w:t>Recomenda-se avaliar redução controlada do recurso Processamento (CPU), pois o uso médio e o P95 estão muito abaixo da capacidade alocada. Capacidade atual: 100.00 %. Capacidade técnica sugerida para avaliação: 40.00 %. A redução deve ser feita em janela controlada, com monitoramento após a alteração.</w:t>
      </w:r>
    </w:p>
    <w:p>
      <w:pPr>
        <w:pStyle w:val="Heading3"/>
      </w:pPr>
      <w:r>
        <w:t>2.2. Memória (RAM)</w:t>
      </w:r>
    </w:p>
    <w:p>
      <w:r>
        <w:t>Diagnóstico: OK | Ação: MANTER MONITORAMENTO</w:t>
      </w:r>
    </w:p>
    <w:p>
      <w:pPr>
        <w:pStyle w:val="Heading4"/>
      </w:pPr>
      <w:r>
        <w:t>Resumo Executivo</w:t>
      </w:r>
    </w:p>
    <w:p>
      <w:r>
        <w:t>A análise do recurso Memória (RAM) da VM SRV-DASHPRD01 indica comportamento operacional estável. A capacidade atual é de 100.00 %, o uso médio foi de 30.51 % (30.51%) e o P95 ficou em 60.55 % (60.55%), dentro da margem de segurança de 80%.</w:t>
      </w:r>
    </w:p>
    <w:p>
      <w:pPr>
        <w:pStyle w:val="Heading4"/>
      </w:pPr>
      <w:r>
        <w:t>Análise Técnica dos Gráficos</w:t>
      </w:r>
    </w:p>
    <w:p>
      <w:r>
        <w:t>O gráfico de comparação e previsão deve ser usado para verificar se a linha de utilização se aproxima da capacidade total ou da margem de segurança. O gráfico de média móvel ajuda a diferenciar picos isolados de tendência real. A decomposição da série temporal evidencia tendência, sazonalidade e resíduos. O histograma mostra onde o recurso permanece concentrado na maior parte do tempo, e o gráfico de uso por hora identifica janelas recorrentes de maior consumo.</w:t>
      </w:r>
    </w:p>
    <w:p>
      <w:r>
        <w:rPr>
          <w:b/>
        </w:rPr>
        <w:t>A. Comparação e Previsão</w:t>
      </w:r>
    </w:p>
    <w:p>
      <w:r>
        <w:drawing>
          <wp:inline xmlns:a="http://schemas.openxmlformats.org/drawingml/2006/main" xmlns:pic="http://schemas.openxmlformats.org/drawingml/2006/picture">
            <wp:extent cx="5760720" cy="28249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M_comparacao_previs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B. Histórico com Média Móvel</w:t>
      </w:r>
    </w:p>
    <w:p>
      <w:r>
        <w:drawing>
          <wp:inline xmlns:a="http://schemas.openxmlformats.org/drawingml/2006/main" xmlns:pic="http://schemas.openxmlformats.org/drawingml/2006/picture">
            <wp:extent cx="5760720" cy="28249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M_media_mov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C. Decomposição da Série Temporal</w:t>
      </w:r>
    </w:p>
    <w:p>
      <w:r>
        <w:drawing>
          <wp:inline xmlns:a="http://schemas.openxmlformats.org/drawingml/2006/main" xmlns:pic="http://schemas.openxmlformats.org/drawingml/2006/picture">
            <wp:extent cx="5760720" cy="33849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M_decomposi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D. Distribuição de Uso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M_histogra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E. Uso Médio por Hora</w:t>
      </w:r>
    </w:p>
    <w:p>
      <w:r>
        <w:drawing>
          <wp:inline xmlns:a="http://schemas.openxmlformats.org/drawingml/2006/main" xmlns:pic="http://schemas.openxmlformats.org/drawingml/2006/picture">
            <wp:extent cx="5760720" cy="26015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M_uso_por_ho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Análise Estatística</w:t>
      </w:r>
    </w:p>
    <w:p>
      <w:r>
        <w:t>No período de 15/03/2026 a 13/06/2026, foram analisadas 91 amostras. A capacidade total considerada foi 100.00 % e a margem de segurança de 80% equivale a 80.00 %. Mínimo: 11.27 %; média: 30.51 %; mediana: 26.60 %; P95: 60.55 %; máximo: 100.00 %. Previsões: 30 dias 39.82 % (39.82%), 60 dias 43.57 % (43.57%), 90 dias 47.33 % (47.33%).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Métrica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Capacidade total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100.00 %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Margem de segurança (80%)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80.00 %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Uso médio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30.51 % (30.51%)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P95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60.55 % (60.55%)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Máximo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100.00 % (100.00%)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Forecast 90 dias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47.33 % (47.33%)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Capacidade sugerida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Não aplicável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Variação sugerida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Não aplicável</w:t>
            </w:r>
          </w:p>
        </w:tc>
      </w:tr>
    </w:tbl>
    <w:p>
      <w:pPr>
        <w:pStyle w:val="Heading4"/>
      </w:pPr>
      <w:r>
        <w:t>Conclusão e Recomendação</w:t>
      </w:r>
    </w:p>
    <w:p>
      <w:r>
        <w:t>Não há indicação de aumento imediato do recurso Memória (RAM). A recomendação é manter a configuração atual e continuar o monitoramento periódico.</w:t>
      </w:r>
    </w:p>
    <w:p>
      <w:pPr>
        <w:pStyle w:val="Heading3"/>
      </w:pPr>
      <w:r>
        <w:t>2.3. Disco (Partição C:)</w:t>
      </w:r>
    </w:p>
    <w:p>
      <w:r>
        <w:t>Diagnóstico: OK | Ação: MANTER MONITORAMENTO</w:t>
      </w:r>
    </w:p>
    <w:p>
      <w:pPr>
        <w:pStyle w:val="Heading4"/>
      </w:pPr>
      <w:r>
        <w:t>Resumo Executivo</w:t>
      </w:r>
    </w:p>
    <w:p>
      <w:r>
        <w:t>A análise do recurso Disco (Partição C:) da VM SRV-DASHPRD01 indica comportamento operacional estável. A capacidade atual é de 179.40 GB, o uso médio foi de 81.11 GB (45.21%) e o P95 ficou em 89.25 GB (49.75%), dentro da margem de segurança de 80%.</w:t>
      </w:r>
    </w:p>
    <w:p>
      <w:pPr>
        <w:pStyle w:val="Heading4"/>
      </w:pPr>
      <w:r>
        <w:t>Análise Técnica dos Gráficos</w:t>
      </w:r>
    </w:p>
    <w:p>
      <w:r>
        <w:t>O gráfico de comparação e previsão deve ser usado para verificar se a linha de utilização se aproxima da capacidade total ou da margem de segurança. O gráfico de média móvel ajuda a diferenciar picos isolados de tendência real. A decomposição da série temporal evidencia tendência, sazonalidade e resíduos. O histograma mostra onde o recurso permanece concentrado na maior parte do tempo, e o gráfico de uso por hora identifica janelas recorrentes de maior consumo.</w:t>
      </w:r>
    </w:p>
    <w:p>
      <w:r>
        <w:rPr>
          <w:b/>
        </w:rPr>
        <w:t>A. Comparação e Previsão</w:t>
      </w:r>
    </w:p>
    <w:p>
      <w:r>
        <w:drawing>
          <wp:inline xmlns:a="http://schemas.openxmlformats.org/drawingml/2006/main" xmlns:pic="http://schemas.openxmlformats.org/drawingml/2006/picture">
            <wp:extent cx="5760720" cy="28283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K_C_comparacao_previs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B. Histórico com Média Móvel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SK_C_media_mov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C. Decomposição da Série Temporal</w:t>
      </w:r>
    </w:p>
    <w:p>
      <w:r>
        <w:drawing>
          <wp:inline xmlns:a="http://schemas.openxmlformats.org/drawingml/2006/main" xmlns:pic="http://schemas.openxmlformats.org/drawingml/2006/picture">
            <wp:extent cx="5760720" cy="33972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K_C_decomposic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7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D. Distribuição de Uso</w:t>
      </w:r>
    </w:p>
    <w:p>
      <w:r>
        <w:drawing>
          <wp:inline xmlns:a="http://schemas.openxmlformats.org/drawingml/2006/main" xmlns:pic="http://schemas.openxmlformats.org/drawingml/2006/picture">
            <wp:extent cx="5760720" cy="28317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K_C_histogram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E. Uso Médio por Hora</w:t>
      </w:r>
    </w:p>
    <w:p>
      <w:r>
        <w:drawing>
          <wp:inline xmlns:a="http://schemas.openxmlformats.org/drawingml/2006/main" xmlns:pic="http://schemas.openxmlformats.org/drawingml/2006/picture">
            <wp:extent cx="5760720" cy="26015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SK_C_uso_por_hor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Análise Estatística</w:t>
      </w:r>
    </w:p>
    <w:p>
      <w:r>
        <w:t>No período de 15/03/2026 a 13/06/2026, foram analisadas 91 amostras. A capacidade total considerada foi 179.40 GB e a margem de segurança de 80% equivale a 143.52 GB. Mínimo: 71.69 GB; média: 81.11 GB; mediana: 80.59 GB; P95: 89.25 GB; máximo: 89.36 GB. Previsões: 30 dias 83.32 GB (46.45%), 60 dias 84.33 GB (47.01%), 90 dias 85.33 GB (47.57%).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Métrica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Capacidade total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179.40 GB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Margem de segurança (80%)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143.52 GB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Uso médio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81.11 GB (45.21%)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P95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89.25 GB (49.75%)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Máximo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89.36 GB (49.81%)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Forecast 90 dias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85.33 GB (47.57%)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Capacidade sugerida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Não aplicável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Variação sugerida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8"/>
              </w:rPr>
              <w:t>Não aplicável</w:t>
            </w:r>
          </w:p>
        </w:tc>
      </w:tr>
    </w:tbl>
    <w:p>
      <w:pPr>
        <w:pStyle w:val="Heading4"/>
      </w:pPr>
      <w:r>
        <w:t>Conclusão e Recomendação</w:t>
      </w:r>
    </w:p>
    <w:p>
      <w:r>
        <w:t>Não há indicação de aumento imediato do recurso Disco (Partição C:). A recomendação é manter a configuração atual e continuar o monitoramento periódico.</w:t>
      </w:r>
    </w:p>
    <w:p>
      <w:pPr>
        <w:pStyle w:val="Heading2"/>
      </w:pPr>
      <w:r>
        <w:t>3. Observações</w:t>
      </w:r>
    </w:p>
    <w:p>
      <w:pPr>
        <w:pStyle w:val="ListBullet"/>
      </w:pPr>
      <w:r>
        <w:t>A LLM/Data+RAG não calcula os números: ela apenas transforma os indicadores calculados pelo motor estatístico em texto executivo.</w:t>
      </w:r>
    </w:p>
    <w:p>
      <w:pPr>
        <w:pStyle w:val="ListBullet"/>
      </w:pPr>
      <w:r>
        <w:t>A margem de segurança usada foi de 80% da capacidade total.</w:t>
      </w:r>
    </w:p>
    <w:p>
      <w:pPr>
        <w:pStyle w:val="ListBullet"/>
      </w:pPr>
      <w:r>
        <w:t>O relatório consolidado reúne as análises individuais em um único documento.</w:t>
      </w:r>
    </w:p>
    <w:sectPr w:rsidR="00FC693F" w:rsidRPr="0006063C" w:rsidSect="00034616">
      <w:footerReference w:type="default" r:id="rId24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PÃŠBLICO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