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54200" w14:textId="77777777" w:rsidR="009F3766" w:rsidRDefault="006E4D96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noProof/>
          <w:color w:val="000000"/>
          <w:sz w:val="24"/>
          <w:szCs w:val="24"/>
        </w:rPr>
        <w:drawing>
          <wp:inline distT="0" distB="0" distL="0" distR="0" wp14:anchorId="37E86D9B" wp14:editId="6AC19458">
            <wp:extent cx="6038850" cy="5824008"/>
            <wp:effectExtent l="0" t="0" r="0" b="0"/>
            <wp:docPr id="1" name="image1.png" descr="OpenAI_Photography_2026_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OpenAI_Photography_2026_04"/>
                    <pic:cNvPicPr preferRelativeResize="0"/>
                  </pic:nvPicPr>
                  <pic:blipFill>
                    <a:blip r:embed="rId7"/>
                    <a:srcRect t="1779" b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1DEED" w14:textId="77777777" w:rsidR="009F3766" w:rsidRDefault="009F3766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eastAsia="Aptos" w:hAnsi="Aptos" w:cs="Aptos"/>
          <w:color w:val="000000"/>
          <w:sz w:val="24"/>
          <w:szCs w:val="24"/>
        </w:rPr>
      </w:pPr>
    </w:p>
    <w:p w14:paraId="3DF21DA3" w14:textId="77777777" w:rsidR="009F3766" w:rsidRDefault="006E4D96">
      <w:pPr>
        <w:pStyle w:val="a3"/>
        <w:keepNext/>
      </w:pPr>
      <w:r>
        <w:t>Fundament Backend</w:t>
      </w: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306"/>
        <w:gridCol w:w="901"/>
        <w:gridCol w:w="4153"/>
      </w:tblGrid>
      <w:tr w:rsidR="009F3766" w14:paraId="69FFA533" w14:textId="77777777">
        <w:trPr>
          <w:cantSplit/>
        </w:trPr>
        <w:tc>
          <w:tcPr>
            <w:tcW w:w="43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7D381" w14:textId="77777777" w:rsidR="009F3766" w:rsidRDefault="006E4D96">
            <w:r>
              <w:t>Универсальная платформа клиентов, расписания и задач</w:t>
            </w:r>
          </w:p>
        </w:tc>
        <w:tc>
          <w:tcPr>
            <w:tcW w:w="9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9B4D0" w14:textId="77777777" w:rsidR="009F3766" w:rsidRDefault="009F3766">
            <w:pPr>
              <w:spacing w:after="0" w:line="240" w:lineRule="auto"/>
              <w:rPr>
                <w:color w:val="666666"/>
              </w:rPr>
            </w:pPr>
          </w:p>
        </w:tc>
        <w:tc>
          <w:tcPr>
            <w:tcW w:w="41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A44D7" w14:textId="77777777" w:rsidR="009F3766" w:rsidRDefault="006E4D96">
            <w:r>
              <w:t>Подготовлено Codex</w:t>
            </w:r>
            <w:r>
              <w:br/>
              <w:t>Август 2026</w:t>
            </w:r>
          </w:p>
        </w:tc>
      </w:tr>
    </w:tbl>
    <w:p w14:paraId="0F717F1B" w14:textId="77777777" w:rsidR="009F3766" w:rsidRDefault="009F3766">
      <w:pPr>
        <w:pBdr>
          <w:top w:val="nil"/>
          <w:left w:val="nil"/>
          <w:bottom w:val="nil"/>
          <w:right w:val="nil"/>
          <w:between w:val="nil"/>
        </w:pBdr>
        <w:spacing w:before="60" w:after="0" w:line="278" w:lineRule="auto"/>
        <w:rPr>
          <w:color w:val="7A7A7A"/>
          <w:sz w:val="18"/>
          <w:szCs w:val="18"/>
        </w:rPr>
        <w:sectPr w:rsidR="009F376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025DFAA" w14:textId="77777777" w:rsidR="009F3766" w:rsidRDefault="006E4D96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color w:val="000000"/>
          <w:sz w:val="48"/>
          <w:szCs w:val="48"/>
        </w:rPr>
      </w:pPr>
      <w:r>
        <w:t>Содержание: резюме · ключевые решения · последствия · рекомендации · приложение</w:t>
      </w:r>
    </w:p>
    <w:p w14:paraId="180240B8" w14:textId="77777777" w:rsidR="009F3766" w:rsidRDefault="006E4D96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sz w:val="48"/>
          <w:szCs w:val="48"/>
        </w:rPr>
      </w:pPr>
      <w:r>
        <w:t xml:space="preserve">Краткое резюме </w:t>
      </w:r>
      <w:r>
        <w:t>........................................................ 2</w:t>
      </w:r>
      <w:r>
        <w:br/>
        <w:t>Ключевые решения .................................................... 3</w:t>
      </w:r>
      <w:r>
        <w:br/>
        <w:t>Последствия ............................................................. 3</w:t>
      </w:r>
      <w:r>
        <w:br/>
        <w:t>Рекомендации ....................................</w:t>
      </w:r>
      <w:r>
        <w:t>...................... 5</w:t>
      </w:r>
      <w:r>
        <w:br/>
        <w:t>Заключение ............................................................... 5</w:t>
      </w:r>
      <w:r>
        <w:br/>
        <w:t>Приложение ............................................................... 6</w:t>
      </w:r>
    </w:p>
    <w:p w14:paraId="4D9BA5D2" w14:textId="187A8935" w:rsidR="009F3766" w:rsidRDefault="009F376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color w:val="000000"/>
        </w:rPr>
      </w:pPr>
    </w:p>
    <w:p w14:paraId="673549F2" w14:textId="77777777" w:rsidR="009F3766" w:rsidRDefault="006E4D96">
      <w:pPr>
        <w:pStyle w:val="1"/>
        <w:pageBreakBefore/>
      </w:pPr>
      <w:bookmarkStart w:id="0" w:name="bookmark=id.i23wo83gyh7m" w:colFirst="0" w:colLast="0"/>
      <w:bookmarkEnd w:id="0"/>
      <w:r>
        <w:t>Краткое резюме</w:t>
      </w:r>
    </w:p>
    <w:p w14:paraId="0262AEE5" w14:textId="77777777" w:rsidR="009F3766" w:rsidRDefault="006E4D96">
      <w:r>
        <w:t>Спроектирован и реализован универсальный мультитенантный backend на Django REST Framework для компа</w:t>
      </w:r>
      <w:r>
        <w:t>ний, работающих с клиентами, сотрудниками, задачами и расписанием. Каждая рабочая сущность изолирована по компании; роли, статусы, поля и настройки меняются без переписывания ядра.</w:t>
      </w:r>
    </w:p>
    <w:p w14:paraId="1EDC42D6" w14:textId="77777777" w:rsidR="009F3766" w:rsidRDefault="006E4D96">
      <w:r>
        <w:t>Результат включает Django Admin, REST API, интерактивную OpenAPI-документац</w:t>
      </w:r>
      <w:r>
        <w:t>ию, PostgreSQL-конфигурацию, поиск и фильтры, аудит изменений, перенос и отмену записей, контроль пересечений сотрудников и ресурсов, миграции и автоматические тесты.</w:t>
      </w:r>
    </w:p>
    <w:p w14:paraId="02FCD5B4" w14:textId="77777777" w:rsidR="009F3766" w:rsidRDefault="006E4D96">
      <w:pPr>
        <w:pStyle w:val="2"/>
      </w:pPr>
      <w:bookmarkStart w:id="1" w:name="bookmark=id.1sqjewf8afxt" w:colFirst="0" w:colLast="0"/>
      <w:bookmarkEnd w:id="1"/>
      <w:r>
        <w:t>Коротко</w:t>
      </w:r>
    </w:p>
    <w:p w14:paraId="389F0939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Покрытие: компании, пользователи, членства, роли, клиенты, услуги, ресурсы, графи</w:t>
      </w:r>
      <w:r>
        <w:t>ки, отсутствие, записи, задачи, комментарии, статусы и аудит.</w:t>
      </w:r>
    </w:p>
    <w:p w14:paraId="48319757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Расширяемость: JSON-поля для индивидуальных данных, произвольные роли/статусы, feature flags и branding в настройках компании.</w:t>
      </w:r>
    </w:p>
    <w:p w14:paraId="3187C7F6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Интеграция: версионированный API /api/v1/, Swagger /api/docs/ и обя</w:t>
      </w:r>
      <w:r>
        <w:t>зательный tenant-контекст X-Company-ID.</w:t>
      </w:r>
    </w:p>
    <w:p w14:paraId="410EFCA9" w14:textId="77777777" w:rsidR="009F3766" w:rsidRDefault="006E4D96">
      <w:pPr>
        <w:pStyle w:val="2"/>
      </w:pPr>
      <w:bookmarkStart w:id="2" w:name="bookmark=id.4t4jj91ycfx" w:colFirst="0" w:colLast="0"/>
      <w:bookmarkEnd w:id="2"/>
      <w:r>
        <w:t>Исходные требования</w:t>
      </w:r>
    </w:p>
    <w:p w14:paraId="76FFC67E" w14:textId="77777777" w:rsidR="009F3766" w:rsidRDefault="006E4D96">
      <w:r>
        <w:t xml:space="preserve">Спецификация Notion требует общий фундамент для разных отраслей: управление клиентами и сотрудниками, права, рабочие дни, расписание, записи, задачи, поиск, мониторинг, история и </w:t>
      </w:r>
      <w:r>
        <w:t>настройки компании. Фронтенд отложен; backend должен быть готов к последующему подключению.</w:t>
      </w:r>
    </w:p>
    <w:p w14:paraId="4D6ECD94" w14:textId="77777777" w:rsidR="009F3766" w:rsidRDefault="006E4D96">
      <w:r>
        <w:t>Пример интерфейса клиники дополнительно показал услуги, длительность и цену, доступность сотрудников, кабинеты/оборудование и риск двойного бронирования. Эти элемен</w:t>
      </w:r>
      <w:r>
        <w:t>ты реализованы как необязательные универсальные сущности Service и Resource.</w:t>
      </w:r>
    </w:p>
    <w:p w14:paraId="2ED17FB5" w14:textId="77777777" w:rsidR="009F3766" w:rsidRDefault="006E4D96">
      <w:pPr>
        <w:pStyle w:val="1"/>
        <w:pageBreakBefore/>
      </w:pPr>
      <w:bookmarkStart w:id="3" w:name="bookmark=id.xx7bxdemqiq" w:colFirst="0" w:colLast="0"/>
      <w:bookmarkEnd w:id="3"/>
      <w:r>
        <w:t>Ключевые решения</w:t>
      </w:r>
    </w:p>
    <w:p w14:paraId="361D0D89" w14:textId="77777777" w:rsidR="009F3766" w:rsidRDefault="006E4D96">
      <w:r>
        <w:t>Архитектура ориентирована на повторное использование одной кодовой базы разными заказчиками при строгой изоляции данных и настройке поведения через данные.</w:t>
      </w:r>
    </w:p>
    <w:p w14:paraId="139CFEE3" w14:textId="77777777" w:rsidR="009F3766" w:rsidRDefault="006E4D96">
      <w:pPr>
        <w:pStyle w:val="2"/>
      </w:pPr>
      <w:r>
        <w:t>Контекст и ограничения</w:t>
      </w:r>
    </w:p>
    <w:p w14:paraId="08EB1433" w14:textId="77777777" w:rsidR="009F3766" w:rsidRDefault="006E4D96">
      <w:r>
        <w:t>В первой версии используется стандартный пользователь Django и отдельное членство Membership. Это сохраняет совместимость с Django Admin и позволяет одному аккаунту иметь разные роли в разных компаниях. SQLite доступен для разработки</w:t>
      </w:r>
      <w:r>
        <w:t>, PostgreSQL включается переменными окружения.</w:t>
      </w:r>
    </w:p>
    <w:p w14:paraId="3D7291D0" w14:textId="77777777" w:rsidR="009F3766" w:rsidRDefault="006E4D96">
      <w:pPr>
        <w:pStyle w:val="2"/>
      </w:pPr>
      <w:r>
        <w:t>Закономерности в требованиях</w:t>
      </w:r>
    </w:p>
    <w:p w14:paraId="6F50B59F" w14:textId="77777777" w:rsidR="009F3766" w:rsidRDefault="006E4D96">
      <w:r>
        <w:t>Клиенты, записи и задачи различаются между отраслями в основном названиями, дополнительными полями, статусами и правами. Поэтому стабильные связи хранятся в нормализованных моделях</w:t>
      </w:r>
      <w:r>
        <w:t>, а изменяемые атрибуты — в extra_data/settings. Такой баланс сохраняет целостность и гибкость.</w:t>
      </w:r>
    </w:p>
    <w:p w14:paraId="06548588" w14:textId="77777777" w:rsidR="009F3766" w:rsidRDefault="009F3766"/>
    <w:p w14:paraId="7393741E" w14:textId="77777777" w:rsidR="009F3766" w:rsidRDefault="006E4D96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</w:pPr>
      <w:r>
        <w:t>Главный вывод. Компания является границей безопасности и конфигурации; каждый API-запрос к рабочим данным проверяет членство и активную компанию.</w:t>
      </w:r>
    </w:p>
    <w:p w14:paraId="7ADA8833" w14:textId="77777777" w:rsidR="009F3766" w:rsidRDefault="009F3766">
      <w:pPr>
        <w:pStyle w:val="2"/>
      </w:pPr>
    </w:p>
    <w:p w14:paraId="2CA7FC8C" w14:textId="77777777" w:rsidR="009F3766" w:rsidRDefault="006E4D96">
      <w:pPr>
        <w:pStyle w:val="2"/>
      </w:pPr>
      <w:bookmarkStart w:id="4" w:name="bookmark=id.suv0vlq0gz4r" w:colFirst="0" w:colLast="0"/>
      <w:bookmarkEnd w:id="4"/>
      <w:r>
        <w:t>Последствия</w:t>
      </w:r>
    </w:p>
    <w:p w14:paraId="43904F9D" w14:textId="77777777" w:rsidR="009F3766" w:rsidRDefault="006E4D96">
      <w:r>
        <w:t>Frontend сначала получает доступные компании, затем передаёт X-Company-ID. Доступ к действию определяется строковыми разрешениями роли, например appointments.manage; роль с * получает все API-права. Django Admin остаётся служебной панелью, а продуктовые па</w:t>
      </w:r>
      <w:r>
        <w:t>нели могут строиться поверх того же API.</w:t>
      </w:r>
    </w:p>
    <w:tbl>
      <w:tblPr>
        <w:tblStyle w:val="a6"/>
        <w:tblW w:w="912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300"/>
        <w:gridCol w:w="4020"/>
      </w:tblGrid>
      <w:tr w:rsidR="009F3766" w14:paraId="30BB75B4" w14:textId="77777777">
        <w:trPr>
          <w:tblHeader/>
        </w:trPr>
        <w:tc>
          <w:tcPr>
            <w:tcW w:w="18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24B2230" w14:textId="77777777" w:rsidR="009F3766" w:rsidRDefault="006E4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Theme</w:t>
            </w:r>
          </w:p>
        </w:tc>
        <w:tc>
          <w:tcPr>
            <w:tcW w:w="330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676B5158" w14:textId="77777777" w:rsidR="009F3766" w:rsidRDefault="006E4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Observation</w:t>
            </w:r>
          </w:p>
        </w:tc>
        <w:tc>
          <w:tcPr>
            <w:tcW w:w="4020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B1C88DE" w14:textId="77777777" w:rsidR="009F3766" w:rsidRDefault="006E4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Implication</w:t>
            </w:r>
          </w:p>
        </w:tc>
      </w:tr>
      <w:tr w:rsidR="009F3766" w14:paraId="55ECF318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29F580E" w14:textId="77777777" w:rsidR="009F3766" w:rsidRDefault="006E4D96">
            <w:r>
              <w:t>Мультитенантность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601C682" w14:textId="77777777" w:rsidR="009F3766" w:rsidRDefault="006E4D96">
            <w:r>
              <w:t>Company + Membership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D2956A0" w14:textId="77777777" w:rsidR="009F3766" w:rsidRDefault="006E4D96">
            <w:r>
              <w:t>Изоляция заказчиков и разные роли одного пользователя</w:t>
            </w:r>
          </w:p>
        </w:tc>
      </w:tr>
      <w:tr w:rsidR="009F3766" w14:paraId="60A29E31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E36B7AE" w14:textId="77777777" w:rsidR="009F3766" w:rsidRDefault="006E4D96">
            <w:r>
              <w:t>Гибкость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43197DB" w14:textId="77777777" w:rsidR="009F3766" w:rsidRDefault="006E4D96">
            <w:r>
              <w:t>Роли, статусы и JSON-поля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D9B79F6" w14:textId="77777777" w:rsidR="009F3766" w:rsidRDefault="006E4D96">
            <w:r>
              <w:t>Адаптация без форка ядра и лишних миграций</w:t>
            </w:r>
          </w:p>
        </w:tc>
      </w:tr>
      <w:tr w:rsidR="009F3766" w14:paraId="3A0EE6F7" w14:textId="77777777">
        <w:tc>
          <w:tcPr>
            <w:tcW w:w="18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99BB71C" w14:textId="77777777" w:rsidR="009F3766" w:rsidRDefault="006E4D96">
            <w:r>
              <w:t>Расписание</w:t>
            </w:r>
          </w:p>
        </w:tc>
        <w:tc>
          <w:tcPr>
            <w:tcW w:w="330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5CC89EF" w14:textId="77777777" w:rsidR="009F3766" w:rsidRDefault="006E4D96">
            <w:r>
              <w:t>Сотрудники, услуги, ресурсы</w:t>
            </w:r>
          </w:p>
        </w:tc>
        <w:tc>
          <w:tcPr>
            <w:tcW w:w="4020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2D46AB8" w14:textId="77777777" w:rsidR="009F3766" w:rsidRDefault="006E4D96">
            <w:r>
              <w:t>Контроль занятости и двойного бронирования</w:t>
            </w:r>
          </w:p>
        </w:tc>
      </w:tr>
    </w:tbl>
    <w:p w14:paraId="68BF6E91" w14:textId="77777777" w:rsidR="009F3766" w:rsidRDefault="006E4D96">
      <w:pPr>
        <w:pStyle w:val="1"/>
        <w:pageBreakBefore/>
      </w:pPr>
      <w:bookmarkStart w:id="5" w:name="bookmark=id.vvr4bduzzdc0" w:colFirst="0" w:colLast="0"/>
      <w:bookmarkEnd w:id="5"/>
      <w:r>
        <w:t>Рекомендации</w:t>
      </w:r>
    </w:p>
    <w:p w14:paraId="13018C8A" w14:textId="77777777" w:rsidR="009F3766" w:rsidRDefault="006E4D96">
      <w:r>
        <w:t xml:space="preserve">Код готов как фундамент, но перед публичным production-релизом нужны инфраструктурные решения конкретного заказчика: домен, PostgreSQL, HTTPS, резервные копии, </w:t>
      </w:r>
      <w:r>
        <w:t>мониторинг и политика хранения персональных данных.</w:t>
      </w:r>
    </w:p>
    <w:p w14:paraId="3D795822" w14:textId="77777777" w:rsidR="009F3766" w:rsidRDefault="006E4D96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t>Запустить базу. Создать .env, применить миграции и выполнить bootstrap_company; затем настроить роли, статусы, услуги и графики через админку.</w:t>
      </w:r>
    </w:p>
    <w:p w14:paraId="7336ED8F" w14:textId="77777777" w:rsidR="009F3766" w:rsidRDefault="006E4D96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t xml:space="preserve">Подключить frontend. Использовать </w:t>
      </w:r>
      <w:r>
        <w:t>OpenAPI-схему, добавить выбранный механизм токенов/SSO, передавать X-Company-ID и строить элементы интерфейса по доступным разрешениям.</w:t>
      </w:r>
    </w:p>
    <w:p w14:paraId="1D4485A8" w14:textId="77777777" w:rsidR="009F3766" w:rsidRDefault="006E4D96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</w:pPr>
      <w:r>
        <w:t>Усилить выпуск. Добавить CI, PostgreSQL-интеграционные тесты, rate limiting, централизованные логи, Sentry/аналог, фонов</w:t>
      </w:r>
      <w:r>
        <w:t>ые уведомления и резервное восстановление.</w:t>
      </w:r>
    </w:p>
    <w:p w14:paraId="68C83780" w14:textId="77777777" w:rsidR="009F3766" w:rsidRDefault="006E4D96">
      <w:pPr>
        <w:pStyle w:val="2"/>
        <w:spacing w:before="200"/>
      </w:pPr>
      <w:bookmarkStart w:id="6" w:name="bookmark=id.rl3o3rp5qmnq" w:colFirst="0" w:colLast="0"/>
      <w:bookmarkEnd w:id="6"/>
      <w:r>
        <w:t>Заключение</w:t>
      </w:r>
    </w:p>
    <w:p w14:paraId="64060F8D" w14:textId="77777777" w:rsidR="009F3766" w:rsidRDefault="006E4D96">
      <w:pPr>
        <w:spacing w:before="200"/>
      </w:pPr>
      <w:r>
        <w:t>Фундамент покрывает ядро ежедневной работы и не фиксирует отраслевые названия в коде. Клинический пример является одной конфигурацией общей модели, а не отдельной архитектурой.</w:t>
      </w:r>
    </w:p>
    <w:p w14:paraId="578F7D32" w14:textId="77777777" w:rsidR="009F3766" w:rsidRDefault="006E4D96">
      <w:pPr>
        <w:spacing w:before="200"/>
      </w:pPr>
      <w:r>
        <w:t>На следующем этапе целесо</w:t>
      </w:r>
      <w:r>
        <w:t>образно согласовать контракт авторизации и конкретные экраны frontend, после чего API можно расширять предметными модулями без изменения базовой tenant-модели.</w:t>
      </w:r>
    </w:p>
    <w:p w14:paraId="36C2D35D" w14:textId="77777777" w:rsidR="009F3766" w:rsidRDefault="006E4D96">
      <w:pPr>
        <w:pStyle w:val="1"/>
        <w:pageBreakBefore/>
      </w:pPr>
      <w:bookmarkStart w:id="7" w:name="bookmark=id.cf45595vup8a" w:colFirst="0" w:colLast="0"/>
      <w:bookmarkEnd w:id="7"/>
      <w:r>
        <w:t>Приложение</w:t>
      </w:r>
    </w:p>
    <w:p w14:paraId="6B335559" w14:textId="77777777" w:rsidR="009F3766" w:rsidRDefault="006E4D96">
      <w:pPr>
        <w:pStyle w:val="2"/>
      </w:pPr>
      <w:bookmarkStart w:id="8" w:name="bookmark=id.ptrg31dozyqs" w:colFirst="0" w:colLast="0"/>
      <w:bookmarkEnd w:id="8"/>
      <w:r>
        <w:t>Карта реализации</w:t>
      </w:r>
    </w:p>
    <w:p w14:paraId="2B5E2AE0" w14:textId="77777777" w:rsidR="009F3766" w:rsidRDefault="006E4D96">
      <w:r>
        <w:t>Модели находятся в app/models.py; API и бизнес-действия — app/views.</w:t>
      </w:r>
      <w:r>
        <w:t>py; сериализация и валидация — app/serializers.py; роли — app/permissions.py; административная панель — app/admin.py.</w:t>
      </w:r>
    </w:p>
    <w:p w14:paraId="569F8A72" w14:textId="77777777" w:rsidR="009F3766" w:rsidRDefault="006E4D96">
      <w:r>
        <w:t>Проверки: миграции 0001 и 0002 применены; django check проходит; четыре автоматических теста проверяют tenant-изоляцию, запрет роли, перес</w:t>
      </w:r>
      <w:r>
        <w:t>ечение записей и чужую компанию; OpenAPI-схема валидируется без ошибок.</w:t>
      </w:r>
    </w:p>
    <w:p w14:paraId="418F24A9" w14:textId="77777777" w:rsidR="009F3766" w:rsidRDefault="006E4D96">
      <w:pPr>
        <w:pStyle w:val="2"/>
      </w:pPr>
      <w:bookmarkStart w:id="9" w:name="bookmark=id.nnk1eebni0ji" w:colFirst="0" w:colLast="0"/>
      <w:bookmarkEnd w:id="9"/>
      <w:r>
        <w:t>Источники</w:t>
      </w:r>
    </w:p>
    <w:p w14:paraId="2B7E3ACB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Notion: «Фундамент универсальной системы для работы с клиентами и задачами», получено 12 августа 2026.</w:t>
      </w:r>
    </w:p>
    <w:p w14:paraId="24A23798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scheduling-platform (1).html: пример интерфейса расписания клиники, лок</w:t>
      </w:r>
      <w:r>
        <w:t>альный файл заказчика.</w:t>
      </w:r>
    </w:p>
    <w:p w14:paraId="7E3B7E62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README.md и schema.yml: эксплуатационная инструкция и контракт реализованного API.</w:t>
      </w:r>
    </w:p>
    <w:p w14:paraId="4B6C7055" w14:textId="77777777" w:rsidR="009F3766" w:rsidRDefault="006E4D9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Django Admin: встроенная служебная панель управления пользователями и всеми рабочими сущностями.</w:t>
      </w:r>
    </w:p>
    <w:p w14:paraId="1A1E5B1A" w14:textId="77777777" w:rsidR="009F3766" w:rsidRDefault="009F3766">
      <w:pPr>
        <w:keepLines/>
        <w:pBdr>
          <w:top w:val="nil"/>
          <w:left w:val="nil"/>
          <w:bottom w:val="nil"/>
          <w:right w:val="nil"/>
          <w:between w:val="nil"/>
        </w:pBdr>
        <w:spacing w:after="100"/>
      </w:pPr>
    </w:p>
    <w:p w14:paraId="1999AF57" w14:textId="77777777" w:rsidR="009F3766" w:rsidRDefault="006E4D96">
      <w:pPr>
        <w:keepLines/>
        <w:pBdr>
          <w:top w:val="nil"/>
          <w:left w:val="single" w:sz="16" w:space="8" w:color="595959"/>
          <w:bottom w:val="nil"/>
          <w:right w:val="nil"/>
          <w:between w:val="nil"/>
        </w:pBdr>
        <w:shd w:val="clear" w:color="auto" w:fill="F2F2F2"/>
        <w:spacing w:before="160" w:after="200" w:line="269" w:lineRule="auto"/>
        <w:ind w:left="259" w:right="259"/>
        <w:rPr>
          <w:color w:val="000000"/>
        </w:rPr>
      </w:pPr>
      <w:r>
        <w:t>Версия отчёта: 1.0 · 16 августа 2026</w:t>
      </w:r>
    </w:p>
    <w:sectPr w:rsidR="009F376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6F871A" w14:textId="77777777" w:rsidR="00000000" w:rsidRDefault="006E4D96">
      <w:pPr>
        <w:spacing w:after="0" w:line="240" w:lineRule="auto"/>
      </w:pPr>
      <w:r>
        <w:separator/>
      </w:r>
    </w:p>
  </w:endnote>
  <w:endnote w:type="continuationSeparator" w:id="0">
    <w:p w14:paraId="6D931FF0" w14:textId="77777777" w:rsidR="00000000" w:rsidRDefault="006E4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charset w:val="00"/>
    <w:family w:val="auto"/>
    <w:pitch w:val="default"/>
    <w:embedRegular r:id="rId1" w:fontKey="{7363E9A8-9B7A-412A-A9FE-F31AF0FBD245}"/>
    <w:embedBold r:id="rId2" w:fontKey="{E806910F-DAB6-45E3-97F2-E4CF09383A57}"/>
    <w:embedItalic r:id="rId3" w:fontKey="{111A7236-12E1-4CD2-BDD1-C0A96BF3B87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E93AE67-887E-4B09-A63E-F1057B48491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A2D9ECF-8F67-4853-B358-3F21CC0162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281B4" w14:textId="77777777" w:rsidR="009F3766" w:rsidRDefault="009F37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50B25" w14:textId="77777777" w:rsidR="009F3766" w:rsidRDefault="006E4D96">
    <w:pPr>
      <w:pBdr>
        <w:top w:val="nil"/>
        <w:left w:val="nil"/>
        <w:bottom w:val="nil"/>
        <w:right w:val="nil"/>
        <w:between w:val="nil"/>
      </w:pBdr>
      <w:spacing w:after="0" w:line="278" w:lineRule="auto"/>
      <w:jc w:val="right"/>
      <w:rPr>
        <w:color w:val="7A7A7A"/>
        <w:sz w:val="18"/>
        <w:szCs w:val="18"/>
      </w:rPr>
    </w:pPr>
    <w:r>
      <w:rPr>
        <w:color w:val="7A7A7A"/>
        <w:sz w:val="18"/>
        <w:szCs w:val="18"/>
      </w:rPr>
      <w:fldChar w:fldCharType="begin"/>
    </w:r>
    <w:r>
      <w:rPr>
        <w:color w:val="7A7A7A"/>
        <w:sz w:val="18"/>
        <w:szCs w:val="18"/>
      </w:rPr>
      <w:instrText>PAGE</w:instrText>
    </w:r>
    <w:r>
      <w:rPr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64E749" w14:textId="77777777" w:rsidR="00000000" w:rsidRDefault="006E4D96">
      <w:pPr>
        <w:spacing w:after="0" w:line="240" w:lineRule="auto"/>
      </w:pPr>
      <w:r>
        <w:separator/>
      </w:r>
    </w:p>
  </w:footnote>
  <w:footnote w:type="continuationSeparator" w:id="0">
    <w:p w14:paraId="75E19A39" w14:textId="77777777" w:rsidR="00000000" w:rsidRDefault="006E4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2796D" w14:textId="77777777" w:rsidR="009F3766" w:rsidRDefault="009F37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A1149" w14:textId="77777777" w:rsidR="009F3766" w:rsidRDefault="009F3766">
    <w:pPr>
      <w:pBdr>
        <w:top w:val="nil"/>
        <w:left w:val="nil"/>
        <w:bottom w:val="single" w:sz="4" w:space="5" w:color="D9D9D9"/>
        <w:right w:val="nil"/>
        <w:between w:val="nil"/>
      </w:pBdr>
      <w:spacing w:after="80" w:line="278" w:lineRule="auto"/>
      <w:rPr>
        <w:color w:val="7A7A7A"/>
        <w:sz w:val="17"/>
        <w:szCs w:val="17"/>
      </w:rPr>
    </w:pPr>
  </w:p>
  <w:sdt>
    <w:sdtPr>
      <w:tag w:val="goog_rdk_0"/>
      <w:id w:val="2109222018"/>
      <w:lock w:val="contentLocked"/>
    </w:sdtPr>
    <w:sdtEndPr/>
    <w:sdtContent>
      <w:tbl>
        <w:tblPr>
          <w:tblStyle w:val="a7"/>
          <w:tblW w:w="9360" w:type="dxa"/>
          <w:tblInd w:w="0" w:type="dxa"/>
          <w:tblLayout w:type="fixed"/>
          <w:tblLook w:val="0600" w:firstRow="0" w:lastRow="0" w:firstColumn="0" w:lastColumn="0" w:noHBand="1" w:noVBand="1"/>
        </w:tblPr>
        <w:tblGrid>
          <w:gridCol w:w="4680"/>
          <w:gridCol w:w="4680"/>
        </w:tblGrid>
        <w:tr w:rsidR="009F3766" w14:paraId="789C63E6" w14:textId="77777777">
          <w:trPr>
            <w:cantSplit/>
            <w:trHeight w:val="325"/>
          </w:trPr>
          <w:tc>
            <w:tcPr>
              <w:tcW w:w="4680" w:type="dxa"/>
              <w:shd w:val="clear" w:color="auto" w:fill="auto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43B620A5" w14:textId="77777777" w:rsidR="009F3766" w:rsidRDefault="006E4D96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80" w:line="278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Fundament Backend</w:t>
              </w:r>
            </w:p>
            <w:p w14:paraId="3D0F2EFC" w14:textId="77777777" w:rsidR="009F3766" w:rsidRDefault="009F3766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rPr>
                  <w:color w:val="7A7A7A"/>
                  <w:sz w:val="17"/>
                  <w:szCs w:val="17"/>
                </w:rPr>
              </w:pPr>
            </w:p>
          </w:tc>
          <w:tc>
            <w:tcPr>
              <w:tcW w:w="4680" w:type="dxa"/>
              <w:shd w:val="clear" w:color="auto" w:fill="auto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0A8A599C" w14:textId="77777777" w:rsidR="009F3766" w:rsidRDefault="006E4D96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Август 2026</w:t>
              </w:r>
            </w:p>
          </w:tc>
        </w:tr>
      </w:tbl>
    </w:sdtContent>
  </w:sdt>
  <w:p w14:paraId="22B17188" w14:textId="77777777" w:rsidR="009F3766" w:rsidRDefault="009F37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550646"/>
    <w:multiLevelType w:val="multilevel"/>
    <w:tmpl w:val="C630D402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C120F5A"/>
    <w:multiLevelType w:val="multilevel"/>
    <w:tmpl w:val="4DB80CB8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766"/>
    <w:rsid w:val="006E4D96"/>
    <w:rsid w:val="009F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788AC"/>
  <w15:docId w15:val="{52867A2C-CC5C-4BD8-AAA6-D1369B29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 Neue" w:eastAsia="Helvetica Neue" w:hAnsi="Helvetica Neue" w:cs="Helvetica Neue"/>
        <w:sz w:val="22"/>
        <w:szCs w:val="22"/>
        <w:lang w:val="en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00"/>
      <w:outlineLvl w:val="0"/>
    </w:pPr>
    <w:rPr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/>
      <w:outlineLvl w:val="1"/>
    </w:pPr>
    <w:rPr>
      <w:color w:val="00000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00" w:line="278" w:lineRule="auto"/>
    </w:pPr>
    <w:rPr>
      <w:b/>
      <w:bCs/>
      <w:sz w:val="80"/>
      <w:szCs w:val="80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 Backend — Design Report</dc:title>
  <dc:subject>Архитектура универсального Django backend</dc:subject>
  <dc:creator>Codex</dc:creator>
  <cp:lastModifiedBy>Чынарбек Y</cp:lastModifiedBy>
  <cp:revision>2</cp:revision>
  <dcterms:created xsi:type="dcterms:W3CDTF">2026-08-16T17:19:00Z</dcterms:created>
  <dcterms:modified xsi:type="dcterms:W3CDTF">2026-08-16T17:19:00Z</dcterms:modified>
</cp:coreProperties>
</file>