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F351A" w14:textId="77777777" w:rsidR="00D023BE" w:rsidRPr="00067250" w:rsidRDefault="00000000" w:rsidP="001D551E">
      <w:pPr>
        <w:pStyle w:val="Title"/>
        <w:rPr>
          <w:sz w:val="56"/>
          <w:szCs w:val="56"/>
        </w:rPr>
      </w:pPr>
      <w:r w:rsidRPr="00067250">
        <w:rPr>
          <w:sz w:val="56"/>
          <w:szCs w:val="56"/>
        </w:rPr>
        <w:t>Monthly Education Insights Analysis</w:t>
      </w:r>
    </w:p>
    <w:p w14:paraId="32B4DC8B" w14:textId="77777777" w:rsidR="005706E6" w:rsidRPr="005706E6" w:rsidRDefault="005706E6" w:rsidP="00A62AC4">
      <w:pPr>
        <w:jc w:val="both"/>
        <w:rPr>
          <w:color w:val="555555"/>
          <w:sz w:val="22"/>
          <w:lang w:val="en-AU"/>
        </w:rPr>
      </w:pPr>
      <w:r w:rsidRPr="005706E6">
        <w:rPr>
          <w:color w:val="555555"/>
          <w:sz w:val="22"/>
          <w:lang w:val="en-AU"/>
        </w:rPr>
        <w:t>Analysis of attendance seasonality, year-level attendance patterns, and the relationship between attendance and assessment outcomes.</w:t>
      </w:r>
    </w:p>
    <w:p w14:paraId="5F7D9FE1" w14:textId="77777777" w:rsidR="004F1B07" w:rsidRDefault="00000000">
      <w:pPr>
        <w:pStyle w:val="Heading1"/>
      </w:pPr>
      <w:r>
        <w:t>Purpose Of This Report</w:t>
      </w:r>
    </w:p>
    <w:p w14:paraId="716B5D57" w14:textId="77777777" w:rsidR="004F1B07" w:rsidRDefault="00000000" w:rsidP="00A62AC4">
      <w:pPr>
        <w:jc w:val="both"/>
      </w:pPr>
      <w:r>
        <w:t>This report provides an analyst interpretation of monthly attendance and assessment patterns across 2024 and 2025. It is intended to turn dashboard metrics into a concise evidence narrative for stakeholder reporting.</w:t>
      </w:r>
    </w:p>
    <w:p w14:paraId="3EE8D44F" w14:textId="77777777" w:rsidR="004F1B07" w:rsidRDefault="00000000" w:rsidP="00A62AC4">
      <w:pPr>
        <w:jc w:val="both"/>
      </w:pPr>
      <w:r>
        <w:t>The analysis uses selected charts from the Power BI dashboard and complements the dashboard by explaining the main trends, cohort differences, caveats, and possible follow-up actions. It does not document the underlying data engineering pipeline.</w:t>
      </w:r>
    </w:p>
    <w:p w14:paraId="05259E5D" w14:textId="77777777" w:rsidR="004F1B07" w:rsidRDefault="00000000" w:rsidP="00A62AC4">
      <w:pPr>
        <w:jc w:val="both"/>
      </w:pPr>
      <w:r>
        <w:t>The report focuses on three questions: when attendance risk increases, which year-level groups require closer monitoring, and how attendance bands are associated with assessment outcomes. The data is synthetic and should be read as portfolio evidence rather than real student or school performance reporting.</w:t>
      </w:r>
    </w:p>
    <w:p w14:paraId="5A76D646" w14:textId="77777777" w:rsidR="00295C69" w:rsidRPr="00295C69" w:rsidRDefault="00295C69" w:rsidP="00295C69">
      <w:pPr>
        <w:pStyle w:val="Heading1"/>
      </w:pPr>
      <w:r>
        <w:rPr>
          <w:rFonts w:ascii="Calibri" w:hAnsi="Calibri"/>
        </w:rPr>
        <w:t>Executive Summary</w:t>
      </w:r>
    </w:p>
    <w:p w14:paraId="1C073424" w14:textId="77777777" w:rsidR="00295C69" w:rsidRPr="00295C69" w:rsidRDefault="00295C69" w:rsidP="00295C69">
      <w:pPr>
        <w:spacing w:after="40"/>
        <w:rPr>
          <w:lang w:val="en-AU"/>
        </w:rPr>
      </w:pPr>
      <w:r w:rsidRPr="00295C69">
        <w:rPr>
          <w:lang w:val="en-AU"/>
        </w:rPr>
        <w:t>Th</w:t>
      </w:r>
      <w:r w:rsidR="0081140A">
        <w:rPr>
          <w:lang w:val="en-AU"/>
        </w:rPr>
        <w:t>is report presents</w:t>
      </w:r>
      <w:r w:rsidRPr="00295C69">
        <w:rPr>
          <w:lang w:val="en-AU"/>
        </w:rPr>
        <w:t xml:space="preserve"> a clear monthly attendance story across 2024 and 2025:</w:t>
      </w:r>
    </w:p>
    <w:p w14:paraId="5B681474" w14:textId="77777777" w:rsidR="00295C69" w:rsidRPr="00295C69" w:rsidRDefault="00295C69" w:rsidP="00295C69">
      <w:pPr>
        <w:numPr>
          <w:ilvl w:val="0"/>
          <w:numId w:val="10"/>
        </w:numPr>
        <w:spacing w:after="40"/>
        <w:rPr>
          <w:lang w:val="en-AU"/>
        </w:rPr>
      </w:pPr>
      <w:r w:rsidRPr="00295C69">
        <w:rPr>
          <w:lang w:val="en-AU"/>
        </w:rPr>
        <w:t>attendance declines during winter months, especially June to August;</w:t>
      </w:r>
    </w:p>
    <w:p w14:paraId="42E59C01" w14:textId="77777777" w:rsidR="00295C69" w:rsidRPr="00295C69" w:rsidRDefault="00295C69" w:rsidP="00A62AC4">
      <w:pPr>
        <w:numPr>
          <w:ilvl w:val="0"/>
          <w:numId w:val="10"/>
        </w:numPr>
        <w:spacing w:after="40"/>
        <w:jc w:val="both"/>
        <w:rPr>
          <w:lang w:val="en-AU"/>
        </w:rPr>
      </w:pPr>
      <w:r w:rsidRPr="00295C69">
        <w:rPr>
          <w:lang w:val="en-AU"/>
        </w:rPr>
        <w:t>Year 7 transition and senior secondary cohorts show different attendance behaviour from other year levels;</w:t>
      </w:r>
    </w:p>
    <w:p w14:paraId="7D9EA17C" w14:textId="77777777" w:rsidR="00295C69" w:rsidRPr="00295C69" w:rsidRDefault="00295C69" w:rsidP="00A62AC4">
      <w:pPr>
        <w:numPr>
          <w:ilvl w:val="0"/>
          <w:numId w:val="10"/>
        </w:numPr>
        <w:spacing w:after="40"/>
        <w:jc w:val="both"/>
        <w:rPr>
          <w:lang w:val="en-AU"/>
        </w:rPr>
      </w:pPr>
      <w:r w:rsidRPr="00295C69">
        <w:rPr>
          <w:lang w:val="en-AU"/>
        </w:rPr>
        <w:t>senior secondary year levels have the highest share of student-months below the 80% attendance threshold;</w:t>
      </w:r>
    </w:p>
    <w:p w14:paraId="49A60B0E" w14:textId="77777777" w:rsidR="00295C69" w:rsidRDefault="00295C69" w:rsidP="00295C69">
      <w:pPr>
        <w:numPr>
          <w:ilvl w:val="0"/>
          <w:numId w:val="10"/>
        </w:numPr>
        <w:spacing w:after="40"/>
        <w:rPr>
          <w:lang w:val="en-AU"/>
        </w:rPr>
      </w:pPr>
      <w:r w:rsidRPr="00295C69">
        <w:rPr>
          <w:lang w:val="en-AU"/>
        </w:rPr>
        <w:t>higher attendance bands are associated with stronger assessment scores across Reading, Numeracy, and Writing</w:t>
      </w:r>
      <w:r>
        <w:rPr>
          <w:lang w:val="en-AU"/>
        </w:rPr>
        <w:t>.</w:t>
      </w:r>
    </w:p>
    <w:p w14:paraId="0202FF6B" w14:textId="77777777" w:rsidR="0081140A" w:rsidRDefault="0081140A">
      <w:pPr>
        <w:rPr>
          <w:lang w:val="en-AU"/>
        </w:rPr>
      </w:pPr>
      <w:r>
        <w:rPr>
          <w:lang w:val="en-AU"/>
        </w:rPr>
        <w:br w:type="page"/>
      </w:r>
    </w:p>
    <w:p w14:paraId="480D4B7E" w14:textId="77777777" w:rsidR="00D023BE" w:rsidRDefault="00000000">
      <w:pPr>
        <w:pStyle w:val="Heading1"/>
      </w:pPr>
      <w:r>
        <w:rPr>
          <w:rFonts w:ascii="Calibri" w:hAnsi="Calibri"/>
        </w:rPr>
        <w:lastRenderedPageBreak/>
        <w:t>Key Statistics</w:t>
      </w:r>
    </w:p>
    <w:p w14:paraId="4115ED47" w14:textId="77777777" w:rsidR="00D023BE" w:rsidRDefault="005706E6" w:rsidP="00616675">
      <w:pPr>
        <w:jc w:val="both"/>
      </w:pPr>
      <w:r w:rsidRPr="005706E6">
        <w:t xml:space="preserve">The table below </w:t>
      </w:r>
      <w:proofErr w:type="spellStart"/>
      <w:r w:rsidRPr="005706E6">
        <w:t>summarises</w:t>
      </w:r>
      <w:proofErr w:type="spellEnd"/>
      <w:r w:rsidRPr="005706E6">
        <w:t xml:space="preserve"> the key statistics used in this analysis. The figures are drawn from the Power BI reporting outputs and are based on synthetic data developed for this portfolio project.</w:t>
      </w:r>
    </w:p>
    <w:tbl>
      <w:tblPr>
        <w:tblW w:w="9945" w:type="dxa"/>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fixed"/>
        <w:tblLook w:val="04A0" w:firstRow="1" w:lastRow="0" w:firstColumn="1" w:lastColumn="0" w:noHBand="0" w:noVBand="1"/>
      </w:tblPr>
      <w:tblGrid>
        <w:gridCol w:w="3960"/>
        <w:gridCol w:w="1854"/>
        <w:gridCol w:w="4131"/>
      </w:tblGrid>
      <w:tr w:rsidR="00D023BE" w14:paraId="4DE98DF1" w14:textId="77777777" w:rsidTr="00D54CE7">
        <w:trPr>
          <w:jc w:val="center"/>
        </w:trPr>
        <w:tc>
          <w:tcPr>
            <w:tcW w:w="3960" w:type="dxa"/>
            <w:shd w:val="clear" w:color="auto" w:fill="E8EEF5"/>
            <w:vAlign w:val="center"/>
          </w:tcPr>
          <w:p w14:paraId="013C98BC" w14:textId="77777777" w:rsidR="00D023BE" w:rsidRDefault="00000000">
            <w:pPr>
              <w:spacing w:after="0"/>
            </w:pPr>
            <w:r>
              <w:rPr>
                <w:b/>
                <w:color w:val="0B2545"/>
                <w:sz w:val="18"/>
              </w:rPr>
              <w:t>Statistic</w:t>
            </w:r>
          </w:p>
        </w:tc>
        <w:tc>
          <w:tcPr>
            <w:tcW w:w="1854" w:type="dxa"/>
            <w:shd w:val="clear" w:color="auto" w:fill="E8EEF5"/>
            <w:vAlign w:val="center"/>
          </w:tcPr>
          <w:p w14:paraId="0CBC12E8" w14:textId="77777777" w:rsidR="00D023BE" w:rsidRDefault="00000000">
            <w:pPr>
              <w:spacing w:after="0"/>
            </w:pPr>
            <w:r>
              <w:rPr>
                <w:b/>
                <w:color w:val="0B2545"/>
                <w:sz w:val="18"/>
              </w:rPr>
              <w:t>Value</w:t>
            </w:r>
          </w:p>
        </w:tc>
        <w:tc>
          <w:tcPr>
            <w:tcW w:w="4131" w:type="dxa"/>
            <w:shd w:val="clear" w:color="auto" w:fill="E8EEF5"/>
            <w:vAlign w:val="center"/>
          </w:tcPr>
          <w:p w14:paraId="262E0103" w14:textId="77777777" w:rsidR="00D023BE" w:rsidRDefault="00000000">
            <w:pPr>
              <w:spacing w:after="0"/>
            </w:pPr>
            <w:r>
              <w:rPr>
                <w:b/>
                <w:color w:val="0B2545"/>
                <w:sz w:val="18"/>
              </w:rPr>
              <w:t>Brief interpretation</w:t>
            </w:r>
          </w:p>
        </w:tc>
      </w:tr>
      <w:tr w:rsidR="00D023BE" w14:paraId="4FAFC8A1" w14:textId="77777777" w:rsidTr="00D54CE7">
        <w:trPr>
          <w:jc w:val="center"/>
        </w:trPr>
        <w:tc>
          <w:tcPr>
            <w:tcW w:w="3960" w:type="dxa"/>
            <w:vAlign w:val="center"/>
          </w:tcPr>
          <w:p w14:paraId="13F74170" w14:textId="77777777" w:rsidR="00D023BE" w:rsidRDefault="00000000">
            <w:pPr>
              <w:spacing w:after="0"/>
            </w:pPr>
            <w:r>
              <w:rPr>
                <w:sz w:val="18"/>
              </w:rPr>
              <w:t>Overall attendance rate</w:t>
            </w:r>
          </w:p>
        </w:tc>
        <w:tc>
          <w:tcPr>
            <w:tcW w:w="1854" w:type="dxa"/>
            <w:vAlign w:val="center"/>
          </w:tcPr>
          <w:p w14:paraId="0F96309E" w14:textId="77777777" w:rsidR="00D023BE" w:rsidRDefault="00000000">
            <w:pPr>
              <w:spacing w:after="0"/>
            </w:pPr>
            <w:r>
              <w:rPr>
                <w:b/>
                <w:color w:val="1F4E79"/>
                <w:sz w:val="18"/>
              </w:rPr>
              <w:t>88.81%</w:t>
            </w:r>
          </w:p>
        </w:tc>
        <w:tc>
          <w:tcPr>
            <w:tcW w:w="4131" w:type="dxa"/>
            <w:vAlign w:val="center"/>
          </w:tcPr>
          <w:p w14:paraId="0FD3E974" w14:textId="77777777" w:rsidR="00D023BE" w:rsidRDefault="00000000">
            <w:pPr>
              <w:spacing w:after="0"/>
            </w:pPr>
            <w:r>
              <w:rPr>
                <w:sz w:val="18"/>
              </w:rPr>
              <w:t>Attendance sits below a perfect participation benchmark and shows room for targeted monitoring.</w:t>
            </w:r>
          </w:p>
        </w:tc>
      </w:tr>
      <w:tr w:rsidR="00D023BE" w14:paraId="2D1E8DB2" w14:textId="77777777" w:rsidTr="00D54CE7">
        <w:trPr>
          <w:jc w:val="center"/>
        </w:trPr>
        <w:tc>
          <w:tcPr>
            <w:tcW w:w="3960" w:type="dxa"/>
            <w:vAlign w:val="center"/>
          </w:tcPr>
          <w:p w14:paraId="25B098E3" w14:textId="77777777" w:rsidR="00D023BE" w:rsidRDefault="00000000">
            <w:pPr>
              <w:spacing w:after="0"/>
            </w:pPr>
            <w:r>
              <w:rPr>
                <w:sz w:val="18"/>
              </w:rPr>
              <w:t>Winter attendance rate</w:t>
            </w:r>
          </w:p>
        </w:tc>
        <w:tc>
          <w:tcPr>
            <w:tcW w:w="1854" w:type="dxa"/>
            <w:vAlign w:val="center"/>
          </w:tcPr>
          <w:p w14:paraId="02E6127D" w14:textId="77777777" w:rsidR="00D023BE" w:rsidRDefault="00000000">
            <w:pPr>
              <w:spacing w:after="0"/>
            </w:pPr>
            <w:r>
              <w:rPr>
                <w:b/>
                <w:color w:val="1F4E79"/>
                <w:sz w:val="18"/>
              </w:rPr>
              <w:t>83.91%</w:t>
            </w:r>
          </w:p>
        </w:tc>
        <w:tc>
          <w:tcPr>
            <w:tcW w:w="4131" w:type="dxa"/>
            <w:vAlign w:val="center"/>
          </w:tcPr>
          <w:p w14:paraId="4F5FE69A" w14:textId="77777777" w:rsidR="00D023BE" w:rsidRDefault="00000000">
            <w:pPr>
              <w:spacing w:after="0"/>
            </w:pPr>
            <w:r>
              <w:rPr>
                <w:sz w:val="18"/>
              </w:rPr>
              <w:t xml:space="preserve">Attendance is materially lower </w:t>
            </w:r>
            <w:proofErr w:type="gramStart"/>
            <w:r>
              <w:rPr>
                <w:sz w:val="18"/>
              </w:rPr>
              <w:t>during</w:t>
            </w:r>
            <w:proofErr w:type="gramEnd"/>
            <w:r>
              <w:rPr>
                <w:sz w:val="18"/>
              </w:rPr>
              <w:t xml:space="preserve"> June to August.</w:t>
            </w:r>
          </w:p>
        </w:tc>
      </w:tr>
      <w:tr w:rsidR="00D023BE" w14:paraId="14527C3D" w14:textId="77777777" w:rsidTr="00D54CE7">
        <w:trPr>
          <w:jc w:val="center"/>
        </w:trPr>
        <w:tc>
          <w:tcPr>
            <w:tcW w:w="3960" w:type="dxa"/>
            <w:vAlign w:val="center"/>
          </w:tcPr>
          <w:p w14:paraId="082EB7CA" w14:textId="77777777" w:rsidR="00D023BE" w:rsidRDefault="00000000">
            <w:pPr>
              <w:spacing w:after="0"/>
            </w:pPr>
            <w:r>
              <w:rPr>
                <w:sz w:val="18"/>
              </w:rPr>
              <w:t>Non-winter attendance rate</w:t>
            </w:r>
          </w:p>
        </w:tc>
        <w:tc>
          <w:tcPr>
            <w:tcW w:w="1854" w:type="dxa"/>
            <w:vAlign w:val="center"/>
          </w:tcPr>
          <w:p w14:paraId="034D76DC" w14:textId="77777777" w:rsidR="00D023BE" w:rsidRDefault="00000000">
            <w:pPr>
              <w:spacing w:after="0"/>
            </w:pPr>
            <w:r>
              <w:rPr>
                <w:b/>
                <w:color w:val="1F4E79"/>
                <w:sz w:val="18"/>
              </w:rPr>
              <w:t>90.68%</w:t>
            </w:r>
          </w:p>
        </w:tc>
        <w:tc>
          <w:tcPr>
            <w:tcW w:w="4131" w:type="dxa"/>
            <w:vAlign w:val="center"/>
          </w:tcPr>
          <w:p w14:paraId="4DD58B6C" w14:textId="77777777" w:rsidR="00D023BE" w:rsidRDefault="00000000">
            <w:pPr>
              <w:spacing w:after="0"/>
            </w:pPr>
            <w:r>
              <w:rPr>
                <w:sz w:val="18"/>
              </w:rPr>
              <w:t>Attendance is stronger outside winter months.</w:t>
            </w:r>
          </w:p>
        </w:tc>
      </w:tr>
      <w:tr w:rsidR="00D023BE" w14:paraId="1D944D29" w14:textId="77777777" w:rsidTr="00D54CE7">
        <w:trPr>
          <w:jc w:val="center"/>
        </w:trPr>
        <w:tc>
          <w:tcPr>
            <w:tcW w:w="3960" w:type="dxa"/>
            <w:vAlign w:val="center"/>
          </w:tcPr>
          <w:p w14:paraId="3B74FE03" w14:textId="77777777" w:rsidR="00D023BE" w:rsidRDefault="00000000">
            <w:pPr>
              <w:spacing w:after="0"/>
            </w:pPr>
            <w:r>
              <w:rPr>
                <w:sz w:val="18"/>
              </w:rPr>
              <w:t>Winter gap</w:t>
            </w:r>
          </w:p>
        </w:tc>
        <w:tc>
          <w:tcPr>
            <w:tcW w:w="1854" w:type="dxa"/>
            <w:vAlign w:val="center"/>
          </w:tcPr>
          <w:p w14:paraId="1241885E" w14:textId="77777777" w:rsidR="00D023BE" w:rsidRDefault="00000000">
            <w:pPr>
              <w:spacing w:after="0"/>
            </w:pPr>
            <w:r>
              <w:rPr>
                <w:b/>
                <w:color w:val="1F4E79"/>
                <w:sz w:val="18"/>
              </w:rPr>
              <w:t>-6.78 pp</w:t>
            </w:r>
          </w:p>
        </w:tc>
        <w:tc>
          <w:tcPr>
            <w:tcW w:w="4131" w:type="dxa"/>
            <w:vAlign w:val="center"/>
          </w:tcPr>
          <w:p w14:paraId="7719385D" w14:textId="77777777" w:rsidR="00D023BE" w:rsidRDefault="00000000">
            <w:pPr>
              <w:spacing w:after="0"/>
            </w:pPr>
            <w:r>
              <w:rPr>
                <w:sz w:val="18"/>
              </w:rPr>
              <w:t>The winter decline is large enough to require seasonal planning.</w:t>
            </w:r>
          </w:p>
        </w:tc>
      </w:tr>
      <w:tr w:rsidR="00D023BE" w14:paraId="6ED3EBB5" w14:textId="77777777" w:rsidTr="00D54CE7">
        <w:trPr>
          <w:jc w:val="center"/>
        </w:trPr>
        <w:tc>
          <w:tcPr>
            <w:tcW w:w="3960" w:type="dxa"/>
            <w:vAlign w:val="center"/>
          </w:tcPr>
          <w:p w14:paraId="5D60DDA8" w14:textId="77777777" w:rsidR="00D023BE" w:rsidRDefault="00000000">
            <w:pPr>
              <w:spacing w:after="0"/>
            </w:pPr>
            <w:r>
              <w:rPr>
                <w:sz w:val="18"/>
              </w:rPr>
              <w:t>Year 7 attendance rate</w:t>
            </w:r>
          </w:p>
        </w:tc>
        <w:tc>
          <w:tcPr>
            <w:tcW w:w="1854" w:type="dxa"/>
            <w:vAlign w:val="center"/>
          </w:tcPr>
          <w:p w14:paraId="682465F9" w14:textId="77777777" w:rsidR="00D023BE" w:rsidRDefault="00000000">
            <w:pPr>
              <w:spacing w:after="0"/>
            </w:pPr>
            <w:r>
              <w:rPr>
                <w:b/>
                <w:color w:val="1F4E79"/>
                <w:sz w:val="18"/>
              </w:rPr>
              <w:t>85.86%</w:t>
            </w:r>
          </w:p>
        </w:tc>
        <w:tc>
          <w:tcPr>
            <w:tcW w:w="4131" w:type="dxa"/>
            <w:vAlign w:val="center"/>
          </w:tcPr>
          <w:p w14:paraId="5768E988" w14:textId="77777777" w:rsidR="00D023BE" w:rsidRDefault="00000000">
            <w:pPr>
              <w:spacing w:after="0"/>
            </w:pPr>
            <w:r>
              <w:rPr>
                <w:sz w:val="18"/>
              </w:rPr>
              <w:t>Year 7 transition attendance is weaker than the overall rate.</w:t>
            </w:r>
          </w:p>
        </w:tc>
      </w:tr>
      <w:tr w:rsidR="00D023BE" w14:paraId="4E4EDC7A" w14:textId="77777777" w:rsidTr="00D54CE7">
        <w:trPr>
          <w:jc w:val="center"/>
        </w:trPr>
        <w:tc>
          <w:tcPr>
            <w:tcW w:w="3960" w:type="dxa"/>
            <w:vAlign w:val="center"/>
          </w:tcPr>
          <w:p w14:paraId="53066EC5" w14:textId="77777777" w:rsidR="00D023BE" w:rsidRDefault="00000000">
            <w:pPr>
              <w:spacing w:after="0"/>
            </w:pPr>
            <w:r>
              <w:rPr>
                <w:sz w:val="18"/>
              </w:rPr>
              <w:t>Years 8-10 attendance rate</w:t>
            </w:r>
          </w:p>
        </w:tc>
        <w:tc>
          <w:tcPr>
            <w:tcW w:w="1854" w:type="dxa"/>
            <w:vAlign w:val="center"/>
          </w:tcPr>
          <w:p w14:paraId="38D46AB0" w14:textId="77777777" w:rsidR="00D023BE" w:rsidRDefault="00000000">
            <w:pPr>
              <w:spacing w:after="0"/>
            </w:pPr>
            <w:r>
              <w:rPr>
                <w:b/>
                <w:color w:val="1F4E79"/>
                <w:sz w:val="18"/>
              </w:rPr>
              <w:t>88.67%</w:t>
            </w:r>
          </w:p>
        </w:tc>
        <w:tc>
          <w:tcPr>
            <w:tcW w:w="4131" w:type="dxa"/>
            <w:vAlign w:val="center"/>
          </w:tcPr>
          <w:p w14:paraId="480DA3B9" w14:textId="77777777" w:rsidR="00D023BE" w:rsidRDefault="00000000">
            <w:pPr>
              <w:spacing w:after="0"/>
            </w:pPr>
            <w:r>
              <w:rPr>
                <w:sz w:val="18"/>
              </w:rPr>
              <w:t>Middle secondary attendance is closer to the overall average.</w:t>
            </w:r>
          </w:p>
        </w:tc>
      </w:tr>
      <w:tr w:rsidR="00D023BE" w14:paraId="08010B6C" w14:textId="77777777" w:rsidTr="00D54CE7">
        <w:trPr>
          <w:jc w:val="center"/>
        </w:trPr>
        <w:tc>
          <w:tcPr>
            <w:tcW w:w="3960" w:type="dxa"/>
            <w:vAlign w:val="center"/>
          </w:tcPr>
          <w:p w14:paraId="426D2038" w14:textId="77777777" w:rsidR="00D023BE" w:rsidRDefault="00000000">
            <w:pPr>
              <w:spacing w:after="0"/>
            </w:pPr>
            <w:r>
              <w:rPr>
                <w:sz w:val="18"/>
              </w:rPr>
              <w:t>Senior secondary attendance rate</w:t>
            </w:r>
          </w:p>
        </w:tc>
        <w:tc>
          <w:tcPr>
            <w:tcW w:w="1854" w:type="dxa"/>
            <w:vAlign w:val="center"/>
          </w:tcPr>
          <w:p w14:paraId="6F79CD65" w14:textId="77777777" w:rsidR="00D023BE" w:rsidRDefault="00000000">
            <w:pPr>
              <w:spacing w:after="0"/>
            </w:pPr>
            <w:r>
              <w:rPr>
                <w:b/>
                <w:color w:val="1F4E79"/>
                <w:sz w:val="18"/>
              </w:rPr>
              <w:t>83.55%</w:t>
            </w:r>
          </w:p>
        </w:tc>
        <w:tc>
          <w:tcPr>
            <w:tcW w:w="4131" w:type="dxa"/>
            <w:vAlign w:val="center"/>
          </w:tcPr>
          <w:p w14:paraId="2EC99FB7" w14:textId="77777777" w:rsidR="00D023BE" w:rsidRDefault="00000000">
            <w:pPr>
              <w:spacing w:after="0"/>
            </w:pPr>
            <w:r>
              <w:rPr>
                <w:sz w:val="18"/>
              </w:rPr>
              <w:t>Senior secondary attendance is the weakest headline cohort metric.</w:t>
            </w:r>
          </w:p>
        </w:tc>
      </w:tr>
      <w:tr w:rsidR="00D023BE" w14:paraId="50C476FA" w14:textId="77777777" w:rsidTr="00D54CE7">
        <w:trPr>
          <w:jc w:val="center"/>
        </w:trPr>
        <w:tc>
          <w:tcPr>
            <w:tcW w:w="3960" w:type="dxa"/>
            <w:vAlign w:val="center"/>
          </w:tcPr>
          <w:p w14:paraId="2B1FDCD7" w14:textId="77777777" w:rsidR="00D023BE" w:rsidRDefault="00000000">
            <w:pPr>
              <w:spacing w:after="0"/>
            </w:pPr>
            <w:r>
              <w:rPr>
                <w:sz w:val="18"/>
              </w:rPr>
              <w:t>Year 12 below-80% student-month share</w:t>
            </w:r>
          </w:p>
        </w:tc>
        <w:tc>
          <w:tcPr>
            <w:tcW w:w="1854" w:type="dxa"/>
            <w:vAlign w:val="center"/>
          </w:tcPr>
          <w:p w14:paraId="0067FD33" w14:textId="77777777" w:rsidR="00D023BE" w:rsidRDefault="00000000">
            <w:pPr>
              <w:spacing w:after="0"/>
            </w:pPr>
            <w:r>
              <w:rPr>
                <w:b/>
                <w:color w:val="1F4E79"/>
                <w:sz w:val="18"/>
              </w:rPr>
              <w:t>26.97%</w:t>
            </w:r>
          </w:p>
        </w:tc>
        <w:tc>
          <w:tcPr>
            <w:tcW w:w="4131" w:type="dxa"/>
            <w:vAlign w:val="center"/>
          </w:tcPr>
          <w:p w14:paraId="30693FE1" w14:textId="77777777" w:rsidR="00D023BE" w:rsidRDefault="00000000">
            <w:pPr>
              <w:spacing w:after="0"/>
            </w:pPr>
            <w:r>
              <w:rPr>
                <w:sz w:val="18"/>
              </w:rPr>
              <w:t>Senior secondary students show the highest share of high-concern attendance records.</w:t>
            </w:r>
          </w:p>
        </w:tc>
      </w:tr>
      <w:tr w:rsidR="00D023BE" w14:paraId="25761A44" w14:textId="77777777" w:rsidTr="00D54CE7">
        <w:trPr>
          <w:jc w:val="center"/>
        </w:trPr>
        <w:tc>
          <w:tcPr>
            <w:tcW w:w="3960" w:type="dxa"/>
            <w:vAlign w:val="center"/>
          </w:tcPr>
          <w:p w14:paraId="1C152DB0" w14:textId="77777777" w:rsidR="00D023BE" w:rsidRDefault="00000000">
            <w:pPr>
              <w:spacing w:after="0"/>
            </w:pPr>
            <w:r>
              <w:rPr>
                <w:sz w:val="18"/>
              </w:rPr>
              <w:t>Average assessment score</w:t>
            </w:r>
          </w:p>
        </w:tc>
        <w:tc>
          <w:tcPr>
            <w:tcW w:w="1854" w:type="dxa"/>
            <w:vAlign w:val="center"/>
          </w:tcPr>
          <w:p w14:paraId="73867CBF" w14:textId="77777777" w:rsidR="00D023BE" w:rsidRDefault="00000000">
            <w:pPr>
              <w:spacing w:after="0"/>
            </w:pPr>
            <w:r>
              <w:rPr>
                <w:b/>
                <w:color w:val="1F4E79"/>
                <w:sz w:val="18"/>
              </w:rPr>
              <w:t>418.87</w:t>
            </w:r>
          </w:p>
        </w:tc>
        <w:tc>
          <w:tcPr>
            <w:tcW w:w="4131" w:type="dxa"/>
            <w:vAlign w:val="center"/>
          </w:tcPr>
          <w:p w14:paraId="096C93FE" w14:textId="77777777" w:rsidR="00D023BE" w:rsidRDefault="00000000">
            <w:pPr>
              <w:spacing w:after="0"/>
            </w:pPr>
            <w:r>
              <w:rPr>
                <w:sz w:val="18"/>
              </w:rPr>
              <w:t>Baseline assessment score across selected assessment records.</w:t>
            </w:r>
          </w:p>
        </w:tc>
      </w:tr>
      <w:tr w:rsidR="00D023BE" w14:paraId="46C76045" w14:textId="77777777" w:rsidTr="00D54CE7">
        <w:trPr>
          <w:jc w:val="center"/>
        </w:trPr>
        <w:tc>
          <w:tcPr>
            <w:tcW w:w="3960" w:type="dxa"/>
            <w:vAlign w:val="center"/>
          </w:tcPr>
          <w:p w14:paraId="3EDA75E0" w14:textId="77777777" w:rsidR="00D023BE" w:rsidRDefault="00000000">
            <w:pPr>
              <w:spacing w:after="0"/>
            </w:pPr>
            <w:r>
              <w:rPr>
                <w:sz w:val="18"/>
              </w:rPr>
              <w:t>Assessment record count</w:t>
            </w:r>
          </w:p>
        </w:tc>
        <w:tc>
          <w:tcPr>
            <w:tcW w:w="1854" w:type="dxa"/>
            <w:vAlign w:val="center"/>
          </w:tcPr>
          <w:p w14:paraId="5DE8DDAD" w14:textId="5596E38C" w:rsidR="00D023BE" w:rsidRDefault="00110427">
            <w:pPr>
              <w:spacing w:after="0"/>
            </w:pPr>
            <w:r>
              <w:rPr>
                <w:b/>
                <w:color w:val="1F4E79"/>
                <w:sz w:val="18"/>
              </w:rPr>
              <w:t>60336</w:t>
            </w:r>
          </w:p>
        </w:tc>
        <w:tc>
          <w:tcPr>
            <w:tcW w:w="4131" w:type="dxa"/>
            <w:vAlign w:val="center"/>
          </w:tcPr>
          <w:p w14:paraId="498D24BE" w14:textId="77777777" w:rsidR="00D023BE" w:rsidRDefault="00000000">
            <w:pPr>
              <w:spacing w:after="0"/>
            </w:pPr>
            <w:r>
              <w:rPr>
                <w:sz w:val="18"/>
              </w:rPr>
              <w:t>Assessment analysis has enough volume for aggregate comparison.</w:t>
            </w:r>
          </w:p>
        </w:tc>
      </w:tr>
      <w:tr w:rsidR="00D023BE" w14:paraId="5E582BA7" w14:textId="77777777" w:rsidTr="00D54CE7">
        <w:trPr>
          <w:jc w:val="center"/>
        </w:trPr>
        <w:tc>
          <w:tcPr>
            <w:tcW w:w="3960" w:type="dxa"/>
            <w:vAlign w:val="center"/>
          </w:tcPr>
          <w:p w14:paraId="69C50956" w14:textId="77777777" w:rsidR="00D023BE" w:rsidRDefault="00000000">
            <w:pPr>
              <w:spacing w:after="0"/>
            </w:pPr>
            <w:r>
              <w:rPr>
                <w:sz w:val="18"/>
              </w:rPr>
              <w:t>High attendance average score</w:t>
            </w:r>
          </w:p>
        </w:tc>
        <w:tc>
          <w:tcPr>
            <w:tcW w:w="1854" w:type="dxa"/>
            <w:vAlign w:val="center"/>
          </w:tcPr>
          <w:p w14:paraId="47041304" w14:textId="77777777" w:rsidR="00D023BE" w:rsidRDefault="00000000">
            <w:pPr>
              <w:spacing w:after="0"/>
            </w:pPr>
            <w:r>
              <w:rPr>
                <w:b/>
                <w:color w:val="1F4E79"/>
                <w:sz w:val="18"/>
              </w:rPr>
              <w:t>431.27</w:t>
            </w:r>
          </w:p>
        </w:tc>
        <w:tc>
          <w:tcPr>
            <w:tcW w:w="4131" w:type="dxa"/>
            <w:vAlign w:val="center"/>
          </w:tcPr>
          <w:p w14:paraId="025A5414" w14:textId="77777777" w:rsidR="00D023BE" w:rsidRDefault="00000000">
            <w:pPr>
              <w:spacing w:after="0"/>
            </w:pPr>
            <w:r>
              <w:rPr>
                <w:sz w:val="18"/>
              </w:rPr>
              <w:t>High-attendance students have stronger average outcomes.</w:t>
            </w:r>
          </w:p>
        </w:tc>
      </w:tr>
      <w:tr w:rsidR="00D023BE" w14:paraId="1493EBA4" w14:textId="77777777" w:rsidTr="00D54CE7">
        <w:trPr>
          <w:jc w:val="center"/>
        </w:trPr>
        <w:tc>
          <w:tcPr>
            <w:tcW w:w="3960" w:type="dxa"/>
            <w:vAlign w:val="center"/>
          </w:tcPr>
          <w:p w14:paraId="778F7BD6" w14:textId="77777777" w:rsidR="00D023BE" w:rsidRDefault="00000000">
            <w:pPr>
              <w:spacing w:after="0"/>
            </w:pPr>
            <w:r>
              <w:rPr>
                <w:sz w:val="18"/>
              </w:rPr>
              <w:t>Low attendance average score</w:t>
            </w:r>
          </w:p>
        </w:tc>
        <w:tc>
          <w:tcPr>
            <w:tcW w:w="1854" w:type="dxa"/>
            <w:vAlign w:val="center"/>
          </w:tcPr>
          <w:p w14:paraId="568EAD3D" w14:textId="77777777" w:rsidR="00D023BE" w:rsidRDefault="00000000">
            <w:pPr>
              <w:spacing w:after="0"/>
            </w:pPr>
            <w:r>
              <w:rPr>
                <w:b/>
                <w:color w:val="1F4E79"/>
                <w:sz w:val="18"/>
              </w:rPr>
              <w:t>381.69</w:t>
            </w:r>
          </w:p>
        </w:tc>
        <w:tc>
          <w:tcPr>
            <w:tcW w:w="4131" w:type="dxa"/>
            <w:vAlign w:val="center"/>
          </w:tcPr>
          <w:p w14:paraId="3A98D799" w14:textId="77777777" w:rsidR="00D023BE" w:rsidRDefault="00000000">
            <w:pPr>
              <w:spacing w:after="0"/>
            </w:pPr>
            <w:r>
              <w:rPr>
                <w:sz w:val="18"/>
              </w:rPr>
              <w:t>Low-attendance students have weaker average outcomes.</w:t>
            </w:r>
          </w:p>
        </w:tc>
      </w:tr>
      <w:tr w:rsidR="00D023BE" w14:paraId="3FF11742" w14:textId="77777777" w:rsidTr="00D54CE7">
        <w:trPr>
          <w:jc w:val="center"/>
        </w:trPr>
        <w:tc>
          <w:tcPr>
            <w:tcW w:w="3960" w:type="dxa"/>
            <w:vAlign w:val="center"/>
          </w:tcPr>
          <w:p w14:paraId="09C3AB01" w14:textId="77777777" w:rsidR="00D023BE" w:rsidRDefault="00000000">
            <w:pPr>
              <w:spacing w:after="0"/>
            </w:pPr>
            <w:r>
              <w:rPr>
                <w:sz w:val="18"/>
              </w:rPr>
              <w:t>High-low assessment score gap</w:t>
            </w:r>
          </w:p>
        </w:tc>
        <w:tc>
          <w:tcPr>
            <w:tcW w:w="1854" w:type="dxa"/>
            <w:vAlign w:val="center"/>
          </w:tcPr>
          <w:p w14:paraId="3283F039" w14:textId="77777777" w:rsidR="00D023BE" w:rsidRDefault="00000000">
            <w:pPr>
              <w:spacing w:after="0"/>
            </w:pPr>
            <w:r>
              <w:rPr>
                <w:b/>
                <w:color w:val="1F4E79"/>
                <w:sz w:val="18"/>
              </w:rPr>
              <w:t>49.58</w:t>
            </w:r>
          </w:p>
        </w:tc>
        <w:tc>
          <w:tcPr>
            <w:tcW w:w="4131" w:type="dxa"/>
            <w:vAlign w:val="center"/>
          </w:tcPr>
          <w:p w14:paraId="0AA390A7" w14:textId="77777777" w:rsidR="00D023BE" w:rsidRDefault="00000000">
            <w:pPr>
              <w:spacing w:after="0"/>
            </w:pPr>
            <w:r>
              <w:rPr>
                <w:sz w:val="18"/>
              </w:rPr>
              <w:t>The attendance band gap is visible and consistent with the analytics story.</w:t>
            </w:r>
          </w:p>
        </w:tc>
      </w:tr>
    </w:tbl>
    <w:p w14:paraId="1F16087C" w14:textId="77777777" w:rsidR="00D023BE" w:rsidRDefault="00000000">
      <w:r>
        <w:br w:type="page"/>
      </w:r>
    </w:p>
    <w:p w14:paraId="2B5037CB" w14:textId="77777777" w:rsidR="00D023BE" w:rsidRDefault="00000000">
      <w:pPr>
        <w:pStyle w:val="Heading1"/>
      </w:pPr>
      <w:r>
        <w:rPr>
          <w:rFonts w:ascii="Calibri" w:hAnsi="Calibri"/>
        </w:rPr>
        <w:lastRenderedPageBreak/>
        <w:t>Attendance Seasonality</w:t>
      </w:r>
    </w:p>
    <w:p w14:paraId="3F7929CF" w14:textId="77777777" w:rsidR="005706E6" w:rsidRDefault="005706E6" w:rsidP="005706E6">
      <w:pPr>
        <w:pStyle w:val="Heading3"/>
        <w:jc w:val="both"/>
        <w:rPr>
          <w:rFonts w:ascii="Calibri" w:eastAsiaTheme="minorEastAsia" w:hAnsi="Calibri" w:cstheme="minorBidi"/>
          <w:b/>
          <w:bCs/>
          <w:color w:val="auto"/>
          <w:sz w:val="21"/>
        </w:rPr>
      </w:pPr>
      <w:r w:rsidRPr="005706E6">
        <w:rPr>
          <w:rFonts w:ascii="Calibri" w:eastAsiaTheme="minorEastAsia" w:hAnsi="Calibri" w:cstheme="minorBidi"/>
          <w:color w:val="auto"/>
          <w:sz w:val="21"/>
        </w:rPr>
        <w:t>Attendance follows a clear recurring seasonal pattern. The main finding is a winter decline: attendance is substantially lower in June to August than in non-winter months. This pattern is visible across the monthly trend, regional comparison, year-level group trend, and month-by-year-level heatmap.</w:t>
      </w:r>
    </w:p>
    <w:p w14:paraId="2645B37B" w14:textId="77777777" w:rsidR="00D023BE" w:rsidRDefault="00D54CE7">
      <w:pPr>
        <w:pStyle w:val="Heading3"/>
        <w:rPr>
          <w:rFonts w:ascii="Calibri" w:hAnsi="Calibri"/>
        </w:rPr>
      </w:pPr>
      <w:r>
        <w:rPr>
          <w:rFonts w:ascii="Calibri" w:hAnsi="Calibri"/>
        </w:rPr>
        <w:t>Key Statistics</w:t>
      </w:r>
    </w:p>
    <w:tbl>
      <w:tblPr>
        <w:tblW w:w="9945" w:type="dxa"/>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fixed"/>
        <w:tblLook w:val="04A0" w:firstRow="1" w:lastRow="0" w:firstColumn="1" w:lastColumn="0" w:noHBand="0" w:noVBand="1"/>
      </w:tblPr>
      <w:tblGrid>
        <w:gridCol w:w="3960"/>
        <w:gridCol w:w="1854"/>
        <w:gridCol w:w="4131"/>
      </w:tblGrid>
      <w:tr w:rsidR="00D54CE7" w14:paraId="2E8F7451" w14:textId="77777777" w:rsidTr="00A30F5B">
        <w:trPr>
          <w:jc w:val="center"/>
        </w:trPr>
        <w:tc>
          <w:tcPr>
            <w:tcW w:w="3960" w:type="dxa"/>
            <w:shd w:val="clear" w:color="auto" w:fill="E8EEF5"/>
            <w:vAlign w:val="center"/>
          </w:tcPr>
          <w:p w14:paraId="5B0341E2" w14:textId="77777777" w:rsidR="00D54CE7" w:rsidRDefault="00D54CE7" w:rsidP="00A30F5B">
            <w:pPr>
              <w:spacing w:after="0"/>
            </w:pPr>
            <w:r>
              <w:rPr>
                <w:b/>
                <w:color w:val="0B2545"/>
                <w:sz w:val="18"/>
              </w:rPr>
              <w:t>Statistic</w:t>
            </w:r>
          </w:p>
        </w:tc>
        <w:tc>
          <w:tcPr>
            <w:tcW w:w="1854" w:type="dxa"/>
            <w:shd w:val="clear" w:color="auto" w:fill="E8EEF5"/>
            <w:vAlign w:val="center"/>
          </w:tcPr>
          <w:p w14:paraId="270370E4" w14:textId="77777777" w:rsidR="00D54CE7" w:rsidRDefault="00D54CE7" w:rsidP="00A30F5B">
            <w:pPr>
              <w:spacing w:after="0"/>
            </w:pPr>
            <w:r>
              <w:rPr>
                <w:b/>
                <w:color w:val="0B2545"/>
                <w:sz w:val="18"/>
              </w:rPr>
              <w:t>Value</w:t>
            </w:r>
          </w:p>
        </w:tc>
        <w:tc>
          <w:tcPr>
            <w:tcW w:w="4131" w:type="dxa"/>
            <w:shd w:val="clear" w:color="auto" w:fill="E8EEF5"/>
            <w:vAlign w:val="center"/>
          </w:tcPr>
          <w:p w14:paraId="4A0EA2FC" w14:textId="77777777" w:rsidR="00D54CE7" w:rsidRDefault="00D54CE7" w:rsidP="00A30F5B">
            <w:pPr>
              <w:spacing w:after="0"/>
            </w:pPr>
            <w:r>
              <w:rPr>
                <w:b/>
                <w:color w:val="0B2545"/>
                <w:sz w:val="18"/>
              </w:rPr>
              <w:t>Brief interpretation</w:t>
            </w:r>
          </w:p>
        </w:tc>
      </w:tr>
      <w:tr w:rsidR="00D54CE7" w14:paraId="329B1D65" w14:textId="77777777" w:rsidTr="00A30F5B">
        <w:trPr>
          <w:jc w:val="center"/>
        </w:trPr>
        <w:tc>
          <w:tcPr>
            <w:tcW w:w="3960" w:type="dxa"/>
            <w:vAlign w:val="center"/>
          </w:tcPr>
          <w:p w14:paraId="506E07F0" w14:textId="77777777" w:rsidR="00D54CE7" w:rsidRDefault="00D54CE7" w:rsidP="00A30F5B">
            <w:pPr>
              <w:spacing w:after="0"/>
            </w:pPr>
            <w:r>
              <w:rPr>
                <w:sz w:val="18"/>
              </w:rPr>
              <w:t>Overall attendance rate</w:t>
            </w:r>
          </w:p>
        </w:tc>
        <w:tc>
          <w:tcPr>
            <w:tcW w:w="1854" w:type="dxa"/>
            <w:vAlign w:val="center"/>
          </w:tcPr>
          <w:p w14:paraId="28336B17" w14:textId="77777777" w:rsidR="00D54CE7" w:rsidRDefault="00D54CE7" w:rsidP="00A30F5B">
            <w:pPr>
              <w:spacing w:after="0"/>
            </w:pPr>
            <w:r>
              <w:rPr>
                <w:b/>
                <w:color w:val="1F4E79"/>
                <w:sz w:val="18"/>
              </w:rPr>
              <w:t>88.81%</w:t>
            </w:r>
          </w:p>
        </w:tc>
        <w:tc>
          <w:tcPr>
            <w:tcW w:w="4131" w:type="dxa"/>
            <w:vAlign w:val="center"/>
          </w:tcPr>
          <w:p w14:paraId="57A01038" w14:textId="77777777" w:rsidR="00D54CE7" w:rsidRDefault="00D54CE7" w:rsidP="00A30F5B">
            <w:pPr>
              <w:spacing w:after="0"/>
            </w:pPr>
            <w:r>
              <w:rPr>
                <w:sz w:val="18"/>
              </w:rPr>
              <w:t>Attendance sits below a perfect participation benchmark and shows room for targeted monitoring.</w:t>
            </w:r>
          </w:p>
        </w:tc>
      </w:tr>
      <w:tr w:rsidR="00D54CE7" w14:paraId="5A8A940C" w14:textId="77777777" w:rsidTr="00A30F5B">
        <w:trPr>
          <w:jc w:val="center"/>
        </w:trPr>
        <w:tc>
          <w:tcPr>
            <w:tcW w:w="3960" w:type="dxa"/>
            <w:vAlign w:val="center"/>
          </w:tcPr>
          <w:p w14:paraId="03C3787F" w14:textId="77777777" w:rsidR="00D54CE7" w:rsidRDefault="00D54CE7" w:rsidP="00A30F5B">
            <w:pPr>
              <w:spacing w:after="0"/>
            </w:pPr>
            <w:r>
              <w:rPr>
                <w:sz w:val="18"/>
              </w:rPr>
              <w:t>Winter attendance rate</w:t>
            </w:r>
          </w:p>
        </w:tc>
        <w:tc>
          <w:tcPr>
            <w:tcW w:w="1854" w:type="dxa"/>
            <w:vAlign w:val="center"/>
          </w:tcPr>
          <w:p w14:paraId="7CF25A94" w14:textId="77777777" w:rsidR="00D54CE7" w:rsidRDefault="00D54CE7" w:rsidP="00A30F5B">
            <w:pPr>
              <w:spacing w:after="0"/>
            </w:pPr>
            <w:r>
              <w:rPr>
                <w:b/>
                <w:color w:val="1F4E79"/>
                <w:sz w:val="18"/>
              </w:rPr>
              <w:t>83.91%</w:t>
            </w:r>
          </w:p>
        </w:tc>
        <w:tc>
          <w:tcPr>
            <w:tcW w:w="4131" w:type="dxa"/>
            <w:vAlign w:val="center"/>
          </w:tcPr>
          <w:p w14:paraId="7889D3AD" w14:textId="77777777" w:rsidR="00D54CE7" w:rsidRDefault="00D54CE7" w:rsidP="00A30F5B">
            <w:pPr>
              <w:spacing w:after="0"/>
            </w:pPr>
            <w:r>
              <w:rPr>
                <w:sz w:val="18"/>
              </w:rPr>
              <w:t xml:space="preserve">Attendance is materially lower </w:t>
            </w:r>
            <w:proofErr w:type="gramStart"/>
            <w:r>
              <w:rPr>
                <w:sz w:val="18"/>
              </w:rPr>
              <w:t>during</w:t>
            </w:r>
            <w:proofErr w:type="gramEnd"/>
            <w:r>
              <w:rPr>
                <w:sz w:val="18"/>
              </w:rPr>
              <w:t xml:space="preserve"> June to August.</w:t>
            </w:r>
          </w:p>
        </w:tc>
      </w:tr>
      <w:tr w:rsidR="00D54CE7" w14:paraId="1074B898" w14:textId="77777777" w:rsidTr="00A30F5B">
        <w:trPr>
          <w:jc w:val="center"/>
        </w:trPr>
        <w:tc>
          <w:tcPr>
            <w:tcW w:w="3960" w:type="dxa"/>
            <w:vAlign w:val="center"/>
          </w:tcPr>
          <w:p w14:paraId="115E8879" w14:textId="77777777" w:rsidR="00D54CE7" w:rsidRDefault="00D54CE7" w:rsidP="00A30F5B">
            <w:pPr>
              <w:spacing w:after="0"/>
            </w:pPr>
            <w:r>
              <w:rPr>
                <w:sz w:val="18"/>
              </w:rPr>
              <w:t>Non-winter attendance rate</w:t>
            </w:r>
          </w:p>
        </w:tc>
        <w:tc>
          <w:tcPr>
            <w:tcW w:w="1854" w:type="dxa"/>
            <w:vAlign w:val="center"/>
          </w:tcPr>
          <w:p w14:paraId="72A643F3" w14:textId="77777777" w:rsidR="00D54CE7" w:rsidRDefault="00D54CE7" w:rsidP="00A30F5B">
            <w:pPr>
              <w:spacing w:after="0"/>
            </w:pPr>
            <w:r>
              <w:rPr>
                <w:b/>
                <w:color w:val="1F4E79"/>
                <w:sz w:val="18"/>
              </w:rPr>
              <w:t>90.68%</w:t>
            </w:r>
          </w:p>
        </w:tc>
        <w:tc>
          <w:tcPr>
            <w:tcW w:w="4131" w:type="dxa"/>
            <w:vAlign w:val="center"/>
          </w:tcPr>
          <w:p w14:paraId="6F89B1BE" w14:textId="77777777" w:rsidR="00D54CE7" w:rsidRDefault="00D54CE7" w:rsidP="00A30F5B">
            <w:pPr>
              <w:spacing w:after="0"/>
            </w:pPr>
            <w:r>
              <w:rPr>
                <w:sz w:val="18"/>
              </w:rPr>
              <w:t>Attendance is stronger outside winter months.</w:t>
            </w:r>
          </w:p>
        </w:tc>
      </w:tr>
      <w:tr w:rsidR="00D54CE7" w14:paraId="2C9EAD19" w14:textId="77777777" w:rsidTr="00A30F5B">
        <w:trPr>
          <w:jc w:val="center"/>
        </w:trPr>
        <w:tc>
          <w:tcPr>
            <w:tcW w:w="3960" w:type="dxa"/>
            <w:vAlign w:val="center"/>
          </w:tcPr>
          <w:p w14:paraId="68DA485A" w14:textId="77777777" w:rsidR="00D54CE7" w:rsidRDefault="00D54CE7" w:rsidP="00A30F5B">
            <w:pPr>
              <w:spacing w:after="0"/>
            </w:pPr>
            <w:r>
              <w:rPr>
                <w:sz w:val="18"/>
              </w:rPr>
              <w:t>Winter gap</w:t>
            </w:r>
          </w:p>
        </w:tc>
        <w:tc>
          <w:tcPr>
            <w:tcW w:w="1854" w:type="dxa"/>
            <w:vAlign w:val="center"/>
          </w:tcPr>
          <w:p w14:paraId="19169A30" w14:textId="77777777" w:rsidR="00D54CE7" w:rsidRDefault="00D54CE7" w:rsidP="00A30F5B">
            <w:pPr>
              <w:spacing w:after="0"/>
            </w:pPr>
            <w:r>
              <w:rPr>
                <w:b/>
                <w:color w:val="1F4E79"/>
                <w:sz w:val="18"/>
              </w:rPr>
              <w:t>-6.78 pp</w:t>
            </w:r>
          </w:p>
        </w:tc>
        <w:tc>
          <w:tcPr>
            <w:tcW w:w="4131" w:type="dxa"/>
            <w:vAlign w:val="center"/>
          </w:tcPr>
          <w:p w14:paraId="1325CFB9" w14:textId="77777777" w:rsidR="00D54CE7" w:rsidRDefault="00D54CE7" w:rsidP="00A30F5B">
            <w:pPr>
              <w:spacing w:after="0"/>
            </w:pPr>
            <w:r>
              <w:rPr>
                <w:sz w:val="18"/>
              </w:rPr>
              <w:t>The winter decline is large enough to require seasonal planning.</w:t>
            </w:r>
          </w:p>
        </w:tc>
      </w:tr>
    </w:tbl>
    <w:p w14:paraId="5E635718" w14:textId="77777777" w:rsidR="00D54CE7" w:rsidRPr="00D54CE7" w:rsidRDefault="00D54CE7" w:rsidP="00D54CE7"/>
    <w:p w14:paraId="24112AB5" w14:textId="77777777" w:rsidR="00D023BE" w:rsidRDefault="00000000" w:rsidP="00616675">
      <w:pPr>
        <w:jc w:val="both"/>
      </w:pPr>
      <w:r>
        <w:t>Overall attendance is 88.81%, winter attendance is 83.91%, non-winter attendance is 90.68%, and the winter gap is -6.78 percentage points. This gap is large enough to be treated as an operational signal rather than minor month-to-month noise.</w:t>
      </w:r>
    </w:p>
    <w:p w14:paraId="41A02650" w14:textId="77777777" w:rsidR="00D023BE" w:rsidRDefault="00000000" w:rsidP="00067250">
      <w:pPr>
        <w:pStyle w:val="Heading2"/>
      </w:pPr>
      <w:r>
        <w:t xml:space="preserve">Seasonal Pattern </w:t>
      </w:r>
      <w:proofErr w:type="gramStart"/>
      <w:r>
        <w:t>By</w:t>
      </w:r>
      <w:proofErr w:type="gramEnd"/>
      <w:r>
        <w:t xml:space="preserve"> Month</w:t>
      </w:r>
    </w:p>
    <w:p w14:paraId="73E1B691" w14:textId="77777777" w:rsidR="00067250" w:rsidRPr="00067250" w:rsidRDefault="00067250" w:rsidP="00067250"/>
    <w:p w14:paraId="37EAAC9F" w14:textId="77777777" w:rsidR="00D54CE7" w:rsidRDefault="00D54CE7" w:rsidP="00616675">
      <w:pPr>
        <w:keepNext/>
        <w:jc w:val="center"/>
      </w:pPr>
      <w:r w:rsidRPr="00D54CE7">
        <w:rPr>
          <w:noProof/>
        </w:rPr>
        <w:drawing>
          <wp:inline distT="0" distB="0" distL="0" distR="0" wp14:anchorId="6256911B" wp14:editId="18819EC6">
            <wp:extent cx="5152833" cy="1951277"/>
            <wp:effectExtent l="0" t="0" r="0" b="0"/>
            <wp:docPr id="2012709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709846" name="Picture 1"/>
                    <pic:cNvPicPr/>
                  </pic:nvPicPr>
                  <pic:blipFill rotWithShape="1">
                    <a:blip r:embed="rId8"/>
                    <a:srcRect t="9728"/>
                    <a:stretch>
                      <a:fillRect/>
                    </a:stretch>
                  </pic:blipFill>
                  <pic:spPr bwMode="auto">
                    <a:xfrm>
                      <a:off x="0" y="0"/>
                      <a:ext cx="5154156" cy="1951778"/>
                    </a:xfrm>
                    <a:prstGeom prst="rect">
                      <a:avLst/>
                    </a:prstGeom>
                    <a:ln>
                      <a:noFill/>
                    </a:ln>
                    <a:extLst>
                      <a:ext uri="{53640926-AAD7-44D8-BBD7-CCE9431645EC}">
                        <a14:shadowObscured xmlns:a14="http://schemas.microsoft.com/office/drawing/2010/main"/>
                      </a:ext>
                    </a:extLst>
                  </pic:spPr>
                </pic:pic>
              </a:graphicData>
            </a:graphic>
          </wp:inline>
        </w:drawing>
      </w:r>
    </w:p>
    <w:p w14:paraId="40ED1645" w14:textId="3FFC5B98" w:rsidR="00D54CE7" w:rsidRDefault="00D54CE7" w:rsidP="00616675">
      <w:pPr>
        <w:pStyle w:val="Caption"/>
        <w:jc w:val="center"/>
        <w:rPr>
          <w:b w:val="0"/>
          <w:bCs w:val="0"/>
          <w:i/>
          <w:iCs/>
          <w:color w:val="595959" w:themeColor="text1" w:themeTint="A6"/>
        </w:rPr>
      </w:pPr>
      <w:r w:rsidRPr="00D54CE7">
        <w:rPr>
          <w:b w:val="0"/>
          <w:bCs w:val="0"/>
          <w:i/>
          <w:iCs/>
          <w:color w:val="595959" w:themeColor="text1" w:themeTint="A6"/>
        </w:rPr>
        <w:t xml:space="preserve">Figure </w:t>
      </w:r>
      <w:r w:rsidRPr="00D54CE7">
        <w:rPr>
          <w:b w:val="0"/>
          <w:bCs w:val="0"/>
          <w:i/>
          <w:iCs/>
          <w:color w:val="595959" w:themeColor="text1" w:themeTint="A6"/>
        </w:rPr>
        <w:fldChar w:fldCharType="begin"/>
      </w:r>
      <w:r w:rsidRPr="00D54CE7">
        <w:rPr>
          <w:b w:val="0"/>
          <w:bCs w:val="0"/>
          <w:i/>
          <w:iCs/>
          <w:color w:val="595959" w:themeColor="text1" w:themeTint="A6"/>
        </w:rPr>
        <w:instrText xml:space="preserve"> SEQ Figure \* ARABIC </w:instrText>
      </w:r>
      <w:r w:rsidRPr="00D54CE7">
        <w:rPr>
          <w:b w:val="0"/>
          <w:bCs w:val="0"/>
          <w:i/>
          <w:iCs/>
          <w:color w:val="595959" w:themeColor="text1" w:themeTint="A6"/>
        </w:rPr>
        <w:fldChar w:fldCharType="separate"/>
      </w:r>
      <w:r w:rsidR="00A16997">
        <w:rPr>
          <w:b w:val="0"/>
          <w:bCs w:val="0"/>
          <w:i/>
          <w:iCs/>
          <w:noProof/>
          <w:color w:val="595959" w:themeColor="text1" w:themeTint="A6"/>
        </w:rPr>
        <w:t>1</w:t>
      </w:r>
      <w:r w:rsidRPr="00D54CE7">
        <w:rPr>
          <w:b w:val="0"/>
          <w:bCs w:val="0"/>
          <w:i/>
          <w:iCs/>
          <w:color w:val="595959" w:themeColor="text1" w:themeTint="A6"/>
        </w:rPr>
        <w:fldChar w:fldCharType="end"/>
      </w:r>
      <w:r w:rsidRPr="00D54CE7">
        <w:rPr>
          <w:b w:val="0"/>
          <w:bCs w:val="0"/>
          <w:i/>
          <w:iCs/>
          <w:color w:val="595959" w:themeColor="text1" w:themeTint="A6"/>
        </w:rPr>
        <w:t>: Monthly Attendance Pattern by Year Level Group</w:t>
      </w:r>
    </w:p>
    <w:p w14:paraId="627C2BFB" w14:textId="77777777" w:rsidR="00616675" w:rsidRPr="00616675" w:rsidRDefault="00616675" w:rsidP="00616675">
      <w:pPr>
        <w:jc w:val="both"/>
        <w:rPr>
          <w:lang w:val="en-AU"/>
        </w:rPr>
      </w:pPr>
      <w:r>
        <w:t xml:space="preserve">This chart shows a clear seasonal pattern: attendance starts high in January, drops after the start of the school year, reaches its lowest point in winter from June to August, and recovers from September. </w:t>
      </w:r>
      <w:r w:rsidRPr="00616675">
        <w:rPr>
          <w:lang w:val="en-AU"/>
        </w:rPr>
        <w:t>January should be interpreted cautiously because it has very few possible school days; the main seasonal pattern is clearer from February onward.</w:t>
      </w:r>
    </w:p>
    <w:p w14:paraId="50B030FF" w14:textId="77777777" w:rsidR="00616675" w:rsidRDefault="00616675" w:rsidP="00616675"/>
    <w:p w14:paraId="1254874C" w14:textId="77777777" w:rsidR="00616675" w:rsidRDefault="00616675" w:rsidP="00616675">
      <w:pPr>
        <w:jc w:val="both"/>
      </w:pPr>
      <w:r w:rsidRPr="00616675">
        <w:t>Primary students have the highest and most stable attendance. Years 8-10 follow a similar but slightly lower pattern. Year 7 transition students sit below Years 8-10 for most months, suggesting transition-related attendance risk. Senior secondary students show the most volatility, with sharper drops in March, winter, and November.</w:t>
      </w:r>
    </w:p>
    <w:p w14:paraId="4FD72E39" w14:textId="77777777" w:rsidR="00616675" w:rsidRDefault="00616675" w:rsidP="00616675">
      <w:pPr>
        <w:jc w:val="both"/>
      </w:pPr>
      <w:r w:rsidRPr="00616675">
        <w:t>Overall, attendance is both seasonal and cohort-specific, with Year 7 and senior secondary students needing closer monitoring.</w:t>
      </w:r>
    </w:p>
    <w:p w14:paraId="67FBCEF4" w14:textId="77777777" w:rsidR="00067250" w:rsidRDefault="00067250" w:rsidP="00616675">
      <w:pPr>
        <w:jc w:val="both"/>
      </w:pPr>
    </w:p>
    <w:p w14:paraId="0D1522B7" w14:textId="77777777" w:rsidR="005706E6" w:rsidRDefault="00000000" w:rsidP="00067250">
      <w:pPr>
        <w:pStyle w:val="Heading2"/>
      </w:pPr>
      <w:r>
        <w:lastRenderedPageBreak/>
        <w:t>Monthly Attendance Trend</w:t>
      </w:r>
    </w:p>
    <w:p w14:paraId="06708FBD" w14:textId="77777777" w:rsidR="00067250" w:rsidRPr="00067250" w:rsidRDefault="00067250" w:rsidP="00067250"/>
    <w:p w14:paraId="7EE1906E" w14:textId="77777777" w:rsidR="00616675" w:rsidRDefault="00616675" w:rsidP="00616675">
      <w:pPr>
        <w:keepNext/>
        <w:jc w:val="center"/>
      </w:pPr>
      <w:r w:rsidRPr="00616675">
        <w:rPr>
          <w:noProof/>
        </w:rPr>
        <w:drawing>
          <wp:inline distT="0" distB="0" distL="0" distR="0" wp14:anchorId="07538FBE" wp14:editId="0185D3AE">
            <wp:extent cx="5143815" cy="2320204"/>
            <wp:effectExtent l="0" t="0" r="0" b="4445"/>
            <wp:docPr id="190353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536618" name=""/>
                    <pic:cNvPicPr/>
                  </pic:nvPicPr>
                  <pic:blipFill rotWithShape="1">
                    <a:blip r:embed="rId9"/>
                    <a:srcRect l="473" t="10080" r="-1"/>
                    <a:stretch>
                      <a:fillRect/>
                    </a:stretch>
                  </pic:blipFill>
                  <pic:spPr bwMode="auto">
                    <a:xfrm>
                      <a:off x="0" y="0"/>
                      <a:ext cx="5153598" cy="2324617"/>
                    </a:xfrm>
                    <a:prstGeom prst="rect">
                      <a:avLst/>
                    </a:prstGeom>
                    <a:ln>
                      <a:noFill/>
                    </a:ln>
                    <a:extLst>
                      <a:ext uri="{53640926-AAD7-44D8-BBD7-CCE9431645EC}">
                        <a14:shadowObscured xmlns:a14="http://schemas.microsoft.com/office/drawing/2010/main"/>
                      </a:ext>
                    </a:extLst>
                  </pic:spPr>
                </pic:pic>
              </a:graphicData>
            </a:graphic>
          </wp:inline>
        </w:drawing>
      </w:r>
    </w:p>
    <w:p w14:paraId="2E6ED6E1" w14:textId="70CF9D75" w:rsidR="00616675" w:rsidRPr="00616675" w:rsidRDefault="00616675" w:rsidP="00616675">
      <w:pPr>
        <w:pStyle w:val="Caption"/>
        <w:jc w:val="center"/>
        <w:rPr>
          <w:b w:val="0"/>
          <w:bCs w:val="0"/>
          <w:i/>
          <w:iCs/>
          <w:color w:val="595959" w:themeColor="text1" w:themeTint="A6"/>
        </w:rPr>
      </w:pPr>
      <w:r w:rsidRPr="00616675">
        <w:rPr>
          <w:b w:val="0"/>
          <w:bCs w:val="0"/>
          <w:i/>
          <w:iCs/>
          <w:color w:val="595959" w:themeColor="text1" w:themeTint="A6"/>
        </w:rPr>
        <w:t xml:space="preserve">Figure </w:t>
      </w:r>
      <w:r w:rsidRPr="00616675">
        <w:rPr>
          <w:b w:val="0"/>
          <w:bCs w:val="0"/>
          <w:i/>
          <w:iCs/>
          <w:color w:val="595959" w:themeColor="text1" w:themeTint="A6"/>
        </w:rPr>
        <w:fldChar w:fldCharType="begin"/>
      </w:r>
      <w:r w:rsidRPr="00616675">
        <w:rPr>
          <w:b w:val="0"/>
          <w:bCs w:val="0"/>
          <w:i/>
          <w:iCs/>
          <w:color w:val="595959" w:themeColor="text1" w:themeTint="A6"/>
        </w:rPr>
        <w:instrText xml:space="preserve"> SEQ Figure \* ARABIC </w:instrText>
      </w:r>
      <w:r w:rsidRPr="00616675">
        <w:rPr>
          <w:b w:val="0"/>
          <w:bCs w:val="0"/>
          <w:i/>
          <w:iCs/>
          <w:color w:val="595959" w:themeColor="text1" w:themeTint="A6"/>
        </w:rPr>
        <w:fldChar w:fldCharType="separate"/>
      </w:r>
      <w:r w:rsidR="00A16997">
        <w:rPr>
          <w:b w:val="0"/>
          <w:bCs w:val="0"/>
          <w:i/>
          <w:iCs/>
          <w:noProof/>
          <w:color w:val="595959" w:themeColor="text1" w:themeTint="A6"/>
        </w:rPr>
        <w:t>2</w:t>
      </w:r>
      <w:r w:rsidRPr="00616675">
        <w:rPr>
          <w:b w:val="0"/>
          <w:bCs w:val="0"/>
          <w:i/>
          <w:iCs/>
          <w:color w:val="595959" w:themeColor="text1" w:themeTint="A6"/>
        </w:rPr>
        <w:fldChar w:fldCharType="end"/>
      </w:r>
      <w:r w:rsidRPr="00616675">
        <w:rPr>
          <w:b w:val="0"/>
          <w:bCs w:val="0"/>
          <w:i/>
          <w:iCs/>
          <w:color w:val="595959" w:themeColor="text1" w:themeTint="A6"/>
        </w:rPr>
        <w:t>: Monthly Attendance Trend</w:t>
      </w:r>
    </w:p>
    <w:p w14:paraId="6D364695" w14:textId="77777777" w:rsidR="00616675" w:rsidRPr="00616675" w:rsidRDefault="00616675" w:rsidP="00616675">
      <w:pPr>
        <w:jc w:val="both"/>
        <w:rPr>
          <w:lang w:val="en-AU"/>
        </w:rPr>
      </w:pPr>
      <w:r w:rsidRPr="00616675">
        <w:rPr>
          <w:lang w:val="en-AU"/>
        </w:rPr>
        <w:t>This chart confirms that the seasonal attendance pattern repeats across both 2024 and 2025. Attendance drops during the winter months in each year and recovers from September.</w:t>
      </w:r>
    </w:p>
    <w:p w14:paraId="563EC1F5" w14:textId="77777777" w:rsidR="00616675" w:rsidRDefault="00616675" w:rsidP="00616675">
      <w:pPr>
        <w:jc w:val="both"/>
        <w:rPr>
          <w:lang w:val="en-AU"/>
        </w:rPr>
      </w:pPr>
      <w:r w:rsidRPr="00616675">
        <w:rPr>
          <w:lang w:val="en-AU"/>
        </w:rPr>
        <w:t>The year-level ranking is also consistent: primary students have the highest attendance, Years 8-10 sit slightly lower, Year 7 transition students are lower again, and senior secondary students show the most volatility. January should be interpreted cautiously because it contains only a small number of possible school days.</w:t>
      </w:r>
    </w:p>
    <w:p w14:paraId="40A3A959" w14:textId="77777777" w:rsidR="00616675" w:rsidRDefault="00616675" w:rsidP="00067250">
      <w:pPr>
        <w:pStyle w:val="Heading2"/>
      </w:pPr>
      <w:r>
        <w:t xml:space="preserve">Winter Dip </w:t>
      </w:r>
      <w:r w:rsidR="005706E6">
        <w:t>by</w:t>
      </w:r>
      <w:r>
        <w:t xml:space="preserve"> Region</w:t>
      </w:r>
    </w:p>
    <w:p w14:paraId="33F498DC" w14:textId="77777777" w:rsidR="00067250" w:rsidRPr="00067250" w:rsidRDefault="00067250" w:rsidP="00067250"/>
    <w:p w14:paraId="61A490E6" w14:textId="77777777" w:rsidR="00616675" w:rsidRDefault="00616675" w:rsidP="00616675">
      <w:pPr>
        <w:keepNext/>
        <w:jc w:val="center"/>
      </w:pPr>
      <w:r w:rsidRPr="00616675">
        <w:rPr>
          <w:noProof/>
        </w:rPr>
        <w:drawing>
          <wp:inline distT="0" distB="0" distL="0" distR="0" wp14:anchorId="2F2F1E3E" wp14:editId="49A34FAB">
            <wp:extent cx="5196011" cy="2219430"/>
            <wp:effectExtent l="0" t="0" r="5080" b="0"/>
            <wp:docPr id="83286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63093" name=""/>
                    <pic:cNvPicPr/>
                  </pic:nvPicPr>
                  <pic:blipFill rotWithShape="1">
                    <a:blip r:embed="rId10"/>
                    <a:srcRect t="12358"/>
                    <a:stretch>
                      <a:fillRect/>
                    </a:stretch>
                  </pic:blipFill>
                  <pic:spPr bwMode="auto">
                    <a:xfrm>
                      <a:off x="0" y="0"/>
                      <a:ext cx="5206301" cy="2223825"/>
                    </a:xfrm>
                    <a:prstGeom prst="rect">
                      <a:avLst/>
                    </a:prstGeom>
                    <a:ln>
                      <a:noFill/>
                    </a:ln>
                    <a:extLst>
                      <a:ext uri="{53640926-AAD7-44D8-BBD7-CCE9431645EC}">
                        <a14:shadowObscured xmlns:a14="http://schemas.microsoft.com/office/drawing/2010/main"/>
                      </a:ext>
                    </a:extLst>
                  </pic:spPr>
                </pic:pic>
              </a:graphicData>
            </a:graphic>
          </wp:inline>
        </w:drawing>
      </w:r>
    </w:p>
    <w:p w14:paraId="0157B208" w14:textId="6A1AB905" w:rsidR="00616675" w:rsidRPr="00616675" w:rsidRDefault="00616675" w:rsidP="00616675">
      <w:pPr>
        <w:pStyle w:val="Caption"/>
        <w:jc w:val="center"/>
        <w:rPr>
          <w:b w:val="0"/>
          <w:bCs w:val="0"/>
          <w:i/>
          <w:iCs/>
          <w:color w:val="595959" w:themeColor="text1" w:themeTint="A6"/>
        </w:rPr>
      </w:pPr>
      <w:r w:rsidRPr="00616675">
        <w:rPr>
          <w:b w:val="0"/>
          <w:bCs w:val="0"/>
          <w:i/>
          <w:iCs/>
          <w:color w:val="595959" w:themeColor="text1" w:themeTint="A6"/>
        </w:rPr>
        <w:t xml:space="preserve">Figure </w:t>
      </w:r>
      <w:r w:rsidRPr="00616675">
        <w:rPr>
          <w:b w:val="0"/>
          <w:bCs w:val="0"/>
          <w:i/>
          <w:iCs/>
          <w:color w:val="595959" w:themeColor="text1" w:themeTint="A6"/>
        </w:rPr>
        <w:fldChar w:fldCharType="begin"/>
      </w:r>
      <w:r w:rsidRPr="00616675">
        <w:rPr>
          <w:b w:val="0"/>
          <w:bCs w:val="0"/>
          <w:i/>
          <w:iCs/>
          <w:color w:val="595959" w:themeColor="text1" w:themeTint="A6"/>
        </w:rPr>
        <w:instrText xml:space="preserve"> SEQ Figure \* ARABIC </w:instrText>
      </w:r>
      <w:r w:rsidRPr="00616675">
        <w:rPr>
          <w:b w:val="0"/>
          <w:bCs w:val="0"/>
          <w:i/>
          <w:iCs/>
          <w:color w:val="595959" w:themeColor="text1" w:themeTint="A6"/>
        </w:rPr>
        <w:fldChar w:fldCharType="separate"/>
      </w:r>
      <w:r w:rsidR="00A16997">
        <w:rPr>
          <w:b w:val="0"/>
          <w:bCs w:val="0"/>
          <w:i/>
          <w:iCs/>
          <w:noProof/>
          <w:color w:val="595959" w:themeColor="text1" w:themeTint="A6"/>
        </w:rPr>
        <w:t>3</w:t>
      </w:r>
      <w:r w:rsidRPr="00616675">
        <w:rPr>
          <w:b w:val="0"/>
          <w:bCs w:val="0"/>
          <w:i/>
          <w:iCs/>
          <w:color w:val="595959" w:themeColor="text1" w:themeTint="A6"/>
        </w:rPr>
        <w:fldChar w:fldCharType="end"/>
      </w:r>
      <w:r w:rsidRPr="00616675">
        <w:rPr>
          <w:b w:val="0"/>
          <w:bCs w:val="0"/>
          <w:i/>
          <w:iCs/>
          <w:color w:val="595959" w:themeColor="text1" w:themeTint="A6"/>
        </w:rPr>
        <w:t>: Winter Dip by Region</w:t>
      </w:r>
    </w:p>
    <w:p w14:paraId="1C5594A8" w14:textId="77777777" w:rsidR="00965E99" w:rsidRDefault="00616675" w:rsidP="00965E99">
      <w:pPr>
        <w:jc w:val="both"/>
      </w:pPr>
      <w:r>
        <w:t>The regional bar chart shows that the winter dip is shared across regions but not identical in magnitude</w:t>
      </w:r>
      <w:r w:rsidR="00F44613">
        <w:t>, which confirms the seasonal attendance pattern</w:t>
      </w:r>
      <w:r>
        <w:t xml:space="preserve">. </w:t>
      </w:r>
      <w:r w:rsidR="00965E99">
        <w:t xml:space="preserve">Belconnen, </w:t>
      </w:r>
      <w:proofErr w:type="spellStart"/>
      <w:r w:rsidR="00965E99">
        <w:t>Woden</w:t>
      </w:r>
      <w:proofErr w:type="spellEnd"/>
      <w:r w:rsidR="00965E99">
        <w:t>, and North Canberra have smaller declines, around -6.3 percentage points, while South Canberra and Weston Creek show larger winter drops.</w:t>
      </w:r>
    </w:p>
    <w:p w14:paraId="1A34A9E8" w14:textId="77777777" w:rsidR="00616675" w:rsidRPr="00616675" w:rsidRDefault="00965E99" w:rsidP="00965E99">
      <w:pPr>
        <w:jc w:val="both"/>
      </w:pPr>
      <w:r>
        <w:t>Weston Creek has the largest decline at -7.93 percentage points, suggesting it may need closer winter attendance monitoring or earlier seasonal intervention.</w:t>
      </w:r>
    </w:p>
    <w:p w14:paraId="27758FAC" w14:textId="77777777" w:rsidR="00067250" w:rsidRDefault="00067250" w:rsidP="00067250">
      <w:pPr>
        <w:pStyle w:val="Heading2"/>
      </w:pPr>
    </w:p>
    <w:p w14:paraId="7166E316" w14:textId="2B70F50C" w:rsidR="00D023BE" w:rsidRDefault="00000000" w:rsidP="00067250">
      <w:pPr>
        <w:pStyle w:val="Heading2"/>
      </w:pPr>
      <w:r>
        <w:t>Month x Year Level Heatmap</w:t>
      </w:r>
    </w:p>
    <w:p w14:paraId="0B49DB5B" w14:textId="77777777" w:rsidR="00067250" w:rsidRPr="00067250" w:rsidRDefault="00067250" w:rsidP="00067250"/>
    <w:p w14:paraId="1322B539" w14:textId="77777777" w:rsidR="00965E99" w:rsidRDefault="00965E99" w:rsidP="00965E99">
      <w:pPr>
        <w:keepNext/>
        <w:jc w:val="center"/>
      </w:pPr>
      <w:r w:rsidRPr="00965E99">
        <w:rPr>
          <w:noProof/>
        </w:rPr>
        <w:drawing>
          <wp:inline distT="0" distB="0" distL="0" distR="0" wp14:anchorId="0DBC70F9" wp14:editId="3A4D7AC2">
            <wp:extent cx="6312033" cy="2559573"/>
            <wp:effectExtent l="0" t="0" r="0" b="0"/>
            <wp:docPr id="867522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22540" name=""/>
                    <pic:cNvPicPr/>
                  </pic:nvPicPr>
                  <pic:blipFill>
                    <a:blip r:embed="rId11"/>
                    <a:stretch>
                      <a:fillRect/>
                    </a:stretch>
                  </pic:blipFill>
                  <pic:spPr>
                    <a:xfrm>
                      <a:off x="0" y="0"/>
                      <a:ext cx="6340640" cy="2571173"/>
                    </a:xfrm>
                    <a:prstGeom prst="rect">
                      <a:avLst/>
                    </a:prstGeom>
                  </pic:spPr>
                </pic:pic>
              </a:graphicData>
            </a:graphic>
          </wp:inline>
        </w:drawing>
      </w:r>
    </w:p>
    <w:p w14:paraId="358F0F12" w14:textId="3D9B7F4C" w:rsidR="00965E99" w:rsidRPr="00965E99" w:rsidRDefault="00965E99" w:rsidP="00965E99">
      <w:pPr>
        <w:pStyle w:val="Caption"/>
        <w:jc w:val="center"/>
        <w:rPr>
          <w:b w:val="0"/>
          <w:bCs w:val="0"/>
          <w:i/>
          <w:iCs/>
          <w:color w:val="595959" w:themeColor="text1" w:themeTint="A6"/>
        </w:rPr>
      </w:pPr>
      <w:r w:rsidRPr="00965E99">
        <w:rPr>
          <w:b w:val="0"/>
          <w:bCs w:val="0"/>
          <w:i/>
          <w:iCs/>
          <w:color w:val="595959" w:themeColor="text1" w:themeTint="A6"/>
        </w:rPr>
        <w:t xml:space="preserve">Figure </w:t>
      </w:r>
      <w:r w:rsidRPr="00965E99">
        <w:rPr>
          <w:b w:val="0"/>
          <w:bCs w:val="0"/>
          <w:i/>
          <w:iCs/>
          <w:color w:val="595959" w:themeColor="text1" w:themeTint="A6"/>
        </w:rPr>
        <w:fldChar w:fldCharType="begin"/>
      </w:r>
      <w:r w:rsidRPr="00965E99">
        <w:rPr>
          <w:b w:val="0"/>
          <w:bCs w:val="0"/>
          <w:i/>
          <w:iCs/>
          <w:color w:val="595959" w:themeColor="text1" w:themeTint="A6"/>
        </w:rPr>
        <w:instrText xml:space="preserve"> SEQ Figure \* ARABIC </w:instrText>
      </w:r>
      <w:r w:rsidRPr="00965E99">
        <w:rPr>
          <w:b w:val="0"/>
          <w:bCs w:val="0"/>
          <w:i/>
          <w:iCs/>
          <w:color w:val="595959" w:themeColor="text1" w:themeTint="A6"/>
        </w:rPr>
        <w:fldChar w:fldCharType="separate"/>
      </w:r>
      <w:r w:rsidR="00A16997">
        <w:rPr>
          <w:b w:val="0"/>
          <w:bCs w:val="0"/>
          <w:i/>
          <w:iCs/>
          <w:noProof/>
          <w:color w:val="595959" w:themeColor="text1" w:themeTint="A6"/>
        </w:rPr>
        <w:t>4</w:t>
      </w:r>
      <w:r w:rsidRPr="00965E99">
        <w:rPr>
          <w:b w:val="0"/>
          <w:bCs w:val="0"/>
          <w:i/>
          <w:iCs/>
          <w:color w:val="595959" w:themeColor="text1" w:themeTint="A6"/>
        </w:rPr>
        <w:fldChar w:fldCharType="end"/>
      </w:r>
      <w:r w:rsidRPr="00965E99">
        <w:rPr>
          <w:b w:val="0"/>
          <w:bCs w:val="0"/>
          <w:i/>
          <w:iCs/>
          <w:color w:val="595959" w:themeColor="text1" w:themeTint="A6"/>
        </w:rPr>
        <w:t>: Month x Year Level Heatmap</w:t>
      </w:r>
    </w:p>
    <w:p w14:paraId="4C41E454" w14:textId="77777777" w:rsidR="00F44613" w:rsidRPr="00F44613" w:rsidRDefault="00F44613" w:rsidP="00F44613">
      <w:pPr>
        <w:rPr>
          <w:lang w:val="en-AU"/>
        </w:rPr>
      </w:pPr>
      <w:r w:rsidRPr="00F44613">
        <w:rPr>
          <w:lang w:val="en-AU"/>
        </w:rPr>
        <w:t>This heatmap reinforces the same pattern at a more detailed year-level view. Attendance is strongest in January, but January should be interpreted cautiously because it has very few possible school days.</w:t>
      </w:r>
    </w:p>
    <w:p w14:paraId="16E14C99" w14:textId="77777777" w:rsidR="00F44613" w:rsidRPr="00F44613" w:rsidRDefault="00F44613" w:rsidP="00F44613">
      <w:pPr>
        <w:rPr>
          <w:lang w:val="en-AU"/>
        </w:rPr>
      </w:pPr>
      <w:r w:rsidRPr="00F44613">
        <w:rPr>
          <w:lang w:val="en-AU"/>
        </w:rPr>
        <w:t>From February onward, the winter dip is visible across nearly all year levels, with lower values concentrated in June, July, and August. Primary year levels remain relatively stronger, while Year 7 and senior secondary year levels show lower attendance. Years 11 and 12 are the most concerning, with several months below 80%, especially during winter.</w:t>
      </w:r>
    </w:p>
    <w:p w14:paraId="5C445A81" w14:textId="77777777" w:rsidR="00F44613" w:rsidRPr="00F44613" w:rsidRDefault="00F44613" w:rsidP="00F44613">
      <w:pPr>
        <w:rPr>
          <w:lang w:val="en-AU"/>
        </w:rPr>
      </w:pPr>
      <w:r w:rsidRPr="00F44613">
        <w:rPr>
          <w:lang w:val="en-AU"/>
        </w:rPr>
        <w:t>Overall, the heatmap supports the conclusion that the winter decline affects the system broadly, but Year 7 and senior secondary cohorts require closer monitoring.</w:t>
      </w:r>
    </w:p>
    <w:p w14:paraId="4550E74C" w14:textId="77777777" w:rsidR="00D023BE" w:rsidRPr="00F44613" w:rsidRDefault="00D023BE">
      <w:pPr>
        <w:rPr>
          <w:lang w:val="en-AU"/>
        </w:rPr>
      </w:pPr>
    </w:p>
    <w:tbl>
      <w:tblPr>
        <w:tblW w:w="0" w:type="auto"/>
        <w:jc w:val="center"/>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Look w:val="04A0" w:firstRow="1" w:lastRow="0" w:firstColumn="1" w:lastColumn="0" w:noHBand="0" w:noVBand="1"/>
      </w:tblPr>
      <w:tblGrid>
        <w:gridCol w:w="9936"/>
      </w:tblGrid>
      <w:tr w:rsidR="00D023BE" w14:paraId="0ABA4495" w14:textId="77777777">
        <w:trPr>
          <w:jc w:val="center"/>
        </w:trPr>
        <w:tc>
          <w:tcPr>
            <w:tcW w:w="9936" w:type="dxa"/>
            <w:shd w:val="clear" w:color="auto" w:fill="F4F6F9"/>
          </w:tcPr>
          <w:p w14:paraId="4BC61FAE" w14:textId="366FD869" w:rsidR="00D023BE" w:rsidRDefault="00000000" w:rsidP="00110427">
            <w:pPr>
              <w:spacing w:after="0"/>
              <w:jc w:val="both"/>
            </w:pPr>
            <w:r>
              <w:rPr>
                <w:b/>
                <w:color w:val="1F4E79"/>
                <w:sz w:val="20"/>
              </w:rPr>
              <w:t xml:space="preserve">Interpretation: </w:t>
            </w:r>
            <w:r>
              <w:rPr>
                <w:sz w:val="20"/>
              </w:rPr>
              <w:t xml:space="preserve">Attendance planning should start before winter. The </w:t>
            </w:r>
            <w:r w:rsidR="000119C2">
              <w:rPr>
                <w:sz w:val="20"/>
              </w:rPr>
              <w:t>analysis</w:t>
            </w:r>
            <w:r>
              <w:rPr>
                <w:sz w:val="20"/>
              </w:rPr>
              <w:t xml:space="preserve"> supports early identification of regions and cohorts where engagement support may reduce the seasonal dip.</w:t>
            </w:r>
          </w:p>
        </w:tc>
      </w:tr>
    </w:tbl>
    <w:p w14:paraId="26E5D0F6" w14:textId="77777777" w:rsidR="00D023BE" w:rsidRDefault="00000000">
      <w:pPr>
        <w:pStyle w:val="Heading1"/>
        <w:rPr>
          <w:rFonts w:ascii="Calibri" w:hAnsi="Calibri"/>
        </w:rPr>
      </w:pPr>
      <w:r>
        <w:rPr>
          <w:rFonts w:ascii="Calibri" w:hAnsi="Calibri"/>
        </w:rPr>
        <w:t>Year-Level Patterns</w:t>
      </w:r>
    </w:p>
    <w:p w14:paraId="598E361F" w14:textId="77777777" w:rsidR="00C834F7" w:rsidRDefault="00C834F7" w:rsidP="00C834F7">
      <w:pPr>
        <w:pStyle w:val="Heading3"/>
        <w:jc w:val="both"/>
        <w:rPr>
          <w:rFonts w:ascii="Calibri" w:eastAsiaTheme="minorEastAsia" w:hAnsi="Calibri" w:cstheme="minorBidi"/>
          <w:b/>
          <w:bCs/>
          <w:color w:val="auto"/>
          <w:sz w:val="21"/>
        </w:rPr>
      </w:pPr>
      <w:r w:rsidRPr="00C834F7">
        <w:rPr>
          <w:rFonts w:ascii="Calibri" w:eastAsiaTheme="minorEastAsia" w:hAnsi="Calibri" w:cstheme="minorBidi"/>
          <w:color w:val="auto"/>
          <w:sz w:val="21"/>
        </w:rPr>
        <w:t>Year-level analysis shifts the focus from overall attendance to cohort-level variation. This is important because system-wide attendance rates can mask different patterns for transition years and senior secondary students.</w:t>
      </w:r>
    </w:p>
    <w:p w14:paraId="3FBF2B6A" w14:textId="77777777" w:rsidR="003845DE" w:rsidRPr="003845DE" w:rsidRDefault="003845DE" w:rsidP="00067250">
      <w:pPr>
        <w:pStyle w:val="Heading2"/>
      </w:pPr>
      <w:r>
        <w:t>Key Statistics</w:t>
      </w:r>
    </w:p>
    <w:tbl>
      <w:tblPr>
        <w:tblW w:w="9945" w:type="dxa"/>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fixed"/>
        <w:tblLook w:val="04A0" w:firstRow="1" w:lastRow="0" w:firstColumn="1" w:lastColumn="0" w:noHBand="0" w:noVBand="1"/>
      </w:tblPr>
      <w:tblGrid>
        <w:gridCol w:w="3960"/>
        <w:gridCol w:w="1854"/>
        <w:gridCol w:w="4131"/>
      </w:tblGrid>
      <w:tr w:rsidR="00F44613" w14:paraId="2251367B" w14:textId="77777777" w:rsidTr="00A30F5B">
        <w:trPr>
          <w:jc w:val="center"/>
        </w:trPr>
        <w:tc>
          <w:tcPr>
            <w:tcW w:w="3960" w:type="dxa"/>
            <w:shd w:val="clear" w:color="auto" w:fill="E8EEF5"/>
            <w:vAlign w:val="center"/>
          </w:tcPr>
          <w:p w14:paraId="23F1476B" w14:textId="77777777" w:rsidR="00F44613" w:rsidRDefault="00F44613" w:rsidP="00A30F5B">
            <w:pPr>
              <w:spacing w:after="0"/>
            </w:pPr>
            <w:r>
              <w:rPr>
                <w:b/>
                <w:color w:val="0B2545"/>
                <w:sz w:val="18"/>
              </w:rPr>
              <w:t>Statistic</w:t>
            </w:r>
          </w:p>
        </w:tc>
        <w:tc>
          <w:tcPr>
            <w:tcW w:w="1854" w:type="dxa"/>
            <w:shd w:val="clear" w:color="auto" w:fill="E8EEF5"/>
            <w:vAlign w:val="center"/>
          </w:tcPr>
          <w:p w14:paraId="7A4D9967" w14:textId="77777777" w:rsidR="00F44613" w:rsidRDefault="00F44613" w:rsidP="00A30F5B">
            <w:pPr>
              <w:spacing w:after="0"/>
            </w:pPr>
            <w:r>
              <w:rPr>
                <w:b/>
                <w:color w:val="0B2545"/>
                <w:sz w:val="18"/>
              </w:rPr>
              <w:t>Value</w:t>
            </w:r>
          </w:p>
        </w:tc>
        <w:tc>
          <w:tcPr>
            <w:tcW w:w="4131" w:type="dxa"/>
            <w:shd w:val="clear" w:color="auto" w:fill="E8EEF5"/>
            <w:vAlign w:val="center"/>
          </w:tcPr>
          <w:p w14:paraId="0E02F3D7" w14:textId="77777777" w:rsidR="00F44613" w:rsidRDefault="00F44613" w:rsidP="00A30F5B">
            <w:pPr>
              <w:spacing w:after="0"/>
            </w:pPr>
            <w:r>
              <w:rPr>
                <w:b/>
                <w:color w:val="0B2545"/>
                <w:sz w:val="18"/>
              </w:rPr>
              <w:t>Brief interpretation</w:t>
            </w:r>
          </w:p>
        </w:tc>
      </w:tr>
      <w:tr w:rsidR="00F44613" w14:paraId="3DC44C88" w14:textId="77777777" w:rsidTr="00A30F5B">
        <w:trPr>
          <w:jc w:val="center"/>
        </w:trPr>
        <w:tc>
          <w:tcPr>
            <w:tcW w:w="3960" w:type="dxa"/>
            <w:vAlign w:val="center"/>
          </w:tcPr>
          <w:p w14:paraId="20A3C914" w14:textId="77777777" w:rsidR="00F44613" w:rsidRDefault="00F44613" w:rsidP="00A30F5B">
            <w:pPr>
              <w:spacing w:after="0"/>
            </w:pPr>
            <w:r>
              <w:rPr>
                <w:sz w:val="18"/>
              </w:rPr>
              <w:t>Year 7 attendance rate</w:t>
            </w:r>
          </w:p>
        </w:tc>
        <w:tc>
          <w:tcPr>
            <w:tcW w:w="1854" w:type="dxa"/>
            <w:vAlign w:val="center"/>
          </w:tcPr>
          <w:p w14:paraId="4665C72D" w14:textId="77777777" w:rsidR="00F44613" w:rsidRDefault="00F44613" w:rsidP="00A30F5B">
            <w:pPr>
              <w:spacing w:after="0"/>
            </w:pPr>
            <w:r>
              <w:rPr>
                <w:b/>
                <w:color w:val="1F4E79"/>
                <w:sz w:val="18"/>
              </w:rPr>
              <w:t>85.86%</w:t>
            </w:r>
          </w:p>
        </w:tc>
        <w:tc>
          <w:tcPr>
            <w:tcW w:w="4131" w:type="dxa"/>
            <w:vAlign w:val="center"/>
          </w:tcPr>
          <w:p w14:paraId="4996EB0E" w14:textId="77777777" w:rsidR="00F44613" w:rsidRDefault="00F44613" w:rsidP="00A30F5B">
            <w:pPr>
              <w:spacing w:after="0"/>
            </w:pPr>
            <w:r>
              <w:rPr>
                <w:sz w:val="18"/>
              </w:rPr>
              <w:t>Year 7 transition attendance is weaker than the overall rate.</w:t>
            </w:r>
          </w:p>
        </w:tc>
      </w:tr>
      <w:tr w:rsidR="00F44613" w14:paraId="1974F9A0" w14:textId="77777777" w:rsidTr="00A30F5B">
        <w:trPr>
          <w:jc w:val="center"/>
        </w:trPr>
        <w:tc>
          <w:tcPr>
            <w:tcW w:w="3960" w:type="dxa"/>
            <w:vAlign w:val="center"/>
          </w:tcPr>
          <w:p w14:paraId="2EB8CC15" w14:textId="77777777" w:rsidR="00F44613" w:rsidRDefault="00F44613" w:rsidP="00A30F5B">
            <w:pPr>
              <w:spacing w:after="0"/>
            </w:pPr>
            <w:r>
              <w:rPr>
                <w:sz w:val="18"/>
              </w:rPr>
              <w:t>Years 8-10 attendance rate</w:t>
            </w:r>
          </w:p>
        </w:tc>
        <w:tc>
          <w:tcPr>
            <w:tcW w:w="1854" w:type="dxa"/>
            <w:vAlign w:val="center"/>
          </w:tcPr>
          <w:p w14:paraId="027A10D5" w14:textId="77777777" w:rsidR="00F44613" w:rsidRDefault="00F44613" w:rsidP="00A30F5B">
            <w:pPr>
              <w:spacing w:after="0"/>
            </w:pPr>
            <w:r>
              <w:rPr>
                <w:b/>
                <w:color w:val="1F4E79"/>
                <w:sz w:val="18"/>
              </w:rPr>
              <w:t>88.67%</w:t>
            </w:r>
          </w:p>
        </w:tc>
        <w:tc>
          <w:tcPr>
            <w:tcW w:w="4131" w:type="dxa"/>
            <w:vAlign w:val="center"/>
          </w:tcPr>
          <w:p w14:paraId="1FE46EA2" w14:textId="77777777" w:rsidR="00F44613" w:rsidRDefault="00F44613" w:rsidP="00A30F5B">
            <w:pPr>
              <w:spacing w:after="0"/>
            </w:pPr>
            <w:r>
              <w:rPr>
                <w:sz w:val="18"/>
              </w:rPr>
              <w:t>Middle secondary attendance is closer to the overall average.</w:t>
            </w:r>
          </w:p>
        </w:tc>
      </w:tr>
      <w:tr w:rsidR="00F44613" w14:paraId="346ACF48" w14:textId="77777777" w:rsidTr="00A30F5B">
        <w:trPr>
          <w:jc w:val="center"/>
        </w:trPr>
        <w:tc>
          <w:tcPr>
            <w:tcW w:w="3960" w:type="dxa"/>
            <w:vAlign w:val="center"/>
          </w:tcPr>
          <w:p w14:paraId="37991F28" w14:textId="77777777" w:rsidR="00F44613" w:rsidRDefault="00F44613" w:rsidP="00A30F5B">
            <w:pPr>
              <w:spacing w:after="0"/>
            </w:pPr>
            <w:r>
              <w:rPr>
                <w:sz w:val="18"/>
              </w:rPr>
              <w:t>Senior secondary attendance rate</w:t>
            </w:r>
          </w:p>
        </w:tc>
        <w:tc>
          <w:tcPr>
            <w:tcW w:w="1854" w:type="dxa"/>
            <w:vAlign w:val="center"/>
          </w:tcPr>
          <w:p w14:paraId="084D0592" w14:textId="77777777" w:rsidR="00F44613" w:rsidRDefault="00F44613" w:rsidP="00A30F5B">
            <w:pPr>
              <w:spacing w:after="0"/>
            </w:pPr>
            <w:r>
              <w:rPr>
                <w:b/>
                <w:color w:val="1F4E79"/>
                <w:sz w:val="18"/>
              </w:rPr>
              <w:t>83.55%</w:t>
            </w:r>
          </w:p>
        </w:tc>
        <w:tc>
          <w:tcPr>
            <w:tcW w:w="4131" w:type="dxa"/>
            <w:vAlign w:val="center"/>
          </w:tcPr>
          <w:p w14:paraId="0DDB62D2" w14:textId="77777777" w:rsidR="00F44613" w:rsidRDefault="00F44613" w:rsidP="00A30F5B">
            <w:pPr>
              <w:spacing w:after="0"/>
            </w:pPr>
            <w:r>
              <w:rPr>
                <w:sz w:val="18"/>
              </w:rPr>
              <w:t>Senior secondary attendance is the weakest headline cohort metric.</w:t>
            </w:r>
          </w:p>
        </w:tc>
      </w:tr>
      <w:tr w:rsidR="00F44613" w14:paraId="255C830B" w14:textId="77777777" w:rsidTr="00A30F5B">
        <w:trPr>
          <w:jc w:val="center"/>
        </w:trPr>
        <w:tc>
          <w:tcPr>
            <w:tcW w:w="3960" w:type="dxa"/>
            <w:vAlign w:val="center"/>
          </w:tcPr>
          <w:p w14:paraId="009ED174" w14:textId="77777777" w:rsidR="00F44613" w:rsidRDefault="00F44613" w:rsidP="00A30F5B">
            <w:pPr>
              <w:spacing w:after="0"/>
            </w:pPr>
            <w:r>
              <w:rPr>
                <w:sz w:val="18"/>
              </w:rPr>
              <w:t>Year 12 below-80% student-month share</w:t>
            </w:r>
          </w:p>
        </w:tc>
        <w:tc>
          <w:tcPr>
            <w:tcW w:w="1854" w:type="dxa"/>
            <w:vAlign w:val="center"/>
          </w:tcPr>
          <w:p w14:paraId="67D60FE0" w14:textId="77777777" w:rsidR="00F44613" w:rsidRDefault="00F44613" w:rsidP="00A30F5B">
            <w:pPr>
              <w:spacing w:after="0"/>
            </w:pPr>
            <w:r>
              <w:rPr>
                <w:b/>
                <w:color w:val="1F4E79"/>
                <w:sz w:val="18"/>
              </w:rPr>
              <w:t>26.97%</w:t>
            </w:r>
          </w:p>
        </w:tc>
        <w:tc>
          <w:tcPr>
            <w:tcW w:w="4131" w:type="dxa"/>
            <w:vAlign w:val="center"/>
          </w:tcPr>
          <w:p w14:paraId="1A2C022F" w14:textId="77777777" w:rsidR="00F44613" w:rsidRDefault="00F44613" w:rsidP="00A30F5B">
            <w:pPr>
              <w:spacing w:after="0"/>
            </w:pPr>
            <w:r>
              <w:rPr>
                <w:sz w:val="18"/>
              </w:rPr>
              <w:t>Senior secondary students show the highest share of high-concern attendance records.</w:t>
            </w:r>
          </w:p>
        </w:tc>
      </w:tr>
    </w:tbl>
    <w:p w14:paraId="691BF8C9" w14:textId="77777777" w:rsidR="00F44613" w:rsidRPr="00F44613" w:rsidRDefault="00F44613" w:rsidP="00F44613"/>
    <w:p w14:paraId="151C9ABF" w14:textId="77777777" w:rsidR="00D023BE" w:rsidRDefault="00000000">
      <w:r>
        <w:lastRenderedPageBreak/>
        <w:t xml:space="preserve">The </w:t>
      </w:r>
      <w:r w:rsidR="003845DE">
        <w:t>overall</w:t>
      </w:r>
      <w:r>
        <w:t xml:space="preserve"> attendance rate is 88.81%, but the year-level </w:t>
      </w:r>
      <w:r w:rsidR="003845DE">
        <w:t>statistics</w:t>
      </w:r>
      <w:r>
        <w:t xml:space="preserve"> show important variation: Year 7 attendance is 85.86%, Years 8-10 attendance is 88.67%, and senior secondary attendance is 83.55%. The difference confirms that a single whole-system attendance rate is not enough for decision-making.</w:t>
      </w:r>
    </w:p>
    <w:p w14:paraId="05693C79" w14:textId="77777777" w:rsidR="00D023BE" w:rsidRDefault="00000000" w:rsidP="00067250">
      <w:pPr>
        <w:pStyle w:val="Heading2"/>
      </w:pPr>
      <w:r>
        <w:t>Share of Student-Months Below 80% Attendance</w:t>
      </w:r>
    </w:p>
    <w:p w14:paraId="1C62937A" w14:textId="77777777" w:rsidR="00921E78" w:rsidRPr="00921E78" w:rsidRDefault="00921E78" w:rsidP="00921E78"/>
    <w:p w14:paraId="3141B271" w14:textId="77777777" w:rsidR="003845DE" w:rsidRDefault="003845DE" w:rsidP="003845DE">
      <w:pPr>
        <w:keepNext/>
        <w:jc w:val="center"/>
      </w:pPr>
      <w:r w:rsidRPr="003845DE">
        <w:rPr>
          <w:noProof/>
        </w:rPr>
        <w:drawing>
          <wp:inline distT="0" distB="0" distL="0" distR="0" wp14:anchorId="7A8384AF" wp14:editId="2C8FEE4C">
            <wp:extent cx="5222348" cy="2190292"/>
            <wp:effectExtent l="0" t="0" r="0" b="635"/>
            <wp:docPr id="766566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66080" name=""/>
                    <pic:cNvPicPr/>
                  </pic:nvPicPr>
                  <pic:blipFill rotWithShape="1">
                    <a:blip r:embed="rId12"/>
                    <a:srcRect t="8386" r="-569"/>
                    <a:stretch>
                      <a:fillRect/>
                    </a:stretch>
                  </pic:blipFill>
                  <pic:spPr bwMode="auto">
                    <a:xfrm>
                      <a:off x="0" y="0"/>
                      <a:ext cx="5246230" cy="2200308"/>
                    </a:xfrm>
                    <a:prstGeom prst="rect">
                      <a:avLst/>
                    </a:prstGeom>
                    <a:ln>
                      <a:noFill/>
                    </a:ln>
                    <a:extLst>
                      <a:ext uri="{53640926-AAD7-44D8-BBD7-CCE9431645EC}">
                        <a14:shadowObscured xmlns:a14="http://schemas.microsoft.com/office/drawing/2010/main"/>
                      </a:ext>
                    </a:extLst>
                  </pic:spPr>
                </pic:pic>
              </a:graphicData>
            </a:graphic>
          </wp:inline>
        </w:drawing>
      </w:r>
    </w:p>
    <w:p w14:paraId="406773A4" w14:textId="33D7DFF8" w:rsidR="003845DE" w:rsidRPr="003845DE" w:rsidRDefault="003845DE" w:rsidP="003845DE">
      <w:pPr>
        <w:pStyle w:val="Caption"/>
        <w:jc w:val="center"/>
        <w:rPr>
          <w:b w:val="0"/>
          <w:bCs w:val="0"/>
          <w:i/>
          <w:iCs/>
          <w:color w:val="595959" w:themeColor="text1" w:themeTint="A6"/>
        </w:rPr>
      </w:pPr>
      <w:r w:rsidRPr="003845DE">
        <w:rPr>
          <w:b w:val="0"/>
          <w:bCs w:val="0"/>
          <w:i/>
          <w:iCs/>
          <w:color w:val="595959" w:themeColor="text1" w:themeTint="A6"/>
        </w:rPr>
        <w:t xml:space="preserve">Figure </w:t>
      </w:r>
      <w:r w:rsidRPr="003845DE">
        <w:rPr>
          <w:b w:val="0"/>
          <w:bCs w:val="0"/>
          <w:i/>
          <w:iCs/>
          <w:color w:val="595959" w:themeColor="text1" w:themeTint="A6"/>
        </w:rPr>
        <w:fldChar w:fldCharType="begin"/>
      </w:r>
      <w:r w:rsidRPr="003845DE">
        <w:rPr>
          <w:b w:val="0"/>
          <w:bCs w:val="0"/>
          <w:i/>
          <w:iCs/>
          <w:color w:val="595959" w:themeColor="text1" w:themeTint="A6"/>
        </w:rPr>
        <w:instrText xml:space="preserve"> SEQ Figure \* ARABIC </w:instrText>
      </w:r>
      <w:r w:rsidRPr="003845DE">
        <w:rPr>
          <w:b w:val="0"/>
          <w:bCs w:val="0"/>
          <w:i/>
          <w:iCs/>
          <w:color w:val="595959" w:themeColor="text1" w:themeTint="A6"/>
        </w:rPr>
        <w:fldChar w:fldCharType="separate"/>
      </w:r>
      <w:r w:rsidR="00A16997">
        <w:rPr>
          <w:b w:val="0"/>
          <w:bCs w:val="0"/>
          <w:i/>
          <w:iCs/>
          <w:noProof/>
          <w:color w:val="595959" w:themeColor="text1" w:themeTint="A6"/>
        </w:rPr>
        <w:t>5</w:t>
      </w:r>
      <w:r w:rsidRPr="003845DE">
        <w:rPr>
          <w:b w:val="0"/>
          <w:bCs w:val="0"/>
          <w:i/>
          <w:iCs/>
          <w:color w:val="595959" w:themeColor="text1" w:themeTint="A6"/>
        </w:rPr>
        <w:fldChar w:fldCharType="end"/>
      </w:r>
      <w:r w:rsidRPr="003845DE">
        <w:rPr>
          <w:b w:val="0"/>
          <w:bCs w:val="0"/>
          <w:i/>
          <w:iCs/>
          <w:color w:val="595959" w:themeColor="text1" w:themeTint="A6"/>
        </w:rPr>
        <w:t>: Share of Student-Months Below 80% Attendance</w:t>
      </w:r>
    </w:p>
    <w:p w14:paraId="5BCC2535" w14:textId="77777777" w:rsidR="003845DE" w:rsidRDefault="003845DE" w:rsidP="003845DE">
      <w:pPr>
        <w:pStyle w:val="Heading3"/>
        <w:jc w:val="both"/>
        <w:rPr>
          <w:rFonts w:ascii="Calibri" w:eastAsiaTheme="minorEastAsia" w:hAnsi="Calibri" w:cstheme="minorBidi"/>
          <w:b/>
          <w:bCs/>
          <w:color w:val="auto"/>
          <w:sz w:val="21"/>
        </w:rPr>
      </w:pPr>
      <w:r w:rsidRPr="003845DE">
        <w:rPr>
          <w:rFonts w:ascii="Calibri" w:eastAsiaTheme="minorEastAsia" w:hAnsi="Calibri" w:cstheme="minorBidi"/>
          <w:color w:val="auto"/>
          <w:sz w:val="21"/>
        </w:rPr>
        <w:t>This chart shows the share of monthly attendance records below the 80% attendance threshold. Each record represents one student observed in one reporting month, so the measure reflects the proportion of student-month observations with high attendance concern.</w:t>
      </w:r>
    </w:p>
    <w:p w14:paraId="41BC38CC" w14:textId="77777777" w:rsidR="003845DE" w:rsidRPr="003845DE" w:rsidRDefault="003845DE" w:rsidP="003845DE">
      <w:pPr>
        <w:jc w:val="both"/>
        <w:rPr>
          <w:lang w:val="en-AU"/>
        </w:rPr>
      </w:pPr>
      <w:r w:rsidRPr="003845DE">
        <w:rPr>
          <w:lang w:val="en-AU"/>
        </w:rPr>
        <w:t>Most primary and lower secondary year levels have low at-risk shares, generally below 5%. Year 7 is higher at about 10%, which supports the transition-risk pattern. The largest concern is in senior secondary: Years 11 and 12 have much higher at-risk shares, around 26-27%.</w:t>
      </w:r>
    </w:p>
    <w:p w14:paraId="6CDBBC14" w14:textId="77777777" w:rsidR="003845DE" w:rsidRPr="003845DE" w:rsidRDefault="003845DE" w:rsidP="003845DE">
      <w:pPr>
        <w:jc w:val="both"/>
        <w:rPr>
          <w:lang w:val="en-AU"/>
        </w:rPr>
      </w:pPr>
      <w:r w:rsidRPr="003845DE">
        <w:rPr>
          <w:lang w:val="en-AU"/>
        </w:rPr>
        <w:t>This suggests attendance risk is concentrated in transition and senior secondary cohorts, rather than being evenly spread across all year levels.</w:t>
      </w:r>
    </w:p>
    <w:p w14:paraId="44CB4087" w14:textId="77777777" w:rsidR="00D023BE" w:rsidRDefault="00000000" w:rsidP="00067250">
      <w:pPr>
        <w:pStyle w:val="Heading2"/>
      </w:pPr>
      <w:r>
        <w:t>Attendance Band Distribution by Year Level</w:t>
      </w:r>
    </w:p>
    <w:p w14:paraId="4EC59950" w14:textId="77777777" w:rsidR="00921E78" w:rsidRPr="00921E78" w:rsidRDefault="00921E78" w:rsidP="00921E78"/>
    <w:p w14:paraId="44775F39" w14:textId="77777777" w:rsidR="00C834F7" w:rsidRDefault="00C834F7" w:rsidP="00C834F7">
      <w:pPr>
        <w:keepNext/>
        <w:jc w:val="center"/>
      </w:pPr>
      <w:r w:rsidRPr="00C834F7">
        <w:rPr>
          <w:noProof/>
        </w:rPr>
        <w:drawing>
          <wp:inline distT="0" distB="0" distL="0" distR="0" wp14:anchorId="5A5C6071" wp14:editId="116813CC">
            <wp:extent cx="4694246" cy="1973187"/>
            <wp:effectExtent l="0" t="0" r="0" b="8255"/>
            <wp:docPr id="749182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82363" name=""/>
                    <pic:cNvPicPr/>
                  </pic:nvPicPr>
                  <pic:blipFill rotWithShape="1">
                    <a:blip r:embed="rId13"/>
                    <a:srcRect t="8606" r="371"/>
                    <a:stretch>
                      <a:fillRect/>
                    </a:stretch>
                  </pic:blipFill>
                  <pic:spPr bwMode="auto">
                    <a:xfrm>
                      <a:off x="0" y="0"/>
                      <a:ext cx="4694487" cy="1973288"/>
                    </a:xfrm>
                    <a:prstGeom prst="rect">
                      <a:avLst/>
                    </a:prstGeom>
                    <a:ln>
                      <a:noFill/>
                    </a:ln>
                    <a:extLst>
                      <a:ext uri="{53640926-AAD7-44D8-BBD7-CCE9431645EC}">
                        <a14:shadowObscured xmlns:a14="http://schemas.microsoft.com/office/drawing/2010/main"/>
                      </a:ext>
                    </a:extLst>
                  </pic:spPr>
                </pic:pic>
              </a:graphicData>
            </a:graphic>
          </wp:inline>
        </w:drawing>
      </w:r>
    </w:p>
    <w:p w14:paraId="328CE1ED" w14:textId="4DE20D03" w:rsidR="003845DE" w:rsidRPr="00C834F7" w:rsidRDefault="00C834F7" w:rsidP="00C834F7">
      <w:pPr>
        <w:pStyle w:val="Caption"/>
        <w:jc w:val="center"/>
        <w:rPr>
          <w:b w:val="0"/>
          <w:bCs w:val="0"/>
          <w:i/>
          <w:iCs/>
          <w:color w:val="595959" w:themeColor="text1" w:themeTint="A6"/>
        </w:rPr>
      </w:pPr>
      <w:r w:rsidRPr="00C834F7">
        <w:rPr>
          <w:b w:val="0"/>
          <w:bCs w:val="0"/>
          <w:i/>
          <w:iCs/>
          <w:color w:val="595959" w:themeColor="text1" w:themeTint="A6"/>
        </w:rPr>
        <w:t xml:space="preserve">Figure </w:t>
      </w:r>
      <w:r w:rsidRPr="00C834F7">
        <w:rPr>
          <w:b w:val="0"/>
          <w:bCs w:val="0"/>
          <w:i/>
          <w:iCs/>
          <w:color w:val="595959" w:themeColor="text1" w:themeTint="A6"/>
        </w:rPr>
        <w:fldChar w:fldCharType="begin"/>
      </w:r>
      <w:r w:rsidRPr="00C834F7">
        <w:rPr>
          <w:b w:val="0"/>
          <w:bCs w:val="0"/>
          <w:i/>
          <w:iCs/>
          <w:color w:val="595959" w:themeColor="text1" w:themeTint="A6"/>
        </w:rPr>
        <w:instrText xml:space="preserve"> SEQ Figure \* ARABIC </w:instrText>
      </w:r>
      <w:r w:rsidRPr="00C834F7">
        <w:rPr>
          <w:b w:val="0"/>
          <w:bCs w:val="0"/>
          <w:i/>
          <w:iCs/>
          <w:color w:val="595959" w:themeColor="text1" w:themeTint="A6"/>
        </w:rPr>
        <w:fldChar w:fldCharType="separate"/>
      </w:r>
      <w:r w:rsidR="00A16997">
        <w:rPr>
          <w:b w:val="0"/>
          <w:bCs w:val="0"/>
          <w:i/>
          <w:iCs/>
          <w:noProof/>
          <w:color w:val="595959" w:themeColor="text1" w:themeTint="A6"/>
        </w:rPr>
        <w:t>6</w:t>
      </w:r>
      <w:r w:rsidRPr="00C834F7">
        <w:rPr>
          <w:b w:val="0"/>
          <w:bCs w:val="0"/>
          <w:i/>
          <w:iCs/>
          <w:color w:val="595959" w:themeColor="text1" w:themeTint="A6"/>
        </w:rPr>
        <w:fldChar w:fldCharType="end"/>
      </w:r>
      <w:r w:rsidRPr="00C834F7">
        <w:rPr>
          <w:b w:val="0"/>
          <w:bCs w:val="0"/>
          <w:i/>
          <w:iCs/>
          <w:color w:val="595959" w:themeColor="text1" w:themeTint="A6"/>
        </w:rPr>
        <w:t>: Attendance Band Distribution by Year Level</w:t>
      </w:r>
    </w:p>
    <w:p w14:paraId="61C4213B" w14:textId="77777777" w:rsidR="0081140A" w:rsidRPr="0081140A" w:rsidRDefault="0081140A" w:rsidP="0081140A">
      <w:pPr>
        <w:pStyle w:val="Heading3"/>
        <w:jc w:val="both"/>
        <w:rPr>
          <w:rFonts w:ascii="Calibri" w:eastAsiaTheme="minorEastAsia" w:hAnsi="Calibri" w:cstheme="minorBidi"/>
          <w:b/>
          <w:bCs/>
          <w:color w:val="auto"/>
          <w:sz w:val="21"/>
        </w:rPr>
      </w:pPr>
      <w:r w:rsidRPr="0081140A">
        <w:rPr>
          <w:rFonts w:ascii="Calibri" w:eastAsiaTheme="minorEastAsia" w:hAnsi="Calibri" w:cstheme="minorBidi"/>
          <w:color w:val="auto"/>
          <w:sz w:val="21"/>
        </w:rPr>
        <w:lastRenderedPageBreak/>
        <w:t xml:space="preserve">This </w:t>
      </w:r>
      <w:r>
        <w:rPr>
          <w:rFonts w:ascii="Calibri" w:eastAsiaTheme="minorEastAsia" w:hAnsi="Calibri" w:cstheme="minorBidi"/>
          <w:color w:val="auto"/>
          <w:sz w:val="21"/>
        </w:rPr>
        <w:t xml:space="preserve">bar </w:t>
      </w:r>
      <w:r w:rsidRPr="0081140A">
        <w:rPr>
          <w:rFonts w:ascii="Calibri" w:eastAsiaTheme="minorEastAsia" w:hAnsi="Calibri" w:cstheme="minorBidi"/>
          <w:color w:val="auto"/>
          <w:sz w:val="21"/>
        </w:rPr>
        <w:t xml:space="preserve">chart shows the distribution of monthly attendance records by attendance band across year levels. Most year levels have a broadly balanced mix of medium and high attendance, with a smaller </w:t>
      </w:r>
      <w:proofErr w:type="gramStart"/>
      <w:r w:rsidRPr="0081140A">
        <w:rPr>
          <w:rFonts w:ascii="Calibri" w:eastAsiaTheme="minorEastAsia" w:hAnsi="Calibri" w:cstheme="minorBidi"/>
          <w:color w:val="auto"/>
          <w:sz w:val="21"/>
        </w:rPr>
        <w:t>low-attendance</w:t>
      </w:r>
      <w:proofErr w:type="gramEnd"/>
      <w:r w:rsidRPr="0081140A">
        <w:rPr>
          <w:rFonts w:ascii="Calibri" w:eastAsiaTheme="minorEastAsia" w:hAnsi="Calibri" w:cstheme="minorBidi"/>
          <w:color w:val="auto"/>
          <w:sz w:val="21"/>
        </w:rPr>
        <w:t xml:space="preserve"> segment.</w:t>
      </w:r>
    </w:p>
    <w:p w14:paraId="3C3BAFFF" w14:textId="77777777" w:rsidR="0081140A" w:rsidRDefault="0081140A" w:rsidP="0081140A">
      <w:pPr>
        <w:pStyle w:val="Heading3"/>
        <w:jc w:val="both"/>
        <w:rPr>
          <w:rFonts w:ascii="Calibri" w:eastAsiaTheme="minorEastAsia" w:hAnsi="Calibri" w:cstheme="minorBidi"/>
          <w:b/>
          <w:bCs/>
          <w:color w:val="auto"/>
          <w:sz w:val="21"/>
        </w:rPr>
      </w:pPr>
      <w:r w:rsidRPr="0081140A">
        <w:rPr>
          <w:rFonts w:ascii="Calibri" w:eastAsiaTheme="minorEastAsia" w:hAnsi="Calibri" w:cstheme="minorBidi"/>
          <w:color w:val="auto"/>
          <w:sz w:val="21"/>
        </w:rPr>
        <w:t xml:space="preserve">The main exception is senior secondary. Years 11 and 12 have much larger </w:t>
      </w:r>
      <w:proofErr w:type="gramStart"/>
      <w:r w:rsidRPr="0081140A">
        <w:rPr>
          <w:rFonts w:ascii="Calibri" w:eastAsiaTheme="minorEastAsia" w:hAnsi="Calibri" w:cstheme="minorBidi"/>
          <w:color w:val="auto"/>
          <w:sz w:val="21"/>
        </w:rPr>
        <w:t>low-attendance</w:t>
      </w:r>
      <w:proofErr w:type="gramEnd"/>
      <w:r w:rsidRPr="0081140A">
        <w:rPr>
          <w:rFonts w:ascii="Calibri" w:eastAsiaTheme="minorEastAsia" w:hAnsi="Calibri" w:cstheme="minorBidi"/>
          <w:color w:val="auto"/>
          <w:sz w:val="21"/>
        </w:rPr>
        <w:t xml:space="preserve"> counts than </w:t>
      </w:r>
      <w:proofErr w:type="gramStart"/>
      <w:r w:rsidRPr="0081140A">
        <w:rPr>
          <w:rFonts w:ascii="Calibri" w:eastAsiaTheme="minorEastAsia" w:hAnsi="Calibri" w:cstheme="minorBidi"/>
          <w:color w:val="auto"/>
          <w:sz w:val="21"/>
        </w:rPr>
        <w:t>earlier year</w:t>
      </w:r>
      <w:proofErr w:type="gramEnd"/>
      <w:r w:rsidRPr="0081140A">
        <w:rPr>
          <w:rFonts w:ascii="Calibri" w:eastAsiaTheme="minorEastAsia" w:hAnsi="Calibri" w:cstheme="minorBidi"/>
          <w:color w:val="auto"/>
          <w:sz w:val="21"/>
        </w:rPr>
        <w:t xml:space="preserve"> levels, indicating a higher concentration of students below the desired attendance range. Year 7 also shows a noticeable increase in low-attendance records compared with Years 0-6, which supports the transition-risk pattern identified elsewhere in the analysis.</w:t>
      </w:r>
    </w:p>
    <w:p w14:paraId="58DBA220" w14:textId="0F90787C" w:rsidR="00D023BE" w:rsidRDefault="00000000" w:rsidP="00067250">
      <w:pPr>
        <w:pStyle w:val="Heading2"/>
      </w:pPr>
      <w:r>
        <w:t xml:space="preserve">Monthly Attendance Rate by </w:t>
      </w:r>
      <w:r w:rsidR="00A62AC4">
        <w:t xml:space="preserve">Starting </w:t>
      </w:r>
      <w:r>
        <w:t>Cohort</w:t>
      </w:r>
    </w:p>
    <w:p w14:paraId="34357BE5" w14:textId="77777777" w:rsidR="00067250" w:rsidRPr="00067250" w:rsidRDefault="00067250" w:rsidP="00067250"/>
    <w:p w14:paraId="7CE79351" w14:textId="519EECCC" w:rsidR="00C834F7" w:rsidRDefault="00110427" w:rsidP="00C834F7">
      <w:pPr>
        <w:keepNext/>
        <w:jc w:val="center"/>
      </w:pPr>
      <w:r w:rsidRPr="00110427">
        <w:drawing>
          <wp:inline distT="0" distB="0" distL="0" distR="0" wp14:anchorId="58EF331D" wp14:editId="55D82F7E">
            <wp:extent cx="5152543" cy="2263996"/>
            <wp:effectExtent l="0" t="0" r="0" b="0"/>
            <wp:docPr id="1896470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70755" name=""/>
                    <pic:cNvPicPr/>
                  </pic:nvPicPr>
                  <pic:blipFill rotWithShape="1">
                    <a:blip r:embed="rId14"/>
                    <a:srcRect l="-318" t="8690" r="318" b="-8690"/>
                    <a:stretch>
                      <a:fillRect/>
                    </a:stretch>
                  </pic:blipFill>
                  <pic:spPr bwMode="auto">
                    <a:xfrm>
                      <a:off x="0" y="0"/>
                      <a:ext cx="5172525" cy="2272776"/>
                    </a:xfrm>
                    <a:prstGeom prst="rect">
                      <a:avLst/>
                    </a:prstGeom>
                    <a:ln>
                      <a:noFill/>
                    </a:ln>
                    <a:extLst>
                      <a:ext uri="{53640926-AAD7-44D8-BBD7-CCE9431645EC}">
                        <a14:shadowObscured xmlns:a14="http://schemas.microsoft.com/office/drawing/2010/main"/>
                      </a:ext>
                    </a:extLst>
                  </pic:spPr>
                </pic:pic>
              </a:graphicData>
            </a:graphic>
          </wp:inline>
        </w:drawing>
      </w:r>
    </w:p>
    <w:p w14:paraId="5B0B87A1" w14:textId="0B6DD983" w:rsidR="00C834F7" w:rsidRPr="00C834F7" w:rsidRDefault="00C834F7" w:rsidP="00C834F7">
      <w:pPr>
        <w:pStyle w:val="Caption"/>
        <w:jc w:val="center"/>
        <w:rPr>
          <w:b w:val="0"/>
          <w:bCs w:val="0"/>
          <w:i/>
          <w:iCs/>
          <w:color w:val="595959" w:themeColor="text1" w:themeTint="A6"/>
        </w:rPr>
      </w:pPr>
      <w:r w:rsidRPr="00C834F7">
        <w:rPr>
          <w:b w:val="0"/>
          <w:bCs w:val="0"/>
          <w:i/>
          <w:iCs/>
          <w:color w:val="595959" w:themeColor="text1" w:themeTint="A6"/>
        </w:rPr>
        <w:t xml:space="preserve">Figure </w:t>
      </w:r>
      <w:r w:rsidRPr="00C834F7">
        <w:rPr>
          <w:b w:val="0"/>
          <w:bCs w:val="0"/>
          <w:i/>
          <w:iCs/>
          <w:color w:val="595959" w:themeColor="text1" w:themeTint="A6"/>
        </w:rPr>
        <w:fldChar w:fldCharType="begin"/>
      </w:r>
      <w:r w:rsidRPr="00C834F7">
        <w:rPr>
          <w:b w:val="0"/>
          <w:bCs w:val="0"/>
          <w:i/>
          <w:iCs/>
          <w:color w:val="595959" w:themeColor="text1" w:themeTint="A6"/>
        </w:rPr>
        <w:instrText xml:space="preserve"> SEQ Figure \* ARABIC </w:instrText>
      </w:r>
      <w:r w:rsidRPr="00C834F7">
        <w:rPr>
          <w:b w:val="0"/>
          <w:bCs w:val="0"/>
          <w:i/>
          <w:iCs/>
          <w:color w:val="595959" w:themeColor="text1" w:themeTint="A6"/>
        </w:rPr>
        <w:fldChar w:fldCharType="separate"/>
      </w:r>
      <w:r w:rsidR="00A16997">
        <w:rPr>
          <w:b w:val="0"/>
          <w:bCs w:val="0"/>
          <w:i/>
          <w:iCs/>
          <w:noProof/>
          <w:color w:val="595959" w:themeColor="text1" w:themeTint="A6"/>
        </w:rPr>
        <w:t>7</w:t>
      </w:r>
      <w:r w:rsidRPr="00C834F7">
        <w:rPr>
          <w:b w:val="0"/>
          <w:bCs w:val="0"/>
          <w:i/>
          <w:iCs/>
          <w:color w:val="595959" w:themeColor="text1" w:themeTint="A6"/>
        </w:rPr>
        <w:fldChar w:fldCharType="end"/>
      </w:r>
      <w:r w:rsidRPr="00C834F7">
        <w:rPr>
          <w:b w:val="0"/>
          <w:bCs w:val="0"/>
          <w:i/>
          <w:iCs/>
          <w:color w:val="595959" w:themeColor="text1" w:themeTint="A6"/>
        </w:rPr>
        <w:t>: Attendance Trend by Starting Cohort</w:t>
      </w:r>
    </w:p>
    <w:p w14:paraId="645F1968" w14:textId="2F53FB02" w:rsidR="00D023BE" w:rsidRDefault="00110427" w:rsidP="00110427">
      <w:pPr>
        <w:jc w:val="both"/>
      </w:pPr>
      <w:r w:rsidRPr="00110427">
        <w:t xml:space="preserve">A starting cohort means the group of students who were </w:t>
      </w:r>
      <w:proofErr w:type="gramStart"/>
      <w:r w:rsidRPr="00110427">
        <w:t>in a given year</w:t>
      </w:r>
      <w:proofErr w:type="gramEnd"/>
      <w:r w:rsidRPr="00110427">
        <w:t xml:space="preserve"> level in February 2024. For example, “Year 6 from 202402” refers to students who were in Year 6 in February 2024; the line then follows their attendance as they move into later year levels.</w:t>
      </w:r>
    </w:p>
    <w:p w14:paraId="5816545D" w14:textId="77777777" w:rsidR="00110427" w:rsidRPr="00110427" w:rsidRDefault="00110427" w:rsidP="00110427">
      <w:pPr>
        <w:jc w:val="both"/>
        <w:rPr>
          <w:lang w:val="en-AU"/>
        </w:rPr>
      </w:pPr>
      <w:r w:rsidRPr="00110427">
        <w:rPr>
          <w:lang w:val="en-AU"/>
        </w:rPr>
        <w:t>The Year 5 starting cohort has the strongest attendance pattern across most of the period. This suggests that attendance is more stable before students reach the main transition years.</w:t>
      </w:r>
    </w:p>
    <w:p w14:paraId="6BAF5950" w14:textId="77777777" w:rsidR="00110427" w:rsidRPr="00110427" w:rsidRDefault="00110427" w:rsidP="00110427">
      <w:pPr>
        <w:jc w:val="both"/>
        <w:rPr>
          <w:lang w:val="en-AU"/>
        </w:rPr>
      </w:pPr>
      <w:r w:rsidRPr="00110427">
        <w:rPr>
          <w:lang w:val="en-AU"/>
        </w:rPr>
        <w:t>The Year 6 cohort also has relatively high attendance during 2024. However, its attendance falls in 2025, when these students move into Year 7. This supports the idea that the move into Year 7 is associated with additional attendance risk.</w:t>
      </w:r>
    </w:p>
    <w:p w14:paraId="4102309F" w14:textId="77777777" w:rsidR="00110427" w:rsidRPr="00110427" w:rsidRDefault="00110427" w:rsidP="00110427">
      <w:pPr>
        <w:jc w:val="both"/>
        <w:rPr>
          <w:lang w:val="en-AU"/>
        </w:rPr>
      </w:pPr>
      <w:r w:rsidRPr="00110427">
        <w:rPr>
          <w:lang w:val="en-AU"/>
        </w:rPr>
        <w:t xml:space="preserve">The Year 7 cohort has the lowest attendance while students are in Year 7 during 2024. In 2025, after these students move into Year 8, their attendance improves and becomes </w:t>
      </w:r>
      <w:proofErr w:type="gramStart"/>
      <w:r w:rsidRPr="00110427">
        <w:rPr>
          <w:lang w:val="en-AU"/>
        </w:rPr>
        <w:t>similar to</w:t>
      </w:r>
      <w:proofErr w:type="gramEnd"/>
      <w:r w:rsidRPr="00110427">
        <w:rPr>
          <w:lang w:val="en-AU"/>
        </w:rPr>
        <w:t xml:space="preserve"> the Year 8 starting cohort, which has moved into Year 9. This suggests that the Year 7 attendance dip may be partly transitional rather than permanent.</w:t>
      </w:r>
    </w:p>
    <w:p w14:paraId="0C102698" w14:textId="77777777" w:rsidR="00110427" w:rsidRPr="00110427" w:rsidRDefault="00110427" w:rsidP="00110427">
      <w:pPr>
        <w:jc w:val="both"/>
        <w:rPr>
          <w:lang w:val="en-AU"/>
        </w:rPr>
      </w:pPr>
      <w:r w:rsidRPr="00110427">
        <w:rPr>
          <w:lang w:val="en-AU"/>
        </w:rPr>
        <w:t>The Year 10 cohort moves into Year 11 in 2025 and records the weakest attendance pattern in that year. This highlights senior secondary attendance as a separate risk area, particularly after students enter Year 11.</w:t>
      </w:r>
    </w:p>
    <w:p w14:paraId="62A55F19" w14:textId="77777777" w:rsidR="00110427" w:rsidRPr="00110427" w:rsidRDefault="00110427" w:rsidP="00110427">
      <w:pPr>
        <w:jc w:val="both"/>
        <w:rPr>
          <w:lang w:val="en-AU"/>
        </w:rPr>
      </w:pPr>
      <w:r w:rsidRPr="00110427">
        <w:rPr>
          <w:lang w:val="en-AU"/>
        </w:rPr>
        <w:t>Overall, the chart shows that attendance risk changes as cohorts move through school. It is not enough to compare year levels at one point in time; following the same starting cohorts helps show when attendance risk emerges and whether it continues or improves over time.</w:t>
      </w:r>
    </w:p>
    <w:p w14:paraId="61091D02" w14:textId="77777777" w:rsidR="00110427" w:rsidRDefault="00110427">
      <w:pPr>
        <w:rPr>
          <w:lang w:val="en-AU"/>
        </w:rPr>
      </w:pPr>
    </w:p>
    <w:p w14:paraId="2FB43E15" w14:textId="77777777" w:rsidR="00AC41CB" w:rsidRDefault="00AC41CB">
      <w:pPr>
        <w:rPr>
          <w:lang w:val="en-AU"/>
        </w:rPr>
      </w:pPr>
    </w:p>
    <w:p w14:paraId="15B7796D" w14:textId="77777777" w:rsidR="00AC41CB" w:rsidRPr="00110427" w:rsidRDefault="00AC41CB">
      <w:pPr>
        <w:rPr>
          <w:lang w:val="en-AU"/>
        </w:rPr>
      </w:pPr>
    </w:p>
    <w:p w14:paraId="2F5E9688" w14:textId="77777777" w:rsidR="00D023BE" w:rsidRDefault="00000000" w:rsidP="00067250">
      <w:pPr>
        <w:pStyle w:val="Heading2"/>
      </w:pPr>
      <w:r>
        <w:lastRenderedPageBreak/>
        <w:t xml:space="preserve">Year 7 Transition Compared </w:t>
      </w:r>
      <w:r w:rsidR="00C834F7">
        <w:t>with</w:t>
      </w:r>
      <w:r>
        <w:t xml:space="preserve"> Years 8-10</w:t>
      </w:r>
      <w:r w:rsidR="00C834F7">
        <w:tab/>
      </w:r>
    </w:p>
    <w:p w14:paraId="644E57B1" w14:textId="77777777" w:rsidR="00067250" w:rsidRPr="00067250" w:rsidRDefault="00067250" w:rsidP="00067250"/>
    <w:p w14:paraId="5AC19A86" w14:textId="77777777" w:rsidR="00C834F7" w:rsidRDefault="00C834F7" w:rsidP="00C834F7">
      <w:pPr>
        <w:keepNext/>
        <w:jc w:val="center"/>
      </w:pPr>
      <w:r w:rsidRPr="00C834F7">
        <w:rPr>
          <w:noProof/>
        </w:rPr>
        <w:drawing>
          <wp:inline distT="0" distB="0" distL="0" distR="0" wp14:anchorId="223F5695" wp14:editId="120ED6B0">
            <wp:extent cx="5266357" cy="2146283"/>
            <wp:effectExtent l="0" t="0" r="0" b="6985"/>
            <wp:docPr id="1436056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056098" name=""/>
                    <pic:cNvPicPr/>
                  </pic:nvPicPr>
                  <pic:blipFill rotWithShape="1">
                    <a:blip r:embed="rId15"/>
                    <a:srcRect l="-1" t="10227" r="336"/>
                    <a:stretch>
                      <a:fillRect/>
                    </a:stretch>
                  </pic:blipFill>
                  <pic:spPr bwMode="auto">
                    <a:xfrm>
                      <a:off x="0" y="0"/>
                      <a:ext cx="5267414" cy="2146714"/>
                    </a:xfrm>
                    <a:prstGeom prst="rect">
                      <a:avLst/>
                    </a:prstGeom>
                    <a:ln>
                      <a:noFill/>
                    </a:ln>
                    <a:extLst>
                      <a:ext uri="{53640926-AAD7-44D8-BBD7-CCE9431645EC}">
                        <a14:shadowObscured xmlns:a14="http://schemas.microsoft.com/office/drawing/2010/main"/>
                      </a:ext>
                    </a:extLst>
                  </pic:spPr>
                </pic:pic>
              </a:graphicData>
            </a:graphic>
          </wp:inline>
        </w:drawing>
      </w:r>
    </w:p>
    <w:p w14:paraId="5051EC95" w14:textId="4579DFA1" w:rsidR="00C834F7" w:rsidRPr="00C834F7" w:rsidRDefault="00C834F7" w:rsidP="00C834F7">
      <w:pPr>
        <w:pStyle w:val="Caption"/>
        <w:jc w:val="center"/>
        <w:rPr>
          <w:b w:val="0"/>
          <w:bCs w:val="0"/>
          <w:i/>
          <w:iCs/>
          <w:color w:val="595959" w:themeColor="text1" w:themeTint="A6"/>
        </w:rPr>
      </w:pPr>
      <w:r w:rsidRPr="00C834F7">
        <w:rPr>
          <w:b w:val="0"/>
          <w:bCs w:val="0"/>
          <w:i/>
          <w:iCs/>
          <w:color w:val="595959" w:themeColor="text1" w:themeTint="A6"/>
        </w:rPr>
        <w:t xml:space="preserve">Figure </w:t>
      </w:r>
      <w:r w:rsidRPr="00C834F7">
        <w:rPr>
          <w:b w:val="0"/>
          <w:bCs w:val="0"/>
          <w:i/>
          <w:iCs/>
          <w:color w:val="595959" w:themeColor="text1" w:themeTint="A6"/>
        </w:rPr>
        <w:fldChar w:fldCharType="begin"/>
      </w:r>
      <w:r w:rsidRPr="00C834F7">
        <w:rPr>
          <w:b w:val="0"/>
          <w:bCs w:val="0"/>
          <w:i/>
          <w:iCs/>
          <w:color w:val="595959" w:themeColor="text1" w:themeTint="A6"/>
        </w:rPr>
        <w:instrText xml:space="preserve"> SEQ Figure \* ARABIC </w:instrText>
      </w:r>
      <w:r w:rsidRPr="00C834F7">
        <w:rPr>
          <w:b w:val="0"/>
          <w:bCs w:val="0"/>
          <w:i/>
          <w:iCs/>
          <w:color w:val="595959" w:themeColor="text1" w:themeTint="A6"/>
        </w:rPr>
        <w:fldChar w:fldCharType="separate"/>
      </w:r>
      <w:r w:rsidR="00A16997">
        <w:rPr>
          <w:b w:val="0"/>
          <w:bCs w:val="0"/>
          <w:i/>
          <w:iCs/>
          <w:noProof/>
          <w:color w:val="595959" w:themeColor="text1" w:themeTint="A6"/>
        </w:rPr>
        <w:t>8</w:t>
      </w:r>
      <w:r w:rsidRPr="00C834F7">
        <w:rPr>
          <w:b w:val="0"/>
          <w:bCs w:val="0"/>
          <w:i/>
          <w:iCs/>
          <w:color w:val="595959" w:themeColor="text1" w:themeTint="A6"/>
        </w:rPr>
        <w:fldChar w:fldCharType="end"/>
      </w:r>
      <w:r w:rsidRPr="00C834F7">
        <w:rPr>
          <w:b w:val="0"/>
          <w:bCs w:val="0"/>
          <w:i/>
          <w:iCs/>
          <w:color w:val="595959" w:themeColor="text1" w:themeTint="A6"/>
        </w:rPr>
        <w:t>: Year 7 Transition Compared with Years 8-10</w:t>
      </w:r>
    </w:p>
    <w:p w14:paraId="71EDEB2A" w14:textId="77777777" w:rsidR="00D023BE" w:rsidRDefault="00000000" w:rsidP="00110427">
      <w:pPr>
        <w:jc w:val="both"/>
      </w:pPr>
      <w:r>
        <w:t>This comparison isolates the transition story. Year 7 attendance is lower than Years 8-10 after January, and the difference remains visible across the year. This supports closer monitoring of transition cohorts, particularly during seasonal pressure points.</w:t>
      </w:r>
    </w:p>
    <w:tbl>
      <w:tblPr>
        <w:tblW w:w="0" w:type="auto"/>
        <w:jc w:val="center"/>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Look w:val="04A0" w:firstRow="1" w:lastRow="0" w:firstColumn="1" w:lastColumn="0" w:noHBand="0" w:noVBand="1"/>
      </w:tblPr>
      <w:tblGrid>
        <w:gridCol w:w="9936"/>
      </w:tblGrid>
      <w:tr w:rsidR="00D023BE" w14:paraId="3BCBF6FE" w14:textId="77777777">
        <w:trPr>
          <w:jc w:val="center"/>
        </w:trPr>
        <w:tc>
          <w:tcPr>
            <w:tcW w:w="9936" w:type="dxa"/>
            <w:shd w:val="clear" w:color="auto" w:fill="F4F6F9"/>
          </w:tcPr>
          <w:p w14:paraId="4F639EB2" w14:textId="77777777" w:rsidR="00D023BE" w:rsidRDefault="00000000" w:rsidP="00110427">
            <w:pPr>
              <w:spacing w:after="0"/>
              <w:jc w:val="both"/>
            </w:pPr>
            <w:r>
              <w:rPr>
                <w:b/>
                <w:color w:val="1F4E79"/>
                <w:sz w:val="20"/>
              </w:rPr>
              <w:t xml:space="preserve">Interpretation: </w:t>
            </w:r>
            <w:r>
              <w:rPr>
                <w:sz w:val="20"/>
              </w:rPr>
              <w:t>Year-level analysis should focus on two distinct risks: transition risk in Year 7 and high-concern attendance share in senior secondary cohorts.</w:t>
            </w:r>
          </w:p>
        </w:tc>
      </w:tr>
    </w:tbl>
    <w:p w14:paraId="1ACF506F" w14:textId="77777777" w:rsidR="00D023BE" w:rsidRDefault="00D023BE">
      <w:pPr>
        <w:spacing w:after="40"/>
      </w:pPr>
    </w:p>
    <w:p w14:paraId="1E4D63DB" w14:textId="77777777" w:rsidR="00D023BE" w:rsidRDefault="00000000">
      <w:pPr>
        <w:pStyle w:val="Heading1"/>
      </w:pPr>
      <w:r>
        <w:rPr>
          <w:rFonts w:ascii="Calibri" w:hAnsi="Calibri"/>
        </w:rPr>
        <w:t>Attendance And Assessment</w:t>
      </w:r>
    </w:p>
    <w:p w14:paraId="19FC7E82" w14:textId="77777777" w:rsidR="00295C69" w:rsidRDefault="00295C69" w:rsidP="00295C69">
      <w:pPr>
        <w:spacing w:after="80"/>
      </w:pPr>
      <w:r w:rsidRPr="00295C69">
        <w:t xml:space="preserve">Assessment outcomes are </w:t>
      </w:r>
      <w:proofErr w:type="spellStart"/>
      <w:r w:rsidRPr="00295C69">
        <w:t>analysed</w:t>
      </w:r>
      <w:proofErr w:type="spellEnd"/>
      <w:r w:rsidRPr="00295C69">
        <w:t xml:space="preserve"> by attendance band to identify whether lower attendance is associated with weaker results. These findings should be interpreted as evidence of association, not as proof that attendance alone causes assessment performance.</w:t>
      </w:r>
    </w:p>
    <w:p w14:paraId="068E12AD" w14:textId="77777777" w:rsidR="00295C69" w:rsidRDefault="00295C69" w:rsidP="00295C69"/>
    <w:p w14:paraId="2D440678" w14:textId="43375856" w:rsidR="00D023BE" w:rsidRDefault="00110427" w:rsidP="00067250">
      <w:pPr>
        <w:pStyle w:val="Heading2"/>
      </w:pPr>
      <w:r>
        <w:t>Key Statistics</w:t>
      </w:r>
    </w:p>
    <w:tbl>
      <w:tblPr>
        <w:tblW w:w="9945" w:type="dxa"/>
        <w:jc w:val="center"/>
        <w:tblBorders>
          <w:top w:val="single" w:sz="4" w:space="0" w:color="B7C4D6"/>
          <w:left w:val="single" w:sz="4" w:space="0" w:color="B7C4D6"/>
          <w:bottom w:val="single" w:sz="4" w:space="0" w:color="B7C4D6"/>
          <w:right w:val="single" w:sz="4" w:space="0" w:color="B7C4D6"/>
          <w:insideH w:val="single" w:sz="4" w:space="0" w:color="B7C4D6"/>
          <w:insideV w:val="single" w:sz="4" w:space="0" w:color="B7C4D6"/>
        </w:tblBorders>
        <w:tblLayout w:type="fixed"/>
        <w:tblLook w:val="04A0" w:firstRow="1" w:lastRow="0" w:firstColumn="1" w:lastColumn="0" w:noHBand="0" w:noVBand="1"/>
      </w:tblPr>
      <w:tblGrid>
        <w:gridCol w:w="3960"/>
        <w:gridCol w:w="1854"/>
        <w:gridCol w:w="4131"/>
      </w:tblGrid>
      <w:tr w:rsidR="00110427" w14:paraId="3A3F42A8" w14:textId="77777777" w:rsidTr="001625FE">
        <w:trPr>
          <w:jc w:val="center"/>
        </w:trPr>
        <w:tc>
          <w:tcPr>
            <w:tcW w:w="3960" w:type="dxa"/>
            <w:shd w:val="clear" w:color="auto" w:fill="E8EEF5"/>
            <w:vAlign w:val="center"/>
          </w:tcPr>
          <w:p w14:paraId="4BC19E48" w14:textId="77777777" w:rsidR="00110427" w:rsidRDefault="00110427" w:rsidP="001625FE">
            <w:pPr>
              <w:spacing w:after="0"/>
            </w:pPr>
            <w:r>
              <w:rPr>
                <w:b/>
                <w:color w:val="0B2545"/>
                <w:sz w:val="18"/>
              </w:rPr>
              <w:t>Statistic</w:t>
            </w:r>
          </w:p>
        </w:tc>
        <w:tc>
          <w:tcPr>
            <w:tcW w:w="1854" w:type="dxa"/>
            <w:shd w:val="clear" w:color="auto" w:fill="E8EEF5"/>
            <w:vAlign w:val="center"/>
          </w:tcPr>
          <w:p w14:paraId="5DE213E2" w14:textId="77777777" w:rsidR="00110427" w:rsidRDefault="00110427" w:rsidP="001625FE">
            <w:pPr>
              <w:spacing w:after="0"/>
            </w:pPr>
            <w:r>
              <w:rPr>
                <w:b/>
                <w:color w:val="0B2545"/>
                <w:sz w:val="18"/>
              </w:rPr>
              <w:t>Value</w:t>
            </w:r>
          </w:p>
        </w:tc>
        <w:tc>
          <w:tcPr>
            <w:tcW w:w="4131" w:type="dxa"/>
            <w:shd w:val="clear" w:color="auto" w:fill="E8EEF5"/>
            <w:vAlign w:val="center"/>
          </w:tcPr>
          <w:p w14:paraId="4521BC3D" w14:textId="77777777" w:rsidR="00110427" w:rsidRDefault="00110427" w:rsidP="001625FE">
            <w:pPr>
              <w:spacing w:after="0"/>
            </w:pPr>
            <w:r>
              <w:rPr>
                <w:b/>
                <w:color w:val="0B2545"/>
                <w:sz w:val="18"/>
              </w:rPr>
              <w:t>Brief interpretation</w:t>
            </w:r>
          </w:p>
        </w:tc>
      </w:tr>
      <w:tr w:rsidR="00110427" w14:paraId="1F8B31F4" w14:textId="77777777" w:rsidTr="001625FE">
        <w:trPr>
          <w:jc w:val="center"/>
        </w:trPr>
        <w:tc>
          <w:tcPr>
            <w:tcW w:w="3960" w:type="dxa"/>
            <w:vAlign w:val="center"/>
          </w:tcPr>
          <w:p w14:paraId="170552BF" w14:textId="77777777" w:rsidR="00110427" w:rsidRDefault="00110427" w:rsidP="001625FE">
            <w:pPr>
              <w:spacing w:after="0"/>
            </w:pPr>
            <w:r>
              <w:rPr>
                <w:sz w:val="18"/>
              </w:rPr>
              <w:t>Average assessment score</w:t>
            </w:r>
          </w:p>
        </w:tc>
        <w:tc>
          <w:tcPr>
            <w:tcW w:w="1854" w:type="dxa"/>
            <w:vAlign w:val="center"/>
          </w:tcPr>
          <w:p w14:paraId="42442FAB" w14:textId="77777777" w:rsidR="00110427" w:rsidRDefault="00110427" w:rsidP="001625FE">
            <w:pPr>
              <w:spacing w:after="0"/>
            </w:pPr>
            <w:r>
              <w:rPr>
                <w:b/>
                <w:color w:val="1F4E79"/>
                <w:sz w:val="18"/>
              </w:rPr>
              <w:t>418.87</w:t>
            </w:r>
          </w:p>
        </w:tc>
        <w:tc>
          <w:tcPr>
            <w:tcW w:w="4131" w:type="dxa"/>
            <w:vAlign w:val="center"/>
          </w:tcPr>
          <w:p w14:paraId="4CE59B7F" w14:textId="77777777" w:rsidR="00110427" w:rsidRDefault="00110427" w:rsidP="001625FE">
            <w:pPr>
              <w:spacing w:after="0"/>
            </w:pPr>
            <w:r>
              <w:rPr>
                <w:sz w:val="18"/>
              </w:rPr>
              <w:t>Baseline assessment score across selected assessment records.</w:t>
            </w:r>
          </w:p>
        </w:tc>
      </w:tr>
      <w:tr w:rsidR="00110427" w14:paraId="4416D099" w14:textId="77777777" w:rsidTr="001625FE">
        <w:trPr>
          <w:jc w:val="center"/>
        </w:trPr>
        <w:tc>
          <w:tcPr>
            <w:tcW w:w="3960" w:type="dxa"/>
            <w:vAlign w:val="center"/>
          </w:tcPr>
          <w:p w14:paraId="3A0816D0" w14:textId="77777777" w:rsidR="00110427" w:rsidRDefault="00110427" w:rsidP="001625FE">
            <w:pPr>
              <w:spacing w:after="0"/>
            </w:pPr>
            <w:r>
              <w:rPr>
                <w:sz w:val="18"/>
              </w:rPr>
              <w:t>Assessment record count</w:t>
            </w:r>
          </w:p>
        </w:tc>
        <w:tc>
          <w:tcPr>
            <w:tcW w:w="1854" w:type="dxa"/>
            <w:vAlign w:val="center"/>
          </w:tcPr>
          <w:p w14:paraId="635FF3BD" w14:textId="1850E7E2" w:rsidR="00110427" w:rsidRDefault="00110427" w:rsidP="001625FE">
            <w:pPr>
              <w:spacing w:after="0"/>
            </w:pPr>
            <w:r>
              <w:rPr>
                <w:b/>
                <w:color w:val="1F4E79"/>
                <w:sz w:val="18"/>
              </w:rPr>
              <w:t>60</w:t>
            </w:r>
            <w:r>
              <w:rPr>
                <w:b/>
                <w:color w:val="1F4E79"/>
                <w:sz w:val="18"/>
              </w:rPr>
              <w:t>336</w:t>
            </w:r>
          </w:p>
        </w:tc>
        <w:tc>
          <w:tcPr>
            <w:tcW w:w="4131" w:type="dxa"/>
            <w:vAlign w:val="center"/>
          </w:tcPr>
          <w:p w14:paraId="7316931E" w14:textId="77777777" w:rsidR="00110427" w:rsidRDefault="00110427" w:rsidP="001625FE">
            <w:pPr>
              <w:spacing w:after="0"/>
            </w:pPr>
            <w:r>
              <w:rPr>
                <w:sz w:val="18"/>
              </w:rPr>
              <w:t>Assessment analysis has enough volume for aggregate comparison.</w:t>
            </w:r>
          </w:p>
        </w:tc>
      </w:tr>
      <w:tr w:rsidR="00110427" w14:paraId="3F892D06" w14:textId="77777777" w:rsidTr="001625FE">
        <w:trPr>
          <w:jc w:val="center"/>
        </w:trPr>
        <w:tc>
          <w:tcPr>
            <w:tcW w:w="3960" w:type="dxa"/>
            <w:vAlign w:val="center"/>
          </w:tcPr>
          <w:p w14:paraId="3A4D4A3C" w14:textId="77777777" w:rsidR="00110427" w:rsidRDefault="00110427" w:rsidP="001625FE">
            <w:pPr>
              <w:spacing w:after="0"/>
            </w:pPr>
            <w:r>
              <w:rPr>
                <w:sz w:val="18"/>
              </w:rPr>
              <w:t>High attendance average score</w:t>
            </w:r>
          </w:p>
        </w:tc>
        <w:tc>
          <w:tcPr>
            <w:tcW w:w="1854" w:type="dxa"/>
            <w:vAlign w:val="center"/>
          </w:tcPr>
          <w:p w14:paraId="4225B2AB" w14:textId="77777777" w:rsidR="00110427" w:rsidRDefault="00110427" w:rsidP="001625FE">
            <w:pPr>
              <w:spacing w:after="0"/>
            </w:pPr>
            <w:r>
              <w:rPr>
                <w:b/>
                <w:color w:val="1F4E79"/>
                <w:sz w:val="18"/>
              </w:rPr>
              <w:t>431.27</w:t>
            </w:r>
          </w:p>
        </w:tc>
        <w:tc>
          <w:tcPr>
            <w:tcW w:w="4131" w:type="dxa"/>
            <w:vAlign w:val="center"/>
          </w:tcPr>
          <w:p w14:paraId="3B441FEA" w14:textId="77777777" w:rsidR="00110427" w:rsidRDefault="00110427" w:rsidP="001625FE">
            <w:pPr>
              <w:spacing w:after="0"/>
            </w:pPr>
            <w:r>
              <w:rPr>
                <w:sz w:val="18"/>
              </w:rPr>
              <w:t>High-attendance students have stronger average outcomes.</w:t>
            </w:r>
          </w:p>
        </w:tc>
      </w:tr>
      <w:tr w:rsidR="00110427" w14:paraId="677BCACC" w14:textId="77777777" w:rsidTr="001625FE">
        <w:trPr>
          <w:jc w:val="center"/>
        </w:trPr>
        <w:tc>
          <w:tcPr>
            <w:tcW w:w="3960" w:type="dxa"/>
            <w:vAlign w:val="center"/>
          </w:tcPr>
          <w:p w14:paraId="0C9110EE" w14:textId="77777777" w:rsidR="00110427" w:rsidRDefault="00110427" w:rsidP="001625FE">
            <w:pPr>
              <w:spacing w:after="0"/>
            </w:pPr>
            <w:r>
              <w:rPr>
                <w:sz w:val="18"/>
              </w:rPr>
              <w:t>Low attendance average score</w:t>
            </w:r>
          </w:p>
        </w:tc>
        <w:tc>
          <w:tcPr>
            <w:tcW w:w="1854" w:type="dxa"/>
            <w:vAlign w:val="center"/>
          </w:tcPr>
          <w:p w14:paraId="34433475" w14:textId="77777777" w:rsidR="00110427" w:rsidRDefault="00110427" w:rsidP="001625FE">
            <w:pPr>
              <w:spacing w:after="0"/>
            </w:pPr>
            <w:r>
              <w:rPr>
                <w:b/>
                <w:color w:val="1F4E79"/>
                <w:sz w:val="18"/>
              </w:rPr>
              <w:t>381.69</w:t>
            </w:r>
          </w:p>
        </w:tc>
        <w:tc>
          <w:tcPr>
            <w:tcW w:w="4131" w:type="dxa"/>
            <w:vAlign w:val="center"/>
          </w:tcPr>
          <w:p w14:paraId="1140369C" w14:textId="77777777" w:rsidR="00110427" w:rsidRDefault="00110427" w:rsidP="001625FE">
            <w:pPr>
              <w:spacing w:after="0"/>
            </w:pPr>
            <w:r>
              <w:rPr>
                <w:sz w:val="18"/>
              </w:rPr>
              <w:t>Low-attendance students have weaker average outcomes.</w:t>
            </w:r>
          </w:p>
        </w:tc>
      </w:tr>
      <w:tr w:rsidR="00110427" w14:paraId="4D72D21F" w14:textId="77777777" w:rsidTr="001625FE">
        <w:trPr>
          <w:jc w:val="center"/>
        </w:trPr>
        <w:tc>
          <w:tcPr>
            <w:tcW w:w="3960" w:type="dxa"/>
            <w:vAlign w:val="center"/>
          </w:tcPr>
          <w:p w14:paraId="131FE2EE" w14:textId="77777777" w:rsidR="00110427" w:rsidRDefault="00110427" w:rsidP="001625FE">
            <w:pPr>
              <w:spacing w:after="0"/>
            </w:pPr>
            <w:r>
              <w:rPr>
                <w:sz w:val="18"/>
              </w:rPr>
              <w:t>High-low assessment score gap</w:t>
            </w:r>
          </w:p>
        </w:tc>
        <w:tc>
          <w:tcPr>
            <w:tcW w:w="1854" w:type="dxa"/>
            <w:vAlign w:val="center"/>
          </w:tcPr>
          <w:p w14:paraId="495190BD" w14:textId="77777777" w:rsidR="00110427" w:rsidRDefault="00110427" w:rsidP="001625FE">
            <w:pPr>
              <w:spacing w:after="0"/>
            </w:pPr>
            <w:r>
              <w:rPr>
                <w:b/>
                <w:color w:val="1F4E79"/>
                <w:sz w:val="18"/>
              </w:rPr>
              <w:t>49.58</w:t>
            </w:r>
          </w:p>
        </w:tc>
        <w:tc>
          <w:tcPr>
            <w:tcW w:w="4131" w:type="dxa"/>
            <w:vAlign w:val="center"/>
          </w:tcPr>
          <w:p w14:paraId="592A790D" w14:textId="77777777" w:rsidR="00110427" w:rsidRDefault="00110427" w:rsidP="001625FE">
            <w:pPr>
              <w:spacing w:after="0"/>
            </w:pPr>
            <w:r>
              <w:rPr>
                <w:sz w:val="18"/>
              </w:rPr>
              <w:t>The attendance band gap is visible and consistent with the analytics story.</w:t>
            </w:r>
          </w:p>
        </w:tc>
      </w:tr>
    </w:tbl>
    <w:p w14:paraId="0F625E20" w14:textId="77777777" w:rsidR="00110427" w:rsidRPr="00110427" w:rsidRDefault="00110427" w:rsidP="00110427"/>
    <w:p w14:paraId="25B8F439" w14:textId="7089B95D" w:rsidR="00D023BE" w:rsidRDefault="00000000">
      <w:r>
        <w:t xml:space="preserve">The page reports an average assessment score of 418.87 across about </w:t>
      </w:r>
      <w:r w:rsidR="00A16997" w:rsidRPr="00A16997">
        <w:t>60336</w:t>
      </w:r>
      <w:r w:rsidR="00A16997">
        <w:t xml:space="preserve"> </w:t>
      </w:r>
      <w:r>
        <w:t>records. Students in the high-attendance band average 431.27, while students in the low-attendance band average 381.69. The high-low score gap is 49.58 points, which is a clear aggregate difference.</w:t>
      </w:r>
    </w:p>
    <w:p w14:paraId="0F79CC5E" w14:textId="77777777" w:rsidR="00AC41CB" w:rsidRDefault="00AC41CB"/>
    <w:p w14:paraId="437E0540" w14:textId="77777777" w:rsidR="00D023BE" w:rsidRDefault="00000000" w:rsidP="00067250">
      <w:pPr>
        <w:pStyle w:val="Heading2"/>
      </w:pPr>
      <w:r>
        <w:lastRenderedPageBreak/>
        <w:t>Assessment Score by Attendance Band</w:t>
      </w:r>
    </w:p>
    <w:p w14:paraId="5237EC65" w14:textId="77777777" w:rsidR="00067250" w:rsidRPr="00067250" w:rsidRDefault="00067250" w:rsidP="00067250"/>
    <w:p w14:paraId="312E9F9F" w14:textId="77777777" w:rsidR="00A16997" w:rsidRDefault="00A16997" w:rsidP="00A16997">
      <w:pPr>
        <w:keepNext/>
        <w:jc w:val="center"/>
      </w:pPr>
      <w:r w:rsidRPr="00A16997">
        <w:drawing>
          <wp:inline distT="0" distB="0" distL="0" distR="0" wp14:anchorId="0798FD58" wp14:editId="443A5EEF">
            <wp:extent cx="4708046" cy="1770122"/>
            <wp:effectExtent l="0" t="0" r="0" b="1905"/>
            <wp:docPr id="663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495" name=""/>
                    <pic:cNvPicPr/>
                  </pic:nvPicPr>
                  <pic:blipFill rotWithShape="1">
                    <a:blip r:embed="rId16"/>
                    <a:srcRect t="9374" r="-482" b="9811"/>
                    <a:stretch>
                      <a:fillRect/>
                    </a:stretch>
                  </pic:blipFill>
                  <pic:spPr bwMode="auto">
                    <a:xfrm>
                      <a:off x="0" y="0"/>
                      <a:ext cx="4709158" cy="1770540"/>
                    </a:xfrm>
                    <a:prstGeom prst="rect">
                      <a:avLst/>
                    </a:prstGeom>
                    <a:ln>
                      <a:noFill/>
                    </a:ln>
                    <a:extLst>
                      <a:ext uri="{53640926-AAD7-44D8-BBD7-CCE9431645EC}">
                        <a14:shadowObscured xmlns:a14="http://schemas.microsoft.com/office/drawing/2010/main"/>
                      </a:ext>
                    </a:extLst>
                  </pic:spPr>
                </pic:pic>
              </a:graphicData>
            </a:graphic>
          </wp:inline>
        </w:drawing>
      </w:r>
    </w:p>
    <w:p w14:paraId="2F16557C" w14:textId="5EC89242" w:rsidR="00A16997" w:rsidRPr="00A16997" w:rsidRDefault="00A16997" w:rsidP="00A16997">
      <w:pPr>
        <w:pStyle w:val="Caption"/>
        <w:jc w:val="center"/>
        <w:rPr>
          <w:b w:val="0"/>
          <w:bCs w:val="0"/>
          <w:i/>
          <w:iCs/>
          <w:color w:val="595959" w:themeColor="text1" w:themeTint="A6"/>
        </w:rPr>
      </w:pPr>
      <w:r w:rsidRPr="00A16997">
        <w:rPr>
          <w:b w:val="0"/>
          <w:bCs w:val="0"/>
          <w:i/>
          <w:iCs/>
          <w:color w:val="595959" w:themeColor="text1" w:themeTint="A6"/>
        </w:rPr>
        <w:t xml:space="preserve">Figure </w:t>
      </w:r>
      <w:r w:rsidRPr="00A16997">
        <w:rPr>
          <w:b w:val="0"/>
          <w:bCs w:val="0"/>
          <w:i/>
          <w:iCs/>
          <w:color w:val="595959" w:themeColor="text1" w:themeTint="A6"/>
        </w:rPr>
        <w:fldChar w:fldCharType="begin"/>
      </w:r>
      <w:r w:rsidRPr="00A16997">
        <w:rPr>
          <w:b w:val="0"/>
          <w:bCs w:val="0"/>
          <w:i/>
          <w:iCs/>
          <w:color w:val="595959" w:themeColor="text1" w:themeTint="A6"/>
        </w:rPr>
        <w:instrText xml:space="preserve"> SEQ Figure \* ARABIC </w:instrText>
      </w:r>
      <w:r w:rsidRPr="00A16997">
        <w:rPr>
          <w:b w:val="0"/>
          <w:bCs w:val="0"/>
          <w:i/>
          <w:iCs/>
          <w:color w:val="595959" w:themeColor="text1" w:themeTint="A6"/>
        </w:rPr>
        <w:fldChar w:fldCharType="separate"/>
      </w:r>
      <w:r w:rsidRPr="00A16997">
        <w:rPr>
          <w:b w:val="0"/>
          <w:bCs w:val="0"/>
          <w:i/>
          <w:iCs/>
          <w:color w:val="595959" w:themeColor="text1" w:themeTint="A6"/>
        </w:rPr>
        <w:t>9</w:t>
      </w:r>
      <w:r w:rsidRPr="00A16997">
        <w:rPr>
          <w:b w:val="0"/>
          <w:bCs w:val="0"/>
          <w:i/>
          <w:iCs/>
          <w:color w:val="595959" w:themeColor="text1" w:themeTint="A6"/>
        </w:rPr>
        <w:fldChar w:fldCharType="end"/>
      </w:r>
      <w:r w:rsidRPr="00A16997">
        <w:rPr>
          <w:b w:val="0"/>
          <w:bCs w:val="0"/>
          <w:i/>
          <w:iCs/>
          <w:color w:val="595959" w:themeColor="text1" w:themeTint="A6"/>
        </w:rPr>
        <w:t>: Assessment Score by Attendance Band</w:t>
      </w:r>
    </w:p>
    <w:p w14:paraId="18203226" w14:textId="77777777" w:rsidR="00A16997" w:rsidRPr="00A16997" w:rsidRDefault="00000000" w:rsidP="00A16997">
      <w:pPr>
        <w:jc w:val="both"/>
        <w:rPr>
          <w:rFonts w:ascii="Calibri" w:hAnsi="Calibri"/>
          <w:szCs w:val="22"/>
          <w:lang w:val="en-AU"/>
        </w:rPr>
      </w:pPr>
      <w:r>
        <w:t xml:space="preserve">The bar chart shows a </w:t>
      </w:r>
      <w:r w:rsidR="00A16997" w:rsidRPr="00A16997">
        <w:rPr>
          <w:rFonts w:ascii="Calibri" w:hAnsi="Calibri"/>
          <w:szCs w:val="22"/>
          <w:lang w:val="en-AU"/>
        </w:rPr>
        <w:t>a clear positive relationship between attendance band and assessment score. Students in the low-attendance band have the lowest average score, at about 382. The medium-attendance band is higher, at about 405, and the high-attendance band has the strongest result, at about 431.</w:t>
      </w:r>
    </w:p>
    <w:p w14:paraId="549C3A38" w14:textId="77C11FC1" w:rsidR="00D023BE" w:rsidRPr="00A16997" w:rsidRDefault="00A16997" w:rsidP="00A16997">
      <w:pPr>
        <w:jc w:val="both"/>
        <w:rPr>
          <w:lang w:val="en-AU"/>
        </w:rPr>
      </w:pPr>
      <w:r w:rsidRPr="00A16997">
        <w:rPr>
          <w:lang w:val="en-AU"/>
        </w:rPr>
        <w:t>The pattern suggests that stronger attendance is associated with stronger assessment outcomes. It should be interpreted as an association, not proof that attendance alone causes higher scores.</w:t>
      </w:r>
    </w:p>
    <w:p w14:paraId="08726B9C" w14:textId="77777777" w:rsidR="00D023BE" w:rsidRDefault="00000000" w:rsidP="00067250">
      <w:pPr>
        <w:pStyle w:val="Heading2"/>
      </w:pPr>
      <w:r>
        <w:t>Assessment Score by Year Level and Attendance Band</w:t>
      </w:r>
    </w:p>
    <w:p w14:paraId="53CF83D3" w14:textId="77777777" w:rsidR="00067250" w:rsidRPr="00067250" w:rsidRDefault="00067250" w:rsidP="00067250"/>
    <w:p w14:paraId="413044B5" w14:textId="77777777" w:rsidR="00A16997" w:rsidRDefault="00A16997" w:rsidP="00A16997">
      <w:pPr>
        <w:keepNext/>
        <w:jc w:val="center"/>
      </w:pPr>
      <w:r w:rsidRPr="00A16997">
        <w:drawing>
          <wp:inline distT="0" distB="0" distL="0" distR="0" wp14:anchorId="565078FD" wp14:editId="311A47A3">
            <wp:extent cx="5261421" cy="1941267"/>
            <wp:effectExtent l="0" t="0" r="0" b="1905"/>
            <wp:docPr id="935094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094251" name=""/>
                    <pic:cNvPicPr/>
                  </pic:nvPicPr>
                  <pic:blipFill rotWithShape="1">
                    <a:blip r:embed="rId17"/>
                    <a:srcRect t="9403"/>
                    <a:stretch>
                      <a:fillRect/>
                    </a:stretch>
                  </pic:blipFill>
                  <pic:spPr bwMode="auto">
                    <a:xfrm>
                      <a:off x="0" y="0"/>
                      <a:ext cx="5286313" cy="1950451"/>
                    </a:xfrm>
                    <a:prstGeom prst="rect">
                      <a:avLst/>
                    </a:prstGeom>
                    <a:ln>
                      <a:noFill/>
                    </a:ln>
                    <a:extLst>
                      <a:ext uri="{53640926-AAD7-44D8-BBD7-CCE9431645EC}">
                        <a14:shadowObscured xmlns:a14="http://schemas.microsoft.com/office/drawing/2010/main"/>
                      </a:ext>
                    </a:extLst>
                  </pic:spPr>
                </pic:pic>
              </a:graphicData>
            </a:graphic>
          </wp:inline>
        </w:drawing>
      </w:r>
    </w:p>
    <w:p w14:paraId="3E2AB55D" w14:textId="77777777" w:rsidR="00A16997" w:rsidRDefault="00A16997" w:rsidP="00A16997">
      <w:pPr>
        <w:pStyle w:val="Caption"/>
        <w:jc w:val="center"/>
        <w:rPr>
          <w:b w:val="0"/>
          <w:bCs w:val="0"/>
          <w:i/>
          <w:iCs/>
          <w:color w:val="595959" w:themeColor="text1" w:themeTint="A6"/>
        </w:rPr>
      </w:pPr>
      <w:r w:rsidRPr="00A16997">
        <w:rPr>
          <w:b w:val="0"/>
          <w:bCs w:val="0"/>
          <w:i/>
          <w:iCs/>
          <w:color w:val="595959" w:themeColor="text1" w:themeTint="A6"/>
        </w:rPr>
        <w:t xml:space="preserve">Figure </w:t>
      </w:r>
      <w:r w:rsidRPr="00A16997">
        <w:rPr>
          <w:b w:val="0"/>
          <w:bCs w:val="0"/>
          <w:i/>
          <w:iCs/>
          <w:color w:val="595959" w:themeColor="text1" w:themeTint="A6"/>
        </w:rPr>
        <w:fldChar w:fldCharType="begin"/>
      </w:r>
      <w:r w:rsidRPr="00A16997">
        <w:rPr>
          <w:b w:val="0"/>
          <w:bCs w:val="0"/>
          <w:i/>
          <w:iCs/>
          <w:color w:val="595959" w:themeColor="text1" w:themeTint="A6"/>
        </w:rPr>
        <w:instrText xml:space="preserve"> SEQ Figure \* ARABIC </w:instrText>
      </w:r>
      <w:r w:rsidRPr="00A16997">
        <w:rPr>
          <w:b w:val="0"/>
          <w:bCs w:val="0"/>
          <w:i/>
          <w:iCs/>
          <w:color w:val="595959" w:themeColor="text1" w:themeTint="A6"/>
        </w:rPr>
        <w:fldChar w:fldCharType="separate"/>
      </w:r>
      <w:r w:rsidRPr="00A16997">
        <w:rPr>
          <w:b w:val="0"/>
          <w:bCs w:val="0"/>
          <w:i/>
          <w:iCs/>
          <w:color w:val="595959" w:themeColor="text1" w:themeTint="A6"/>
        </w:rPr>
        <w:t>10</w:t>
      </w:r>
      <w:r w:rsidRPr="00A16997">
        <w:rPr>
          <w:b w:val="0"/>
          <w:bCs w:val="0"/>
          <w:i/>
          <w:iCs/>
          <w:color w:val="595959" w:themeColor="text1" w:themeTint="A6"/>
        </w:rPr>
        <w:fldChar w:fldCharType="end"/>
      </w:r>
      <w:r w:rsidRPr="00A16997">
        <w:rPr>
          <w:b w:val="0"/>
          <w:bCs w:val="0"/>
          <w:i/>
          <w:iCs/>
          <w:color w:val="595959" w:themeColor="text1" w:themeTint="A6"/>
        </w:rPr>
        <w:t>: Assessment Score by Year Level and Attendance Band</w:t>
      </w:r>
    </w:p>
    <w:p w14:paraId="3E8CA64A" w14:textId="77777777" w:rsidR="00A16997" w:rsidRDefault="00A16997" w:rsidP="00A16997">
      <w:pPr>
        <w:pStyle w:val="Caption"/>
        <w:rPr>
          <w:b w:val="0"/>
          <w:bCs w:val="0"/>
          <w:color w:val="auto"/>
          <w:sz w:val="21"/>
        </w:rPr>
      </w:pPr>
      <w:r w:rsidRPr="00A16997">
        <w:rPr>
          <w:rFonts w:ascii="Calibri" w:hAnsi="Calibri"/>
          <w:b w:val="0"/>
          <w:bCs w:val="0"/>
          <w:color w:val="auto"/>
          <w:sz w:val="21"/>
        </w:rPr>
        <w:t>This chart shows that the attendance-score relationship is visible across most year levels. In nearly every year level, students in the high-attendance band have higher average assessment scores than students in the medium and low bands.</w:t>
      </w:r>
    </w:p>
    <w:p w14:paraId="4739B358" w14:textId="4DD6A534" w:rsidR="00A16997" w:rsidRPr="00A16997" w:rsidRDefault="00A16997" w:rsidP="00A16997">
      <w:pPr>
        <w:pStyle w:val="Caption"/>
        <w:rPr>
          <w:rFonts w:ascii="Calibri" w:hAnsi="Calibri"/>
          <w:b w:val="0"/>
          <w:bCs w:val="0"/>
          <w:i/>
          <w:iCs/>
          <w:color w:val="595959" w:themeColor="text1" w:themeTint="A6"/>
          <w:sz w:val="18"/>
        </w:rPr>
      </w:pPr>
      <w:r w:rsidRPr="00A16997">
        <w:rPr>
          <w:rFonts w:ascii="Calibri" w:hAnsi="Calibri"/>
          <w:b w:val="0"/>
          <w:bCs w:val="0"/>
          <w:color w:val="auto"/>
          <w:sz w:val="21"/>
        </w:rPr>
        <w:t xml:space="preserve">The gap is especially clear across the primary and middle secondary years. Year 7 shows a lower overall pattern than </w:t>
      </w:r>
      <w:proofErr w:type="gramStart"/>
      <w:r w:rsidRPr="00A16997">
        <w:rPr>
          <w:rFonts w:ascii="Calibri" w:hAnsi="Calibri"/>
          <w:b w:val="0"/>
          <w:bCs w:val="0"/>
          <w:color w:val="auto"/>
          <w:sz w:val="21"/>
        </w:rPr>
        <w:t>nearby</w:t>
      </w:r>
      <w:proofErr w:type="gramEnd"/>
      <w:r w:rsidRPr="00A16997">
        <w:rPr>
          <w:rFonts w:ascii="Calibri" w:hAnsi="Calibri"/>
          <w:b w:val="0"/>
          <w:bCs w:val="0"/>
          <w:color w:val="auto"/>
          <w:sz w:val="21"/>
        </w:rPr>
        <w:t xml:space="preserve"> year levels, which is consistent with the transition-risk story. Overall, the chart suggests that the relationship between attendance and assessment outcomes is not isolated to one cohort; it appears across the school system.</w:t>
      </w:r>
    </w:p>
    <w:p w14:paraId="337BC328" w14:textId="77777777" w:rsidR="00AE4C68" w:rsidRDefault="00AE4C68" w:rsidP="00AE4C68"/>
    <w:p w14:paraId="7D3945AF" w14:textId="77777777" w:rsidR="00AE4C68" w:rsidRDefault="00AE4C68" w:rsidP="00AE4C68"/>
    <w:p w14:paraId="0DAC908E" w14:textId="77777777" w:rsidR="00AE4C68" w:rsidRDefault="00AE4C68" w:rsidP="00AE4C68"/>
    <w:p w14:paraId="166D7FDB" w14:textId="77777777" w:rsidR="00AE4C68" w:rsidRDefault="00AE4C68" w:rsidP="00AE4C68"/>
    <w:p w14:paraId="438498C2" w14:textId="193350B3" w:rsidR="00D023BE" w:rsidRDefault="00000000" w:rsidP="00067250">
      <w:pPr>
        <w:pStyle w:val="Heading2"/>
      </w:pPr>
      <w:r>
        <w:lastRenderedPageBreak/>
        <w:t>Assessment Score by Domain and Attendance Band</w:t>
      </w:r>
    </w:p>
    <w:p w14:paraId="2AF46ABD" w14:textId="77777777" w:rsidR="00067250" w:rsidRPr="00067250" w:rsidRDefault="00067250" w:rsidP="00067250"/>
    <w:p w14:paraId="566DE5FD" w14:textId="59F3FAD3" w:rsidR="00A16997" w:rsidRDefault="00A16997" w:rsidP="00A16997">
      <w:pPr>
        <w:keepNext/>
        <w:jc w:val="center"/>
      </w:pPr>
      <w:r w:rsidRPr="00A16997">
        <w:drawing>
          <wp:inline distT="0" distB="0" distL="0" distR="0" wp14:anchorId="7FEA6191" wp14:editId="4F62ABFA">
            <wp:extent cx="5227534" cy="2170732"/>
            <wp:effectExtent l="0" t="0" r="0" b="1270"/>
            <wp:docPr id="1089176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176613" name=""/>
                    <pic:cNvPicPr/>
                  </pic:nvPicPr>
                  <pic:blipFill rotWithShape="1">
                    <a:blip r:embed="rId18"/>
                    <a:srcRect t="9204"/>
                    <a:stretch>
                      <a:fillRect/>
                    </a:stretch>
                  </pic:blipFill>
                  <pic:spPr bwMode="auto">
                    <a:xfrm>
                      <a:off x="0" y="0"/>
                      <a:ext cx="5242337" cy="2176879"/>
                    </a:xfrm>
                    <a:prstGeom prst="rect">
                      <a:avLst/>
                    </a:prstGeom>
                    <a:ln>
                      <a:noFill/>
                    </a:ln>
                    <a:extLst>
                      <a:ext uri="{53640926-AAD7-44D8-BBD7-CCE9431645EC}">
                        <a14:shadowObscured xmlns:a14="http://schemas.microsoft.com/office/drawing/2010/main"/>
                      </a:ext>
                    </a:extLst>
                  </pic:spPr>
                </pic:pic>
              </a:graphicData>
            </a:graphic>
          </wp:inline>
        </w:drawing>
      </w:r>
    </w:p>
    <w:p w14:paraId="7A45EA84" w14:textId="39A316B6" w:rsidR="00A16997" w:rsidRPr="00A16997" w:rsidRDefault="00A16997" w:rsidP="00A16997">
      <w:pPr>
        <w:pStyle w:val="Caption"/>
        <w:jc w:val="center"/>
        <w:rPr>
          <w:b w:val="0"/>
          <w:bCs w:val="0"/>
          <w:i/>
          <w:iCs/>
          <w:color w:val="595959" w:themeColor="text1" w:themeTint="A6"/>
        </w:rPr>
      </w:pPr>
      <w:r w:rsidRPr="00A16997">
        <w:rPr>
          <w:b w:val="0"/>
          <w:bCs w:val="0"/>
          <w:i/>
          <w:iCs/>
          <w:color w:val="595959" w:themeColor="text1" w:themeTint="A6"/>
        </w:rPr>
        <w:t xml:space="preserve">Figure </w:t>
      </w:r>
      <w:r w:rsidRPr="00A16997">
        <w:rPr>
          <w:b w:val="0"/>
          <w:bCs w:val="0"/>
          <w:i/>
          <w:iCs/>
          <w:color w:val="595959" w:themeColor="text1" w:themeTint="A6"/>
        </w:rPr>
        <w:fldChar w:fldCharType="begin"/>
      </w:r>
      <w:r w:rsidRPr="00A16997">
        <w:rPr>
          <w:b w:val="0"/>
          <w:bCs w:val="0"/>
          <w:i/>
          <w:iCs/>
          <w:color w:val="595959" w:themeColor="text1" w:themeTint="A6"/>
        </w:rPr>
        <w:instrText xml:space="preserve"> SEQ Figure \* ARABIC </w:instrText>
      </w:r>
      <w:r w:rsidRPr="00A16997">
        <w:rPr>
          <w:b w:val="0"/>
          <w:bCs w:val="0"/>
          <w:i/>
          <w:iCs/>
          <w:color w:val="595959" w:themeColor="text1" w:themeTint="A6"/>
        </w:rPr>
        <w:fldChar w:fldCharType="separate"/>
      </w:r>
      <w:r w:rsidRPr="00A16997">
        <w:rPr>
          <w:b w:val="0"/>
          <w:bCs w:val="0"/>
          <w:i/>
          <w:iCs/>
          <w:color w:val="595959" w:themeColor="text1" w:themeTint="A6"/>
        </w:rPr>
        <w:t>11</w:t>
      </w:r>
      <w:r w:rsidRPr="00A16997">
        <w:rPr>
          <w:b w:val="0"/>
          <w:bCs w:val="0"/>
          <w:i/>
          <w:iCs/>
          <w:color w:val="595959" w:themeColor="text1" w:themeTint="A6"/>
        </w:rPr>
        <w:fldChar w:fldCharType="end"/>
      </w:r>
      <w:r w:rsidRPr="00A16997">
        <w:rPr>
          <w:b w:val="0"/>
          <w:bCs w:val="0"/>
          <w:i/>
          <w:iCs/>
          <w:color w:val="595959" w:themeColor="text1" w:themeTint="A6"/>
        </w:rPr>
        <w:t>: Assessment Score by Domain and Attendance Band</w:t>
      </w:r>
    </w:p>
    <w:p w14:paraId="334FB2A3" w14:textId="77777777" w:rsidR="00CA75B8" w:rsidRPr="00CA75B8" w:rsidRDefault="00CA75B8" w:rsidP="00CA75B8">
      <w:pPr>
        <w:jc w:val="both"/>
        <w:rPr>
          <w:lang w:val="en-AU"/>
        </w:rPr>
      </w:pPr>
      <w:r w:rsidRPr="00CA75B8">
        <w:rPr>
          <w:lang w:val="en-AU"/>
        </w:rPr>
        <w:t>This chart shows that the attendance-score relationship is consistent across all three assessment domains. In Reading, Numeracy, and Writing, the high-attendance band has the highest average score, followed by the medium-attendance band, then the low-attendance band.</w:t>
      </w:r>
    </w:p>
    <w:p w14:paraId="50E52EBB" w14:textId="40568543" w:rsidR="00D023BE" w:rsidRPr="00CA75B8" w:rsidRDefault="00CA75B8" w:rsidP="00CA75B8">
      <w:pPr>
        <w:jc w:val="both"/>
        <w:rPr>
          <w:lang w:val="en-AU"/>
        </w:rPr>
      </w:pPr>
      <w:r w:rsidRPr="00CA75B8">
        <w:rPr>
          <w:lang w:val="en-AU"/>
        </w:rPr>
        <w:t>The size of the gap is similar across domains, which suggests the pattern is broad rather than limited to one subject area. Reading has the highest overall scores, while Writing is slightly lower, but the same attendance gradient appears in each domain.</w:t>
      </w:r>
    </w:p>
    <w:p w14:paraId="033E9720" w14:textId="77777777" w:rsidR="00D023BE" w:rsidRDefault="00000000" w:rsidP="00067250">
      <w:pPr>
        <w:pStyle w:val="Heading2"/>
      </w:pPr>
      <w:r>
        <w:t>High-Low Score Gap by Domain</w:t>
      </w:r>
    </w:p>
    <w:p w14:paraId="130A3003" w14:textId="77777777" w:rsidR="00067250" w:rsidRPr="00067250" w:rsidRDefault="00067250" w:rsidP="00067250"/>
    <w:p w14:paraId="081E2DAF" w14:textId="77777777" w:rsidR="00A16997" w:rsidRDefault="00A16997" w:rsidP="00A16997">
      <w:pPr>
        <w:keepNext/>
        <w:jc w:val="center"/>
      </w:pPr>
      <w:r w:rsidRPr="00A16997">
        <w:drawing>
          <wp:inline distT="0" distB="0" distL="0" distR="0" wp14:anchorId="4CFC141E" wp14:editId="29BB9127">
            <wp:extent cx="4692650" cy="1977058"/>
            <wp:effectExtent l="0" t="0" r="0" b="4445"/>
            <wp:docPr id="743269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69252" name=""/>
                    <pic:cNvPicPr/>
                  </pic:nvPicPr>
                  <pic:blipFill rotWithShape="1">
                    <a:blip r:embed="rId19"/>
                    <a:srcRect t="10015"/>
                    <a:stretch>
                      <a:fillRect/>
                    </a:stretch>
                  </pic:blipFill>
                  <pic:spPr bwMode="auto">
                    <a:xfrm>
                      <a:off x="0" y="0"/>
                      <a:ext cx="4692891" cy="1977160"/>
                    </a:xfrm>
                    <a:prstGeom prst="rect">
                      <a:avLst/>
                    </a:prstGeom>
                    <a:ln>
                      <a:noFill/>
                    </a:ln>
                    <a:extLst>
                      <a:ext uri="{53640926-AAD7-44D8-BBD7-CCE9431645EC}">
                        <a14:shadowObscured xmlns:a14="http://schemas.microsoft.com/office/drawing/2010/main"/>
                      </a:ext>
                    </a:extLst>
                  </pic:spPr>
                </pic:pic>
              </a:graphicData>
            </a:graphic>
          </wp:inline>
        </w:drawing>
      </w:r>
    </w:p>
    <w:p w14:paraId="343A9FC4" w14:textId="7385927D" w:rsidR="00A16997" w:rsidRPr="00A16997" w:rsidRDefault="00A16997" w:rsidP="00A16997">
      <w:pPr>
        <w:pStyle w:val="Caption"/>
        <w:jc w:val="center"/>
        <w:rPr>
          <w:b w:val="0"/>
          <w:bCs w:val="0"/>
          <w:i/>
          <w:iCs/>
          <w:color w:val="595959" w:themeColor="text1" w:themeTint="A6"/>
        </w:rPr>
      </w:pPr>
      <w:r w:rsidRPr="00A16997">
        <w:rPr>
          <w:b w:val="0"/>
          <w:bCs w:val="0"/>
          <w:i/>
          <w:iCs/>
          <w:color w:val="595959" w:themeColor="text1" w:themeTint="A6"/>
        </w:rPr>
        <w:t xml:space="preserve">Figure </w:t>
      </w:r>
      <w:r w:rsidRPr="00A16997">
        <w:rPr>
          <w:b w:val="0"/>
          <w:bCs w:val="0"/>
          <w:i/>
          <w:iCs/>
          <w:color w:val="595959" w:themeColor="text1" w:themeTint="A6"/>
        </w:rPr>
        <w:fldChar w:fldCharType="begin"/>
      </w:r>
      <w:r w:rsidRPr="00A16997">
        <w:rPr>
          <w:b w:val="0"/>
          <w:bCs w:val="0"/>
          <w:i/>
          <w:iCs/>
          <w:color w:val="595959" w:themeColor="text1" w:themeTint="A6"/>
        </w:rPr>
        <w:instrText xml:space="preserve"> SEQ Figure \* ARABIC </w:instrText>
      </w:r>
      <w:r w:rsidRPr="00A16997">
        <w:rPr>
          <w:b w:val="0"/>
          <w:bCs w:val="0"/>
          <w:i/>
          <w:iCs/>
          <w:color w:val="595959" w:themeColor="text1" w:themeTint="A6"/>
        </w:rPr>
        <w:fldChar w:fldCharType="separate"/>
      </w:r>
      <w:r w:rsidRPr="00A16997">
        <w:rPr>
          <w:b w:val="0"/>
          <w:bCs w:val="0"/>
          <w:i/>
          <w:iCs/>
          <w:color w:val="595959" w:themeColor="text1" w:themeTint="A6"/>
        </w:rPr>
        <w:t>12</w:t>
      </w:r>
      <w:r w:rsidRPr="00A16997">
        <w:rPr>
          <w:b w:val="0"/>
          <w:bCs w:val="0"/>
          <w:i/>
          <w:iCs/>
          <w:color w:val="595959" w:themeColor="text1" w:themeTint="A6"/>
        </w:rPr>
        <w:fldChar w:fldCharType="end"/>
      </w:r>
      <w:r w:rsidRPr="00A16997">
        <w:rPr>
          <w:b w:val="0"/>
          <w:bCs w:val="0"/>
          <w:i/>
          <w:iCs/>
          <w:color w:val="595959" w:themeColor="text1" w:themeTint="A6"/>
        </w:rPr>
        <w:t>: High-Low Score Gap by Domain</w:t>
      </w:r>
    </w:p>
    <w:p w14:paraId="7CFD3B1B" w14:textId="77777777" w:rsidR="00CA75B8" w:rsidRPr="00CA75B8" w:rsidRDefault="00CA75B8" w:rsidP="00CA75B8">
      <w:pPr>
        <w:rPr>
          <w:lang w:val="en-AU"/>
        </w:rPr>
      </w:pPr>
      <w:r w:rsidRPr="00CA75B8">
        <w:rPr>
          <w:lang w:val="en-AU"/>
        </w:rPr>
        <w:t>The high-low score gap is the difference between the average assessment score for students in the high-attendance band and the average score for students in the low-attendance band.</w:t>
      </w:r>
    </w:p>
    <w:p w14:paraId="13385C47" w14:textId="293BE525" w:rsidR="00D023BE" w:rsidRPr="00CA75B8" w:rsidRDefault="00CA75B8">
      <w:pPr>
        <w:rPr>
          <w:lang w:val="en-AU"/>
        </w:rPr>
      </w:pPr>
      <w:r w:rsidRPr="00CA75B8">
        <w:rPr>
          <w:lang w:val="en-AU"/>
        </w:rPr>
        <w:t>In this chart, the gap is similar across all three domains: about 51 points in Reading and 49 points in both Numeracy and Writing. This means the assessment difference between high- and low-attendance students is consistent across subject areas, rather than being concentrated in one domain.</w:t>
      </w:r>
    </w:p>
    <w:tbl>
      <w:tblPr>
        <w:tblW w:w="0" w:type="auto"/>
        <w:jc w:val="center"/>
        <w:tblBorders>
          <w:top w:val="single" w:sz="4" w:space="0" w:color="D9E2EF"/>
          <w:left w:val="single" w:sz="4" w:space="0" w:color="D9E2EF"/>
          <w:bottom w:val="single" w:sz="4" w:space="0" w:color="D9E2EF"/>
          <w:right w:val="single" w:sz="4" w:space="0" w:color="D9E2EF"/>
          <w:insideH w:val="single" w:sz="4" w:space="0" w:color="D9E2EF"/>
          <w:insideV w:val="single" w:sz="4" w:space="0" w:color="D9E2EF"/>
        </w:tblBorders>
        <w:tblLook w:val="04A0" w:firstRow="1" w:lastRow="0" w:firstColumn="1" w:lastColumn="0" w:noHBand="0" w:noVBand="1"/>
      </w:tblPr>
      <w:tblGrid>
        <w:gridCol w:w="9936"/>
      </w:tblGrid>
      <w:tr w:rsidR="00D023BE" w14:paraId="40F8931F" w14:textId="77777777">
        <w:trPr>
          <w:jc w:val="center"/>
        </w:trPr>
        <w:tc>
          <w:tcPr>
            <w:tcW w:w="9936" w:type="dxa"/>
            <w:shd w:val="clear" w:color="auto" w:fill="F4F6F9"/>
          </w:tcPr>
          <w:p w14:paraId="7438C55E" w14:textId="77777777" w:rsidR="00D023BE" w:rsidRDefault="00000000" w:rsidP="00CA75B8">
            <w:pPr>
              <w:spacing w:after="0"/>
              <w:jc w:val="both"/>
            </w:pPr>
            <w:r>
              <w:rPr>
                <w:b/>
                <w:color w:val="1F4E79"/>
                <w:sz w:val="20"/>
              </w:rPr>
              <w:t xml:space="preserve">Interpretation: </w:t>
            </w:r>
            <w:r>
              <w:rPr>
                <w:sz w:val="20"/>
              </w:rPr>
              <w:t>Attendance bands can be used as a practical monitoring signal for learning outcomes, but the report should not claim causality without further analysis.</w:t>
            </w:r>
          </w:p>
        </w:tc>
      </w:tr>
    </w:tbl>
    <w:p w14:paraId="1B30DC5D" w14:textId="77777777" w:rsidR="00D023BE" w:rsidRDefault="00D023BE">
      <w:pPr>
        <w:spacing w:after="40"/>
      </w:pPr>
    </w:p>
    <w:p w14:paraId="3C8295EE" w14:textId="77777777" w:rsidR="00D023BE" w:rsidRDefault="00000000">
      <w:pPr>
        <w:pStyle w:val="Heading1"/>
      </w:pPr>
      <w:r>
        <w:rPr>
          <w:rFonts w:ascii="Calibri" w:hAnsi="Calibri"/>
        </w:rPr>
        <w:lastRenderedPageBreak/>
        <w:t>Overall Interpretation</w:t>
      </w:r>
    </w:p>
    <w:p w14:paraId="78BEA380" w14:textId="77777777" w:rsidR="00D023BE" w:rsidRDefault="00000000" w:rsidP="00295C69">
      <w:pPr>
        <w:jc w:val="both"/>
      </w:pPr>
      <w:r>
        <w:t>T</w:t>
      </w:r>
      <w:r w:rsidR="00295C69">
        <w:t>ogether</w:t>
      </w:r>
      <w:r>
        <w:t xml:space="preserve">, the </w:t>
      </w:r>
      <w:r w:rsidR="00295C69">
        <w:t>analysis represents</w:t>
      </w:r>
      <w:r>
        <w:t xml:space="preserve"> a coherent </w:t>
      </w:r>
      <w:r w:rsidR="00295C69">
        <w:t>reporting</w:t>
      </w:r>
      <w:r>
        <w:t xml:space="preserve"> story. Attendance is seasonal, cohort patterns </w:t>
      </w:r>
      <w:r w:rsidR="00295C69">
        <w:t>differ across year levels</w:t>
      </w:r>
      <w:r>
        <w:t xml:space="preserve">, and lower attendance bands are associated with weaker assessment outcomes. </w:t>
      </w:r>
      <w:r w:rsidR="00295C69" w:rsidRPr="00295C69">
        <w:t>This supports monthly stakeholder reporting that goes beyond raw tables and helps guide decisions about timing, cohort focus, and follow-up action.</w:t>
      </w:r>
    </w:p>
    <w:p w14:paraId="44934FC0" w14:textId="77777777" w:rsidR="00D023BE" w:rsidRDefault="00000000">
      <w:pPr>
        <w:pStyle w:val="ListBullet"/>
        <w:spacing w:after="80"/>
      </w:pPr>
      <w:r>
        <w:t>Winter attendance decline should be treated as a predictable risk period.</w:t>
      </w:r>
    </w:p>
    <w:p w14:paraId="6267421A" w14:textId="77777777" w:rsidR="00D023BE" w:rsidRDefault="00000000">
      <w:pPr>
        <w:pStyle w:val="ListBullet"/>
        <w:spacing w:after="80"/>
      </w:pPr>
      <w:r>
        <w:t>Year 7 transition and senior secondary attendance should be monitored separately.</w:t>
      </w:r>
    </w:p>
    <w:p w14:paraId="2E5FD8FB" w14:textId="77777777" w:rsidR="00D023BE" w:rsidRDefault="00000000" w:rsidP="00CA75B8">
      <w:pPr>
        <w:pStyle w:val="ListBullet"/>
        <w:spacing w:after="80"/>
        <w:jc w:val="both"/>
      </w:pPr>
      <w:r>
        <w:t>Student-month at-risk share is a better dashboard measure than counting distinct students across a long period.</w:t>
      </w:r>
    </w:p>
    <w:p w14:paraId="2E13E07D" w14:textId="77777777" w:rsidR="00D023BE" w:rsidRDefault="00000000" w:rsidP="00CA75B8">
      <w:pPr>
        <w:pStyle w:val="ListBullet"/>
        <w:spacing w:after="80"/>
        <w:jc w:val="both"/>
      </w:pPr>
      <w:r>
        <w:t>Assessment results are consistently stronger for high-attendance bands, but this should be communicated as association rather than causation.</w:t>
      </w:r>
    </w:p>
    <w:p w14:paraId="4B97E3F1" w14:textId="77777777" w:rsidR="00D023BE" w:rsidRDefault="00000000">
      <w:pPr>
        <w:pStyle w:val="Heading1"/>
      </w:pPr>
      <w:r>
        <w:rPr>
          <w:rFonts w:ascii="Calibri" w:hAnsi="Calibri"/>
        </w:rPr>
        <w:t>Suggested Stakeholder Actions</w:t>
      </w:r>
    </w:p>
    <w:p w14:paraId="1D1067CC" w14:textId="77777777" w:rsidR="00D023BE" w:rsidRDefault="00000000">
      <w:pPr>
        <w:pStyle w:val="ListBullet"/>
        <w:spacing w:after="80"/>
      </w:pPr>
      <w:r>
        <w:t>Review winter attendance plans before June, rather than after the seasonal decline appears.</w:t>
      </w:r>
    </w:p>
    <w:p w14:paraId="196ACF62" w14:textId="77777777" w:rsidR="00D023BE" w:rsidRDefault="00000000" w:rsidP="00CA75B8">
      <w:pPr>
        <w:pStyle w:val="ListBullet"/>
        <w:spacing w:after="80"/>
        <w:jc w:val="both"/>
      </w:pPr>
      <w:r>
        <w:t>Use region and year-level breakdowns to prioritise attendance support rather than relying on whole-system averages.</w:t>
      </w:r>
    </w:p>
    <w:p w14:paraId="31A2A703" w14:textId="77777777" w:rsidR="00D023BE" w:rsidRDefault="00000000">
      <w:pPr>
        <w:pStyle w:val="ListBullet"/>
        <w:spacing w:after="80"/>
      </w:pPr>
      <w:r>
        <w:t>Monitor Year 7 and senior secondary attendance as separate reporting groups.</w:t>
      </w:r>
    </w:p>
    <w:p w14:paraId="47EDF1B6" w14:textId="77777777" w:rsidR="00D023BE" w:rsidRDefault="00000000">
      <w:pPr>
        <w:pStyle w:val="ListBullet"/>
        <w:spacing w:after="80"/>
      </w:pPr>
      <w:r>
        <w:t>Use low attendance bands as a prompt for further learning-outcome review.</w:t>
      </w:r>
    </w:p>
    <w:p w14:paraId="0E5EA1DF" w14:textId="77777777" w:rsidR="00D023BE" w:rsidRDefault="00000000" w:rsidP="00CA75B8">
      <w:pPr>
        <w:pStyle w:val="ListBullet"/>
        <w:spacing w:after="80"/>
        <w:jc w:val="both"/>
      </w:pPr>
      <w:r>
        <w:t xml:space="preserve">Keep assessment interpretation cautious: the dashboard identifies an important relationship, not </w:t>
      </w:r>
      <w:proofErr w:type="gramStart"/>
      <w:r>
        <w:t>a causal</w:t>
      </w:r>
      <w:proofErr w:type="gramEnd"/>
      <w:r>
        <w:t xml:space="preserve"> proof.</w:t>
      </w:r>
    </w:p>
    <w:p w14:paraId="5F7497D0" w14:textId="77777777" w:rsidR="00D023BE" w:rsidRDefault="00000000">
      <w:pPr>
        <w:pStyle w:val="Heading1"/>
      </w:pPr>
      <w:r>
        <w:rPr>
          <w:rFonts w:ascii="Calibri" w:hAnsi="Calibri"/>
        </w:rPr>
        <w:t>Notes On Scope</w:t>
      </w:r>
    </w:p>
    <w:p w14:paraId="16F1026C" w14:textId="77777777" w:rsidR="00D023BE" w:rsidRDefault="00000000">
      <w:r>
        <w:t>This report is based on synthetic portfolio data. It is designed to demonstrate analytics storytelling, Power BI interpretation, and stakeholder reporting. It does not represent real student or school performance data, and it intentionally excludes data engineering implementation details.</w:t>
      </w:r>
    </w:p>
    <w:sectPr w:rsidR="00D023BE" w:rsidSect="00034616">
      <w:footerReference w:type="default" r:id="rId20"/>
      <w:pgSz w:w="12240" w:h="15840"/>
      <w:pgMar w:top="1152"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3BE8F" w14:textId="77777777" w:rsidR="00455474" w:rsidRDefault="00455474">
      <w:pPr>
        <w:spacing w:after="0" w:line="240" w:lineRule="auto"/>
      </w:pPr>
      <w:r>
        <w:separator/>
      </w:r>
    </w:p>
  </w:endnote>
  <w:endnote w:type="continuationSeparator" w:id="0">
    <w:p w14:paraId="4593AB87" w14:textId="77777777" w:rsidR="00455474" w:rsidRDefault="004554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8F2DF" w14:textId="77777777" w:rsidR="003845DE" w:rsidRDefault="003845DE">
    <w:pPr>
      <w:pStyle w:val="Footer"/>
      <w:jc w:val="center"/>
      <w:rPr>
        <w:color w:val="777777"/>
        <w:sz w:val="16"/>
      </w:rPr>
    </w:pPr>
  </w:p>
  <w:p w14:paraId="657A2D46" w14:textId="77777777" w:rsidR="00D023BE" w:rsidRDefault="00000000">
    <w:pPr>
      <w:pStyle w:val="Footer"/>
      <w:jc w:val="center"/>
    </w:pPr>
    <w:r>
      <w:rPr>
        <w:color w:val="777777"/>
        <w:sz w:val="16"/>
      </w:rPr>
      <w:t xml:space="preserve">Education Insights </w:t>
    </w:r>
    <w:r w:rsidR="003845DE">
      <w:rPr>
        <w:color w:val="777777"/>
        <w:sz w:val="16"/>
      </w:rPr>
      <w:t>Report</w:t>
    </w:r>
    <w:r>
      <w:rPr>
        <w:color w:val="777777"/>
        <w:sz w:val="16"/>
      </w:rPr>
      <w:t>| Analysis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E511D" w14:textId="77777777" w:rsidR="00455474" w:rsidRDefault="00455474">
      <w:pPr>
        <w:spacing w:after="0" w:line="240" w:lineRule="auto"/>
      </w:pPr>
      <w:r>
        <w:separator/>
      </w:r>
    </w:p>
  </w:footnote>
  <w:footnote w:type="continuationSeparator" w:id="0">
    <w:p w14:paraId="746ADC88" w14:textId="77777777" w:rsidR="00455474" w:rsidRDefault="004554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58E808FB"/>
    <w:multiLevelType w:val="multilevel"/>
    <w:tmpl w:val="8006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8919599">
    <w:abstractNumId w:val="8"/>
  </w:num>
  <w:num w:numId="2" w16cid:durableId="67463882">
    <w:abstractNumId w:val="6"/>
  </w:num>
  <w:num w:numId="3" w16cid:durableId="1567111893">
    <w:abstractNumId w:val="5"/>
  </w:num>
  <w:num w:numId="4" w16cid:durableId="1120076590">
    <w:abstractNumId w:val="4"/>
  </w:num>
  <w:num w:numId="5" w16cid:durableId="1448351298">
    <w:abstractNumId w:val="7"/>
  </w:num>
  <w:num w:numId="6" w16cid:durableId="1666977111">
    <w:abstractNumId w:val="3"/>
  </w:num>
  <w:num w:numId="7" w16cid:durableId="1702511363">
    <w:abstractNumId w:val="2"/>
  </w:num>
  <w:num w:numId="8" w16cid:durableId="949700895">
    <w:abstractNumId w:val="1"/>
  </w:num>
  <w:num w:numId="9" w16cid:durableId="1380780203">
    <w:abstractNumId w:val="0"/>
  </w:num>
  <w:num w:numId="10" w16cid:durableId="1076365848">
    <w:abstractNumId w:val="10"/>
  </w:num>
  <w:num w:numId="11" w16cid:durableId="895431533">
    <w:abstractNumId w:val="9"/>
  </w:num>
  <w:num w:numId="12" w16cid:durableId="441193107">
    <w:abstractNumId w:val="9"/>
  </w:num>
  <w:num w:numId="13" w16cid:durableId="1153520941">
    <w:abstractNumId w:val="9"/>
  </w:num>
  <w:num w:numId="14" w16cid:durableId="2104370610">
    <w:abstractNumId w:val="9"/>
  </w:num>
  <w:num w:numId="15" w16cid:durableId="1288007575">
    <w:abstractNumId w:val="9"/>
  </w:num>
  <w:num w:numId="16" w16cid:durableId="1938250923">
    <w:abstractNumId w:val="9"/>
  </w:num>
  <w:num w:numId="17" w16cid:durableId="1626736918">
    <w:abstractNumId w:val="9"/>
  </w:num>
  <w:num w:numId="18" w16cid:durableId="701444373">
    <w:abstractNumId w:val="9"/>
  </w:num>
  <w:num w:numId="19" w16cid:durableId="230432482">
    <w:abstractNumId w:val="9"/>
  </w:num>
  <w:num w:numId="20" w16cid:durableId="4588368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9C2"/>
    <w:rsid w:val="00022415"/>
    <w:rsid w:val="00034616"/>
    <w:rsid w:val="0006063C"/>
    <w:rsid w:val="00067250"/>
    <w:rsid w:val="00110427"/>
    <w:rsid w:val="0015074B"/>
    <w:rsid w:val="001D551E"/>
    <w:rsid w:val="00295C69"/>
    <w:rsid w:val="0029639D"/>
    <w:rsid w:val="00326F90"/>
    <w:rsid w:val="003845DE"/>
    <w:rsid w:val="00455474"/>
    <w:rsid w:val="00463412"/>
    <w:rsid w:val="004F1B07"/>
    <w:rsid w:val="005706E6"/>
    <w:rsid w:val="00616675"/>
    <w:rsid w:val="00710A7F"/>
    <w:rsid w:val="00747084"/>
    <w:rsid w:val="0081140A"/>
    <w:rsid w:val="008B5033"/>
    <w:rsid w:val="00921E78"/>
    <w:rsid w:val="00965E99"/>
    <w:rsid w:val="00A16997"/>
    <w:rsid w:val="00A62AC4"/>
    <w:rsid w:val="00AA1D8D"/>
    <w:rsid w:val="00AC41CB"/>
    <w:rsid w:val="00AE4C68"/>
    <w:rsid w:val="00B47730"/>
    <w:rsid w:val="00B95E7C"/>
    <w:rsid w:val="00C834F7"/>
    <w:rsid w:val="00CA75B8"/>
    <w:rsid w:val="00CB0664"/>
    <w:rsid w:val="00D023BE"/>
    <w:rsid w:val="00D54CE7"/>
    <w:rsid w:val="00F446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EFC99ED"/>
  <w14:defaultImageDpi w14:val="330"/>
  <w15:docId w15:val="{663166F8-8CA1-48C7-A1D3-EEEE6A96F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7250"/>
  </w:style>
  <w:style w:type="paragraph" w:styleId="Heading1">
    <w:name w:val="heading 1"/>
    <w:basedOn w:val="Normal"/>
    <w:next w:val="Normal"/>
    <w:link w:val="Heading1Char"/>
    <w:uiPriority w:val="9"/>
    <w:qFormat/>
    <w:rsid w:val="00067250"/>
    <w:pPr>
      <w:keepNext/>
      <w:keepLines/>
      <w:pBdr>
        <w:bottom w:val="single" w:sz="4" w:space="1" w:color="4A66AC" w:themeColor="accent1"/>
      </w:pBdr>
      <w:spacing w:before="400" w:after="40" w:line="240" w:lineRule="auto"/>
      <w:outlineLvl w:val="0"/>
    </w:pPr>
    <w:rPr>
      <w:rFonts w:asciiTheme="majorHAnsi" w:eastAsiaTheme="majorEastAsia" w:hAnsiTheme="majorHAnsi" w:cstheme="majorBidi"/>
      <w:color w:val="374C80" w:themeColor="accent1" w:themeShade="BF"/>
      <w:sz w:val="36"/>
      <w:szCs w:val="36"/>
    </w:rPr>
  </w:style>
  <w:style w:type="paragraph" w:styleId="Heading2">
    <w:name w:val="heading 2"/>
    <w:basedOn w:val="Normal"/>
    <w:next w:val="Normal"/>
    <w:link w:val="Heading2Char"/>
    <w:uiPriority w:val="9"/>
    <w:unhideWhenUsed/>
    <w:qFormat/>
    <w:rsid w:val="00067250"/>
    <w:pPr>
      <w:keepNext/>
      <w:keepLines/>
      <w:spacing w:before="160" w:after="0" w:line="240" w:lineRule="auto"/>
      <w:outlineLvl w:val="1"/>
    </w:pPr>
    <w:rPr>
      <w:rFonts w:asciiTheme="majorHAnsi" w:eastAsiaTheme="majorEastAsia" w:hAnsiTheme="majorHAnsi" w:cstheme="majorBidi"/>
      <w:color w:val="374C80" w:themeColor="accent1" w:themeShade="BF"/>
      <w:sz w:val="28"/>
      <w:szCs w:val="28"/>
    </w:rPr>
  </w:style>
  <w:style w:type="paragraph" w:styleId="Heading3">
    <w:name w:val="heading 3"/>
    <w:basedOn w:val="Normal"/>
    <w:next w:val="Normal"/>
    <w:link w:val="Heading3Char"/>
    <w:uiPriority w:val="9"/>
    <w:unhideWhenUsed/>
    <w:qFormat/>
    <w:rsid w:val="00067250"/>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067250"/>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067250"/>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067250"/>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067250"/>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067250"/>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067250"/>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067250"/>
    <w:pPr>
      <w:spacing w:after="0" w:line="240" w:lineRule="auto"/>
    </w:pPr>
  </w:style>
  <w:style w:type="character" w:customStyle="1" w:styleId="Heading1Char">
    <w:name w:val="Heading 1 Char"/>
    <w:basedOn w:val="DefaultParagraphFont"/>
    <w:link w:val="Heading1"/>
    <w:uiPriority w:val="9"/>
    <w:rsid w:val="00067250"/>
    <w:rPr>
      <w:rFonts w:asciiTheme="majorHAnsi" w:eastAsiaTheme="majorEastAsia" w:hAnsiTheme="majorHAnsi" w:cstheme="majorBidi"/>
      <w:color w:val="374C80" w:themeColor="accent1" w:themeShade="BF"/>
      <w:sz w:val="36"/>
      <w:szCs w:val="36"/>
    </w:rPr>
  </w:style>
  <w:style w:type="character" w:customStyle="1" w:styleId="Heading2Char">
    <w:name w:val="Heading 2 Char"/>
    <w:basedOn w:val="DefaultParagraphFont"/>
    <w:link w:val="Heading2"/>
    <w:uiPriority w:val="9"/>
    <w:rsid w:val="00067250"/>
    <w:rPr>
      <w:rFonts w:asciiTheme="majorHAnsi" w:eastAsiaTheme="majorEastAsia" w:hAnsiTheme="majorHAnsi" w:cstheme="majorBidi"/>
      <w:color w:val="374C80" w:themeColor="accent1" w:themeShade="BF"/>
      <w:sz w:val="28"/>
      <w:szCs w:val="28"/>
    </w:rPr>
  </w:style>
  <w:style w:type="character" w:customStyle="1" w:styleId="Heading3Char">
    <w:name w:val="Heading 3 Char"/>
    <w:basedOn w:val="DefaultParagraphFont"/>
    <w:link w:val="Heading3"/>
    <w:uiPriority w:val="9"/>
    <w:rsid w:val="00067250"/>
    <w:rPr>
      <w:rFonts w:asciiTheme="majorHAnsi" w:eastAsiaTheme="majorEastAsia" w:hAnsiTheme="majorHAnsi" w:cstheme="majorBidi"/>
      <w:color w:val="404040" w:themeColor="text1" w:themeTint="BF"/>
      <w:sz w:val="26"/>
      <w:szCs w:val="26"/>
    </w:rPr>
  </w:style>
  <w:style w:type="paragraph" w:styleId="Title">
    <w:name w:val="Title"/>
    <w:basedOn w:val="Normal"/>
    <w:next w:val="Normal"/>
    <w:link w:val="TitleChar"/>
    <w:uiPriority w:val="10"/>
    <w:qFormat/>
    <w:rsid w:val="00067250"/>
    <w:pPr>
      <w:spacing w:after="0" w:line="240" w:lineRule="auto"/>
      <w:contextualSpacing/>
    </w:pPr>
    <w:rPr>
      <w:rFonts w:asciiTheme="majorHAnsi" w:eastAsiaTheme="majorEastAsia" w:hAnsiTheme="majorHAnsi" w:cstheme="majorBidi"/>
      <w:color w:val="374C80" w:themeColor="accent1" w:themeShade="BF"/>
      <w:spacing w:val="-7"/>
      <w:sz w:val="80"/>
      <w:szCs w:val="80"/>
    </w:rPr>
  </w:style>
  <w:style w:type="character" w:customStyle="1" w:styleId="TitleChar">
    <w:name w:val="Title Char"/>
    <w:basedOn w:val="DefaultParagraphFont"/>
    <w:link w:val="Title"/>
    <w:uiPriority w:val="10"/>
    <w:rsid w:val="00067250"/>
    <w:rPr>
      <w:rFonts w:asciiTheme="majorHAnsi" w:eastAsiaTheme="majorEastAsia" w:hAnsiTheme="majorHAnsi" w:cstheme="majorBidi"/>
      <w:color w:val="374C80" w:themeColor="accent1" w:themeShade="BF"/>
      <w:spacing w:val="-7"/>
      <w:sz w:val="80"/>
      <w:szCs w:val="80"/>
    </w:rPr>
  </w:style>
  <w:style w:type="paragraph" w:styleId="Subtitle">
    <w:name w:val="Subtitle"/>
    <w:basedOn w:val="Normal"/>
    <w:next w:val="Normal"/>
    <w:link w:val="SubtitleChar"/>
    <w:uiPriority w:val="11"/>
    <w:qFormat/>
    <w:rsid w:val="00067250"/>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067250"/>
    <w:rPr>
      <w:rFonts w:asciiTheme="majorHAnsi" w:eastAsiaTheme="majorEastAsia" w:hAnsiTheme="majorHAnsi" w:cstheme="majorBidi"/>
      <w:color w:val="404040" w:themeColor="text1" w:themeTint="BF"/>
      <w:sz w:val="30"/>
      <w:szCs w:val="30"/>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067250"/>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067250"/>
    <w:rPr>
      <w:i/>
      <w:iCs/>
    </w:rPr>
  </w:style>
  <w:style w:type="character" w:customStyle="1" w:styleId="Heading4Char">
    <w:name w:val="Heading 4 Char"/>
    <w:basedOn w:val="DefaultParagraphFont"/>
    <w:link w:val="Heading4"/>
    <w:uiPriority w:val="9"/>
    <w:semiHidden/>
    <w:rsid w:val="00067250"/>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067250"/>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067250"/>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067250"/>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067250"/>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067250"/>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unhideWhenUsed/>
    <w:qFormat/>
    <w:rsid w:val="00067250"/>
    <w:pPr>
      <w:spacing w:line="240" w:lineRule="auto"/>
    </w:pPr>
    <w:rPr>
      <w:b/>
      <w:bCs/>
      <w:color w:val="404040" w:themeColor="text1" w:themeTint="BF"/>
      <w:sz w:val="20"/>
      <w:szCs w:val="20"/>
    </w:rPr>
  </w:style>
  <w:style w:type="character" w:styleId="Strong">
    <w:name w:val="Strong"/>
    <w:basedOn w:val="DefaultParagraphFont"/>
    <w:uiPriority w:val="22"/>
    <w:qFormat/>
    <w:rsid w:val="00067250"/>
    <w:rPr>
      <w:b/>
      <w:bCs/>
    </w:rPr>
  </w:style>
  <w:style w:type="character" w:styleId="Emphasis">
    <w:name w:val="Emphasis"/>
    <w:basedOn w:val="DefaultParagraphFont"/>
    <w:uiPriority w:val="20"/>
    <w:qFormat/>
    <w:rsid w:val="00067250"/>
    <w:rPr>
      <w:i/>
      <w:iCs/>
    </w:rPr>
  </w:style>
  <w:style w:type="paragraph" w:styleId="IntenseQuote">
    <w:name w:val="Intense Quote"/>
    <w:basedOn w:val="Normal"/>
    <w:next w:val="Normal"/>
    <w:link w:val="IntenseQuoteChar"/>
    <w:uiPriority w:val="30"/>
    <w:qFormat/>
    <w:rsid w:val="00067250"/>
    <w:pPr>
      <w:spacing w:before="100" w:beforeAutospacing="1" w:after="240"/>
      <w:ind w:left="864" w:right="864"/>
      <w:jc w:val="center"/>
    </w:pPr>
    <w:rPr>
      <w:rFonts w:asciiTheme="majorHAnsi" w:eastAsiaTheme="majorEastAsia" w:hAnsiTheme="majorHAnsi" w:cstheme="majorBidi"/>
      <w:color w:val="4A66AC" w:themeColor="accent1"/>
      <w:sz w:val="28"/>
      <w:szCs w:val="28"/>
    </w:rPr>
  </w:style>
  <w:style w:type="character" w:customStyle="1" w:styleId="IntenseQuoteChar">
    <w:name w:val="Intense Quote Char"/>
    <w:basedOn w:val="DefaultParagraphFont"/>
    <w:link w:val="IntenseQuote"/>
    <w:uiPriority w:val="30"/>
    <w:rsid w:val="00067250"/>
    <w:rPr>
      <w:rFonts w:asciiTheme="majorHAnsi" w:eastAsiaTheme="majorEastAsia" w:hAnsiTheme="majorHAnsi" w:cstheme="majorBidi"/>
      <w:color w:val="4A66AC" w:themeColor="accent1"/>
      <w:sz w:val="28"/>
      <w:szCs w:val="28"/>
    </w:rPr>
  </w:style>
  <w:style w:type="character" w:styleId="SubtleEmphasis">
    <w:name w:val="Subtle Emphasis"/>
    <w:basedOn w:val="DefaultParagraphFont"/>
    <w:uiPriority w:val="19"/>
    <w:qFormat/>
    <w:rsid w:val="00067250"/>
    <w:rPr>
      <w:i/>
      <w:iCs/>
      <w:color w:val="595959" w:themeColor="text1" w:themeTint="A6"/>
    </w:rPr>
  </w:style>
  <w:style w:type="character" w:styleId="IntenseEmphasis">
    <w:name w:val="Intense Emphasis"/>
    <w:basedOn w:val="DefaultParagraphFont"/>
    <w:uiPriority w:val="21"/>
    <w:qFormat/>
    <w:rsid w:val="00067250"/>
    <w:rPr>
      <w:b/>
      <w:bCs/>
      <w:i/>
      <w:iCs/>
    </w:rPr>
  </w:style>
  <w:style w:type="character" w:styleId="SubtleReference">
    <w:name w:val="Subtle Reference"/>
    <w:basedOn w:val="DefaultParagraphFont"/>
    <w:uiPriority w:val="31"/>
    <w:qFormat/>
    <w:rsid w:val="00067250"/>
    <w:rPr>
      <w:smallCaps/>
      <w:color w:val="404040" w:themeColor="text1" w:themeTint="BF"/>
    </w:rPr>
  </w:style>
  <w:style w:type="character" w:styleId="IntenseReference">
    <w:name w:val="Intense Reference"/>
    <w:basedOn w:val="DefaultParagraphFont"/>
    <w:uiPriority w:val="32"/>
    <w:qFormat/>
    <w:rsid w:val="00067250"/>
    <w:rPr>
      <w:b/>
      <w:bCs/>
      <w:smallCaps/>
      <w:u w:val="single"/>
    </w:rPr>
  </w:style>
  <w:style w:type="character" w:styleId="BookTitle">
    <w:name w:val="Book Title"/>
    <w:basedOn w:val="DefaultParagraphFont"/>
    <w:uiPriority w:val="33"/>
    <w:qFormat/>
    <w:rsid w:val="00067250"/>
    <w:rPr>
      <w:b/>
      <w:bCs/>
      <w:smallCaps/>
    </w:rPr>
  </w:style>
  <w:style w:type="paragraph" w:styleId="TOCHeading">
    <w:name w:val="TOC Heading"/>
    <w:basedOn w:val="Heading1"/>
    <w:next w:val="Normal"/>
    <w:uiPriority w:val="39"/>
    <w:semiHidden/>
    <w:unhideWhenUsed/>
    <w:qFormat/>
    <w:rsid w:val="00067250"/>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74C80" w:themeColor="accent1" w:themeShade="BF"/>
    </w:rPr>
    <w:tblPr>
      <w:tblStyleRowBandSize w:val="1"/>
      <w:tblStyleColBandSize w:val="1"/>
      <w:tblBorders>
        <w:top w:val="single" w:sz="8" w:space="0" w:color="4A66AC" w:themeColor="accent1"/>
        <w:bottom w:val="single" w:sz="8" w:space="0" w:color="4A66AC" w:themeColor="accent1"/>
      </w:tblBorders>
    </w:tblPr>
    <w:tblStylePr w:type="firstRow">
      <w:pPr>
        <w:spacing w:before="0" w:after="0" w:line="240" w:lineRule="auto"/>
      </w:pPr>
      <w:rPr>
        <w:b/>
        <w:bCs/>
      </w:rPr>
      <w:tblPr/>
      <w:tcPr>
        <w:tcBorders>
          <w:top w:val="single" w:sz="8" w:space="0" w:color="4A66AC" w:themeColor="accent1"/>
          <w:left w:val="nil"/>
          <w:bottom w:val="single" w:sz="8" w:space="0" w:color="4A66AC" w:themeColor="accent1"/>
          <w:right w:val="nil"/>
          <w:insideH w:val="nil"/>
          <w:insideV w:val="nil"/>
        </w:tcBorders>
      </w:tcPr>
    </w:tblStylePr>
    <w:tblStylePr w:type="lastRow">
      <w:pPr>
        <w:spacing w:before="0" w:after="0" w:line="240" w:lineRule="auto"/>
      </w:pPr>
      <w:rPr>
        <w:b/>
        <w:bCs/>
      </w:rPr>
      <w:tblPr/>
      <w:tcPr>
        <w:tcBorders>
          <w:top w:val="single" w:sz="8" w:space="0" w:color="4A66AC" w:themeColor="accent1"/>
          <w:left w:val="nil"/>
          <w:bottom w:val="single" w:sz="8" w:space="0" w:color="4A66A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8EB" w:themeFill="accent1" w:themeFillTint="3F"/>
      </w:tcPr>
    </w:tblStylePr>
    <w:tblStylePr w:type="band1Horz">
      <w:tblPr/>
      <w:tcPr>
        <w:tcBorders>
          <w:left w:val="nil"/>
          <w:right w:val="nil"/>
          <w:insideH w:val="nil"/>
          <w:insideV w:val="nil"/>
        </w:tcBorders>
        <w:shd w:val="clear" w:color="auto" w:fill="D1D8EB" w:themeFill="accent1" w:themeFillTint="3F"/>
      </w:tcPr>
    </w:tblStylePr>
  </w:style>
  <w:style w:type="table" w:styleId="LightShading-Accent2">
    <w:name w:val="Light Shading Accent 2"/>
    <w:basedOn w:val="TableNormal"/>
    <w:uiPriority w:val="60"/>
    <w:rsid w:val="00FC693F"/>
    <w:pPr>
      <w:spacing w:after="0" w:line="240" w:lineRule="auto"/>
    </w:pPr>
    <w:rPr>
      <w:color w:val="3476B1" w:themeColor="accent2" w:themeShade="BF"/>
    </w:rPr>
    <w:tblPr>
      <w:tblStyleRowBandSize w:val="1"/>
      <w:tblStyleColBandSize w:val="1"/>
      <w:tblBorders>
        <w:top w:val="single" w:sz="8" w:space="0" w:color="629DD1" w:themeColor="accent2"/>
        <w:bottom w:val="single" w:sz="8" w:space="0" w:color="629DD1" w:themeColor="accent2"/>
      </w:tblBorders>
    </w:tblPr>
    <w:tblStylePr w:type="firstRow">
      <w:pPr>
        <w:spacing w:before="0" w:after="0" w:line="240" w:lineRule="auto"/>
      </w:pPr>
      <w:rPr>
        <w:b/>
        <w:bCs/>
      </w:rPr>
      <w:tblPr/>
      <w:tcPr>
        <w:tcBorders>
          <w:top w:val="single" w:sz="8" w:space="0" w:color="629DD1" w:themeColor="accent2"/>
          <w:left w:val="nil"/>
          <w:bottom w:val="single" w:sz="8" w:space="0" w:color="629DD1" w:themeColor="accent2"/>
          <w:right w:val="nil"/>
          <w:insideH w:val="nil"/>
          <w:insideV w:val="nil"/>
        </w:tcBorders>
      </w:tcPr>
    </w:tblStylePr>
    <w:tblStylePr w:type="lastRow">
      <w:pPr>
        <w:spacing w:before="0" w:after="0" w:line="240" w:lineRule="auto"/>
      </w:pPr>
      <w:rPr>
        <w:b/>
        <w:bCs/>
      </w:rPr>
      <w:tblPr/>
      <w:tcPr>
        <w:tcBorders>
          <w:top w:val="single" w:sz="8" w:space="0" w:color="629DD1" w:themeColor="accent2"/>
          <w:left w:val="nil"/>
          <w:bottom w:val="single" w:sz="8" w:space="0" w:color="629DD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E6F3" w:themeFill="accent2" w:themeFillTint="3F"/>
      </w:tcPr>
    </w:tblStylePr>
    <w:tblStylePr w:type="band1Horz">
      <w:tblPr/>
      <w:tcPr>
        <w:tcBorders>
          <w:left w:val="nil"/>
          <w:right w:val="nil"/>
          <w:insideH w:val="nil"/>
          <w:insideV w:val="nil"/>
        </w:tcBorders>
        <w:shd w:val="clear" w:color="auto" w:fill="D8E6F3" w:themeFill="accent2" w:themeFillTint="3F"/>
      </w:tcPr>
    </w:tblStylePr>
  </w:style>
  <w:style w:type="table" w:styleId="LightShading-Accent3">
    <w:name w:val="Light Shading Accent 3"/>
    <w:basedOn w:val="TableNormal"/>
    <w:uiPriority w:val="60"/>
    <w:rsid w:val="00FC693F"/>
    <w:pPr>
      <w:spacing w:after="0" w:line="240" w:lineRule="auto"/>
    </w:pPr>
    <w:rPr>
      <w:color w:val="1E5E9F" w:themeColor="accent3" w:themeShade="BF"/>
    </w:rPr>
    <w:tblPr>
      <w:tblStyleRowBandSize w:val="1"/>
      <w:tblStyleColBandSize w:val="1"/>
      <w:tblBorders>
        <w:top w:val="single" w:sz="8" w:space="0" w:color="297FD5" w:themeColor="accent3"/>
        <w:bottom w:val="single" w:sz="8" w:space="0" w:color="297FD5" w:themeColor="accent3"/>
      </w:tblBorders>
    </w:tblPr>
    <w:tblStylePr w:type="firstRow">
      <w:pPr>
        <w:spacing w:before="0" w:after="0" w:line="240" w:lineRule="auto"/>
      </w:pPr>
      <w:rPr>
        <w:b/>
        <w:bCs/>
      </w:rPr>
      <w:tblPr/>
      <w:tcPr>
        <w:tcBorders>
          <w:top w:val="single" w:sz="8" w:space="0" w:color="297FD5" w:themeColor="accent3"/>
          <w:left w:val="nil"/>
          <w:bottom w:val="single" w:sz="8" w:space="0" w:color="297FD5" w:themeColor="accent3"/>
          <w:right w:val="nil"/>
          <w:insideH w:val="nil"/>
          <w:insideV w:val="nil"/>
        </w:tcBorders>
      </w:tcPr>
    </w:tblStylePr>
    <w:tblStylePr w:type="lastRow">
      <w:pPr>
        <w:spacing w:before="0" w:after="0" w:line="240" w:lineRule="auto"/>
      </w:pPr>
      <w:rPr>
        <w:b/>
        <w:bCs/>
      </w:rPr>
      <w:tblPr/>
      <w:tcPr>
        <w:tcBorders>
          <w:top w:val="single" w:sz="8" w:space="0" w:color="297FD5" w:themeColor="accent3"/>
          <w:left w:val="nil"/>
          <w:bottom w:val="single" w:sz="8" w:space="0" w:color="297FD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DFF4" w:themeFill="accent3" w:themeFillTint="3F"/>
      </w:tcPr>
    </w:tblStylePr>
    <w:tblStylePr w:type="band1Horz">
      <w:tblPr/>
      <w:tcPr>
        <w:tcBorders>
          <w:left w:val="nil"/>
          <w:right w:val="nil"/>
          <w:insideH w:val="nil"/>
          <w:insideV w:val="nil"/>
        </w:tcBorders>
        <w:shd w:val="clear" w:color="auto" w:fill="C9DFF4" w:themeFill="accent3" w:themeFillTint="3F"/>
      </w:tcPr>
    </w:tblStylePr>
  </w:style>
  <w:style w:type="table" w:styleId="LightShading-Accent4">
    <w:name w:val="Light Shading Accent 4"/>
    <w:basedOn w:val="TableNormal"/>
    <w:uiPriority w:val="60"/>
    <w:rsid w:val="00FC693F"/>
    <w:pPr>
      <w:spacing w:after="0" w:line="240" w:lineRule="auto"/>
    </w:pPr>
    <w:rPr>
      <w:color w:val="596984" w:themeColor="accent4" w:themeShade="BF"/>
    </w:rPr>
    <w:tblPr>
      <w:tblStyleRowBandSize w:val="1"/>
      <w:tblStyleColBandSize w:val="1"/>
      <w:tblBorders>
        <w:top w:val="single" w:sz="8" w:space="0" w:color="7F8FA9" w:themeColor="accent4"/>
        <w:bottom w:val="single" w:sz="8" w:space="0" w:color="7F8FA9" w:themeColor="accent4"/>
      </w:tblBorders>
    </w:tblPr>
    <w:tblStylePr w:type="firstRow">
      <w:pPr>
        <w:spacing w:before="0" w:after="0" w:line="240" w:lineRule="auto"/>
      </w:pPr>
      <w:rPr>
        <w:b/>
        <w:bCs/>
      </w:rPr>
      <w:tblPr/>
      <w:tcPr>
        <w:tcBorders>
          <w:top w:val="single" w:sz="8" w:space="0" w:color="7F8FA9" w:themeColor="accent4"/>
          <w:left w:val="nil"/>
          <w:bottom w:val="single" w:sz="8" w:space="0" w:color="7F8FA9" w:themeColor="accent4"/>
          <w:right w:val="nil"/>
          <w:insideH w:val="nil"/>
          <w:insideV w:val="nil"/>
        </w:tcBorders>
      </w:tcPr>
    </w:tblStylePr>
    <w:tblStylePr w:type="lastRow">
      <w:pPr>
        <w:spacing w:before="0" w:after="0" w:line="240" w:lineRule="auto"/>
      </w:pPr>
      <w:rPr>
        <w:b/>
        <w:bCs/>
      </w:rPr>
      <w:tblPr/>
      <w:tcPr>
        <w:tcBorders>
          <w:top w:val="single" w:sz="8" w:space="0" w:color="7F8FA9" w:themeColor="accent4"/>
          <w:left w:val="nil"/>
          <w:bottom w:val="single" w:sz="8" w:space="0" w:color="7F8FA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3E9" w:themeFill="accent4" w:themeFillTint="3F"/>
      </w:tcPr>
    </w:tblStylePr>
    <w:tblStylePr w:type="band1Horz">
      <w:tblPr/>
      <w:tcPr>
        <w:tcBorders>
          <w:left w:val="nil"/>
          <w:right w:val="nil"/>
          <w:insideH w:val="nil"/>
          <w:insideV w:val="nil"/>
        </w:tcBorders>
        <w:shd w:val="clear" w:color="auto" w:fill="DFE3E9" w:themeFill="accent4" w:themeFillTint="3F"/>
      </w:tcPr>
    </w:tblStylePr>
  </w:style>
  <w:style w:type="table" w:styleId="LightShading-Accent5">
    <w:name w:val="Light Shading Accent 5"/>
    <w:basedOn w:val="TableNormal"/>
    <w:uiPriority w:val="60"/>
    <w:rsid w:val="00FC693F"/>
    <w:pPr>
      <w:spacing w:after="0" w:line="240" w:lineRule="auto"/>
    </w:pPr>
    <w:rPr>
      <w:color w:val="417A84" w:themeColor="accent5" w:themeShade="BF"/>
    </w:rPr>
    <w:tblPr>
      <w:tblStyleRowBandSize w:val="1"/>
      <w:tblStyleColBandSize w:val="1"/>
      <w:tblBorders>
        <w:top w:val="single" w:sz="8" w:space="0" w:color="5AA2AE" w:themeColor="accent5"/>
        <w:bottom w:val="single" w:sz="8" w:space="0" w:color="5AA2AE" w:themeColor="accent5"/>
      </w:tblBorders>
    </w:tblPr>
    <w:tblStylePr w:type="firstRow">
      <w:pPr>
        <w:spacing w:before="0" w:after="0" w:line="240" w:lineRule="auto"/>
      </w:pPr>
      <w:rPr>
        <w:b/>
        <w:bCs/>
      </w:rPr>
      <w:tblPr/>
      <w:tcPr>
        <w:tcBorders>
          <w:top w:val="single" w:sz="8" w:space="0" w:color="5AA2AE" w:themeColor="accent5"/>
          <w:left w:val="nil"/>
          <w:bottom w:val="single" w:sz="8" w:space="0" w:color="5AA2AE" w:themeColor="accent5"/>
          <w:right w:val="nil"/>
          <w:insideH w:val="nil"/>
          <w:insideV w:val="nil"/>
        </w:tcBorders>
      </w:tcPr>
    </w:tblStylePr>
    <w:tblStylePr w:type="lastRow">
      <w:pPr>
        <w:spacing w:before="0" w:after="0" w:line="240" w:lineRule="auto"/>
      </w:pPr>
      <w:rPr>
        <w:b/>
        <w:bCs/>
      </w:rPr>
      <w:tblPr/>
      <w:tcPr>
        <w:tcBorders>
          <w:top w:val="single" w:sz="8" w:space="0" w:color="5AA2AE" w:themeColor="accent5"/>
          <w:left w:val="nil"/>
          <w:bottom w:val="single" w:sz="8" w:space="0" w:color="5AA2A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7EB" w:themeFill="accent5" w:themeFillTint="3F"/>
      </w:tcPr>
    </w:tblStylePr>
    <w:tblStylePr w:type="band1Horz">
      <w:tblPr/>
      <w:tcPr>
        <w:tcBorders>
          <w:left w:val="nil"/>
          <w:right w:val="nil"/>
          <w:insideH w:val="nil"/>
          <w:insideV w:val="nil"/>
        </w:tcBorders>
        <w:shd w:val="clear" w:color="auto" w:fill="D6E7EB" w:themeFill="accent5" w:themeFillTint="3F"/>
      </w:tcPr>
    </w:tblStylePr>
  </w:style>
  <w:style w:type="table" w:styleId="LightShading-Accent6">
    <w:name w:val="Light Shading Accent 6"/>
    <w:basedOn w:val="TableNormal"/>
    <w:uiPriority w:val="60"/>
    <w:rsid w:val="00FC693F"/>
    <w:pPr>
      <w:spacing w:after="0" w:line="240" w:lineRule="auto"/>
    </w:pPr>
    <w:rPr>
      <w:color w:val="77697A" w:themeColor="accent6" w:themeShade="BF"/>
    </w:rPr>
    <w:tblPr>
      <w:tblStyleRowBandSize w:val="1"/>
      <w:tblStyleColBandSize w:val="1"/>
      <w:tblBorders>
        <w:top w:val="single" w:sz="8" w:space="0" w:color="9D90A0" w:themeColor="accent6"/>
        <w:bottom w:val="single" w:sz="8" w:space="0" w:color="9D90A0" w:themeColor="accent6"/>
      </w:tblBorders>
    </w:tblPr>
    <w:tblStylePr w:type="firstRow">
      <w:pPr>
        <w:spacing w:before="0" w:after="0" w:line="240" w:lineRule="auto"/>
      </w:pPr>
      <w:rPr>
        <w:b/>
        <w:bCs/>
      </w:rPr>
      <w:tblPr/>
      <w:tcPr>
        <w:tcBorders>
          <w:top w:val="single" w:sz="8" w:space="0" w:color="9D90A0" w:themeColor="accent6"/>
          <w:left w:val="nil"/>
          <w:bottom w:val="single" w:sz="8" w:space="0" w:color="9D90A0" w:themeColor="accent6"/>
          <w:right w:val="nil"/>
          <w:insideH w:val="nil"/>
          <w:insideV w:val="nil"/>
        </w:tcBorders>
      </w:tcPr>
    </w:tblStylePr>
    <w:tblStylePr w:type="lastRow">
      <w:pPr>
        <w:spacing w:before="0" w:after="0" w:line="240" w:lineRule="auto"/>
      </w:pPr>
      <w:rPr>
        <w:b/>
        <w:bCs/>
      </w:rPr>
      <w:tblPr/>
      <w:tcPr>
        <w:tcBorders>
          <w:top w:val="single" w:sz="8" w:space="0" w:color="9D90A0" w:themeColor="accent6"/>
          <w:left w:val="nil"/>
          <w:bottom w:val="single" w:sz="8" w:space="0" w:color="9D90A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3E7" w:themeFill="accent6" w:themeFillTint="3F"/>
      </w:tcPr>
    </w:tblStylePr>
    <w:tblStylePr w:type="band1Horz">
      <w:tblPr/>
      <w:tcPr>
        <w:tcBorders>
          <w:left w:val="nil"/>
          <w:right w:val="nil"/>
          <w:insideH w:val="nil"/>
          <w:insideV w:val="nil"/>
        </w:tcBorders>
        <w:shd w:val="clear" w:color="auto" w:fill="E6E3E7"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tblBorders>
    </w:tblPr>
    <w:tblStylePr w:type="firstRow">
      <w:pPr>
        <w:spacing w:before="0" w:after="0" w:line="240" w:lineRule="auto"/>
      </w:pPr>
      <w:rPr>
        <w:b/>
        <w:bCs/>
        <w:color w:val="FFFFFF" w:themeColor="background1"/>
      </w:rPr>
      <w:tblPr/>
      <w:tcPr>
        <w:shd w:val="clear" w:color="auto" w:fill="4A66AC" w:themeFill="accent1"/>
      </w:tcPr>
    </w:tblStylePr>
    <w:tblStylePr w:type="lastRow">
      <w:pPr>
        <w:spacing w:before="0" w:after="0" w:line="240" w:lineRule="auto"/>
      </w:pPr>
      <w:rPr>
        <w:b/>
        <w:bCs/>
      </w:rPr>
      <w:tblPr/>
      <w:tcPr>
        <w:tcBorders>
          <w:top w:val="double" w:sz="6" w:space="0" w:color="4A66AC" w:themeColor="accent1"/>
          <w:left w:val="single" w:sz="8" w:space="0" w:color="4A66AC" w:themeColor="accent1"/>
          <w:bottom w:val="single" w:sz="8" w:space="0" w:color="4A66AC" w:themeColor="accent1"/>
          <w:right w:val="single" w:sz="8" w:space="0" w:color="4A66AC" w:themeColor="accent1"/>
        </w:tcBorders>
      </w:tcPr>
    </w:tblStylePr>
    <w:tblStylePr w:type="firstCol">
      <w:rPr>
        <w:b/>
        <w:bCs/>
      </w:rPr>
    </w:tblStylePr>
    <w:tblStylePr w:type="lastCol">
      <w:rPr>
        <w:b/>
        <w:bCs/>
      </w:rPr>
    </w:tblStylePr>
    <w:tblStylePr w:type="band1Vert">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tblStylePr w:type="band1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tblBorders>
    </w:tblPr>
    <w:tblStylePr w:type="firstRow">
      <w:pPr>
        <w:spacing w:before="0" w:after="0" w:line="240" w:lineRule="auto"/>
      </w:pPr>
      <w:rPr>
        <w:b/>
        <w:bCs/>
        <w:color w:val="FFFFFF" w:themeColor="background1"/>
      </w:rPr>
      <w:tblPr/>
      <w:tcPr>
        <w:shd w:val="clear" w:color="auto" w:fill="629DD1" w:themeFill="accent2"/>
      </w:tcPr>
    </w:tblStylePr>
    <w:tblStylePr w:type="lastRow">
      <w:pPr>
        <w:spacing w:before="0" w:after="0" w:line="240" w:lineRule="auto"/>
      </w:pPr>
      <w:rPr>
        <w:b/>
        <w:bCs/>
      </w:rPr>
      <w:tblPr/>
      <w:tcPr>
        <w:tcBorders>
          <w:top w:val="double" w:sz="6" w:space="0" w:color="629DD1" w:themeColor="accent2"/>
          <w:left w:val="single" w:sz="8" w:space="0" w:color="629DD1" w:themeColor="accent2"/>
          <w:bottom w:val="single" w:sz="8" w:space="0" w:color="629DD1" w:themeColor="accent2"/>
          <w:right w:val="single" w:sz="8" w:space="0" w:color="629DD1" w:themeColor="accent2"/>
        </w:tcBorders>
      </w:tcPr>
    </w:tblStylePr>
    <w:tblStylePr w:type="firstCol">
      <w:rPr>
        <w:b/>
        <w:bCs/>
      </w:rPr>
    </w:tblStylePr>
    <w:tblStylePr w:type="lastCol">
      <w:rPr>
        <w:b/>
        <w:bCs/>
      </w:rPr>
    </w:tblStylePr>
    <w:tblStylePr w:type="band1Vert">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tblStylePr w:type="band1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tblBorders>
    </w:tblPr>
    <w:tblStylePr w:type="firstRow">
      <w:pPr>
        <w:spacing w:before="0" w:after="0" w:line="240" w:lineRule="auto"/>
      </w:pPr>
      <w:rPr>
        <w:b/>
        <w:bCs/>
        <w:color w:val="FFFFFF" w:themeColor="background1"/>
      </w:rPr>
      <w:tblPr/>
      <w:tcPr>
        <w:shd w:val="clear" w:color="auto" w:fill="297FD5" w:themeFill="accent3"/>
      </w:tcPr>
    </w:tblStylePr>
    <w:tblStylePr w:type="lastRow">
      <w:pPr>
        <w:spacing w:before="0" w:after="0" w:line="240" w:lineRule="auto"/>
      </w:pPr>
      <w:rPr>
        <w:b/>
        <w:bCs/>
      </w:rPr>
      <w:tblPr/>
      <w:tcPr>
        <w:tcBorders>
          <w:top w:val="double" w:sz="6" w:space="0" w:color="297FD5" w:themeColor="accent3"/>
          <w:left w:val="single" w:sz="8" w:space="0" w:color="297FD5" w:themeColor="accent3"/>
          <w:bottom w:val="single" w:sz="8" w:space="0" w:color="297FD5" w:themeColor="accent3"/>
          <w:right w:val="single" w:sz="8" w:space="0" w:color="297FD5" w:themeColor="accent3"/>
        </w:tcBorders>
      </w:tcPr>
    </w:tblStylePr>
    <w:tblStylePr w:type="firstCol">
      <w:rPr>
        <w:b/>
        <w:bCs/>
      </w:rPr>
    </w:tblStylePr>
    <w:tblStylePr w:type="lastCol">
      <w:rPr>
        <w:b/>
        <w:bCs/>
      </w:rPr>
    </w:tblStylePr>
    <w:tblStylePr w:type="band1Vert">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tblStylePr w:type="band1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tblBorders>
    </w:tblPr>
    <w:tblStylePr w:type="firstRow">
      <w:pPr>
        <w:spacing w:before="0" w:after="0" w:line="240" w:lineRule="auto"/>
      </w:pPr>
      <w:rPr>
        <w:b/>
        <w:bCs/>
        <w:color w:val="FFFFFF" w:themeColor="background1"/>
      </w:rPr>
      <w:tblPr/>
      <w:tcPr>
        <w:shd w:val="clear" w:color="auto" w:fill="7F8FA9" w:themeFill="accent4"/>
      </w:tcPr>
    </w:tblStylePr>
    <w:tblStylePr w:type="lastRow">
      <w:pPr>
        <w:spacing w:before="0" w:after="0" w:line="240" w:lineRule="auto"/>
      </w:pPr>
      <w:rPr>
        <w:b/>
        <w:bCs/>
      </w:rPr>
      <w:tblPr/>
      <w:tcPr>
        <w:tcBorders>
          <w:top w:val="double" w:sz="6" w:space="0" w:color="7F8FA9" w:themeColor="accent4"/>
          <w:left w:val="single" w:sz="8" w:space="0" w:color="7F8FA9" w:themeColor="accent4"/>
          <w:bottom w:val="single" w:sz="8" w:space="0" w:color="7F8FA9" w:themeColor="accent4"/>
          <w:right w:val="single" w:sz="8" w:space="0" w:color="7F8FA9" w:themeColor="accent4"/>
        </w:tcBorders>
      </w:tcPr>
    </w:tblStylePr>
    <w:tblStylePr w:type="firstCol">
      <w:rPr>
        <w:b/>
        <w:bCs/>
      </w:rPr>
    </w:tblStylePr>
    <w:tblStylePr w:type="lastCol">
      <w:rPr>
        <w:b/>
        <w:bCs/>
      </w:rPr>
    </w:tblStylePr>
    <w:tblStylePr w:type="band1Vert">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tblStylePr w:type="band1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tblBorders>
    </w:tblPr>
    <w:tblStylePr w:type="firstRow">
      <w:pPr>
        <w:spacing w:before="0" w:after="0" w:line="240" w:lineRule="auto"/>
      </w:pPr>
      <w:rPr>
        <w:b/>
        <w:bCs/>
        <w:color w:val="FFFFFF" w:themeColor="background1"/>
      </w:rPr>
      <w:tblPr/>
      <w:tcPr>
        <w:shd w:val="clear" w:color="auto" w:fill="5AA2AE" w:themeFill="accent5"/>
      </w:tcPr>
    </w:tblStylePr>
    <w:tblStylePr w:type="lastRow">
      <w:pPr>
        <w:spacing w:before="0" w:after="0" w:line="240" w:lineRule="auto"/>
      </w:pPr>
      <w:rPr>
        <w:b/>
        <w:bCs/>
      </w:rPr>
      <w:tblPr/>
      <w:tcPr>
        <w:tcBorders>
          <w:top w:val="double" w:sz="6" w:space="0" w:color="5AA2AE" w:themeColor="accent5"/>
          <w:left w:val="single" w:sz="8" w:space="0" w:color="5AA2AE" w:themeColor="accent5"/>
          <w:bottom w:val="single" w:sz="8" w:space="0" w:color="5AA2AE" w:themeColor="accent5"/>
          <w:right w:val="single" w:sz="8" w:space="0" w:color="5AA2AE" w:themeColor="accent5"/>
        </w:tcBorders>
      </w:tcPr>
    </w:tblStylePr>
    <w:tblStylePr w:type="firstCol">
      <w:rPr>
        <w:b/>
        <w:bCs/>
      </w:rPr>
    </w:tblStylePr>
    <w:tblStylePr w:type="lastCol">
      <w:rPr>
        <w:b/>
        <w:bCs/>
      </w:rPr>
    </w:tblStylePr>
    <w:tblStylePr w:type="band1Vert">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tblStylePr w:type="band1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tblBorders>
    </w:tblPr>
    <w:tblStylePr w:type="firstRow">
      <w:pPr>
        <w:spacing w:before="0" w:after="0" w:line="240" w:lineRule="auto"/>
      </w:pPr>
      <w:rPr>
        <w:b/>
        <w:bCs/>
        <w:color w:val="FFFFFF" w:themeColor="background1"/>
      </w:rPr>
      <w:tblPr/>
      <w:tcPr>
        <w:shd w:val="clear" w:color="auto" w:fill="9D90A0" w:themeFill="accent6"/>
      </w:tcPr>
    </w:tblStylePr>
    <w:tblStylePr w:type="lastRow">
      <w:pPr>
        <w:spacing w:before="0" w:after="0" w:line="240" w:lineRule="auto"/>
      </w:pPr>
      <w:rPr>
        <w:b/>
        <w:bCs/>
      </w:rPr>
      <w:tblPr/>
      <w:tcPr>
        <w:tcBorders>
          <w:top w:val="double" w:sz="6" w:space="0" w:color="9D90A0" w:themeColor="accent6"/>
          <w:left w:val="single" w:sz="8" w:space="0" w:color="9D90A0" w:themeColor="accent6"/>
          <w:bottom w:val="single" w:sz="8" w:space="0" w:color="9D90A0" w:themeColor="accent6"/>
          <w:right w:val="single" w:sz="8" w:space="0" w:color="9D90A0" w:themeColor="accent6"/>
        </w:tcBorders>
      </w:tcPr>
    </w:tblStylePr>
    <w:tblStylePr w:type="firstCol">
      <w:rPr>
        <w:b/>
        <w:bCs/>
      </w:rPr>
    </w:tblStylePr>
    <w:tblStylePr w:type="lastCol">
      <w:rPr>
        <w:b/>
        <w:bCs/>
      </w:rPr>
    </w:tblStylePr>
    <w:tblStylePr w:type="band1Vert">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tblStylePr w:type="band1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insideH w:val="single" w:sz="8" w:space="0" w:color="4A66AC" w:themeColor="accent1"/>
        <w:insideV w:val="single" w:sz="8" w:space="0" w:color="4A66A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A66AC" w:themeColor="accent1"/>
          <w:left w:val="single" w:sz="8" w:space="0" w:color="4A66AC" w:themeColor="accent1"/>
          <w:bottom w:val="single" w:sz="18" w:space="0" w:color="4A66AC" w:themeColor="accent1"/>
          <w:right w:val="single" w:sz="8" w:space="0" w:color="4A66AC" w:themeColor="accent1"/>
          <w:insideH w:val="nil"/>
          <w:insideV w:val="single" w:sz="8" w:space="0" w:color="4A66A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A66AC" w:themeColor="accent1"/>
          <w:left w:val="single" w:sz="8" w:space="0" w:color="4A66AC" w:themeColor="accent1"/>
          <w:bottom w:val="single" w:sz="8" w:space="0" w:color="4A66AC" w:themeColor="accent1"/>
          <w:right w:val="single" w:sz="8" w:space="0" w:color="4A66AC" w:themeColor="accent1"/>
          <w:insideH w:val="nil"/>
          <w:insideV w:val="single" w:sz="8" w:space="0" w:color="4A66A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tblStylePr w:type="band1Vert">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shd w:val="clear" w:color="auto" w:fill="D1D8EB" w:themeFill="accent1" w:themeFillTint="3F"/>
      </w:tcPr>
    </w:tblStylePr>
    <w:tblStylePr w:type="band1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insideV w:val="single" w:sz="8" w:space="0" w:color="4A66AC" w:themeColor="accent1"/>
        </w:tcBorders>
        <w:shd w:val="clear" w:color="auto" w:fill="D1D8EB" w:themeFill="accent1" w:themeFillTint="3F"/>
      </w:tcPr>
    </w:tblStylePr>
    <w:tblStylePr w:type="band2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insideV w:val="single" w:sz="8" w:space="0" w:color="4A66AC"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insideH w:val="single" w:sz="8" w:space="0" w:color="629DD1" w:themeColor="accent2"/>
        <w:insideV w:val="single" w:sz="8" w:space="0" w:color="629DD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29DD1" w:themeColor="accent2"/>
          <w:left w:val="single" w:sz="8" w:space="0" w:color="629DD1" w:themeColor="accent2"/>
          <w:bottom w:val="single" w:sz="18" w:space="0" w:color="629DD1" w:themeColor="accent2"/>
          <w:right w:val="single" w:sz="8" w:space="0" w:color="629DD1" w:themeColor="accent2"/>
          <w:insideH w:val="nil"/>
          <w:insideV w:val="single" w:sz="8" w:space="0" w:color="629DD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29DD1" w:themeColor="accent2"/>
          <w:left w:val="single" w:sz="8" w:space="0" w:color="629DD1" w:themeColor="accent2"/>
          <w:bottom w:val="single" w:sz="8" w:space="0" w:color="629DD1" w:themeColor="accent2"/>
          <w:right w:val="single" w:sz="8" w:space="0" w:color="629DD1" w:themeColor="accent2"/>
          <w:insideH w:val="nil"/>
          <w:insideV w:val="single" w:sz="8" w:space="0" w:color="629DD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tblStylePr w:type="band1Vert">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shd w:val="clear" w:color="auto" w:fill="D8E6F3" w:themeFill="accent2" w:themeFillTint="3F"/>
      </w:tcPr>
    </w:tblStylePr>
    <w:tblStylePr w:type="band1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insideV w:val="single" w:sz="8" w:space="0" w:color="629DD1" w:themeColor="accent2"/>
        </w:tcBorders>
        <w:shd w:val="clear" w:color="auto" w:fill="D8E6F3" w:themeFill="accent2" w:themeFillTint="3F"/>
      </w:tcPr>
    </w:tblStylePr>
    <w:tblStylePr w:type="band2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insideV w:val="single" w:sz="8" w:space="0" w:color="629DD1"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insideH w:val="single" w:sz="8" w:space="0" w:color="297FD5" w:themeColor="accent3"/>
        <w:insideV w:val="single" w:sz="8" w:space="0" w:color="297FD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97FD5" w:themeColor="accent3"/>
          <w:left w:val="single" w:sz="8" w:space="0" w:color="297FD5" w:themeColor="accent3"/>
          <w:bottom w:val="single" w:sz="18" w:space="0" w:color="297FD5" w:themeColor="accent3"/>
          <w:right w:val="single" w:sz="8" w:space="0" w:color="297FD5" w:themeColor="accent3"/>
          <w:insideH w:val="nil"/>
          <w:insideV w:val="single" w:sz="8" w:space="0" w:color="297FD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97FD5" w:themeColor="accent3"/>
          <w:left w:val="single" w:sz="8" w:space="0" w:color="297FD5" w:themeColor="accent3"/>
          <w:bottom w:val="single" w:sz="8" w:space="0" w:color="297FD5" w:themeColor="accent3"/>
          <w:right w:val="single" w:sz="8" w:space="0" w:color="297FD5" w:themeColor="accent3"/>
          <w:insideH w:val="nil"/>
          <w:insideV w:val="single" w:sz="8" w:space="0" w:color="297FD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tblStylePr w:type="band1Vert">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shd w:val="clear" w:color="auto" w:fill="C9DFF4" w:themeFill="accent3" w:themeFillTint="3F"/>
      </w:tcPr>
    </w:tblStylePr>
    <w:tblStylePr w:type="band1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insideV w:val="single" w:sz="8" w:space="0" w:color="297FD5" w:themeColor="accent3"/>
        </w:tcBorders>
        <w:shd w:val="clear" w:color="auto" w:fill="C9DFF4" w:themeFill="accent3" w:themeFillTint="3F"/>
      </w:tcPr>
    </w:tblStylePr>
    <w:tblStylePr w:type="band2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insideV w:val="single" w:sz="8" w:space="0" w:color="297FD5"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insideH w:val="single" w:sz="8" w:space="0" w:color="7F8FA9" w:themeColor="accent4"/>
        <w:insideV w:val="single" w:sz="8" w:space="0" w:color="7F8FA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F8FA9" w:themeColor="accent4"/>
          <w:left w:val="single" w:sz="8" w:space="0" w:color="7F8FA9" w:themeColor="accent4"/>
          <w:bottom w:val="single" w:sz="18" w:space="0" w:color="7F8FA9" w:themeColor="accent4"/>
          <w:right w:val="single" w:sz="8" w:space="0" w:color="7F8FA9" w:themeColor="accent4"/>
          <w:insideH w:val="nil"/>
          <w:insideV w:val="single" w:sz="8" w:space="0" w:color="7F8FA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F8FA9" w:themeColor="accent4"/>
          <w:left w:val="single" w:sz="8" w:space="0" w:color="7F8FA9" w:themeColor="accent4"/>
          <w:bottom w:val="single" w:sz="8" w:space="0" w:color="7F8FA9" w:themeColor="accent4"/>
          <w:right w:val="single" w:sz="8" w:space="0" w:color="7F8FA9" w:themeColor="accent4"/>
          <w:insideH w:val="nil"/>
          <w:insideV w:val="single" w:sz="8" w:space="0" w:color="7F8FA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tblStylePr w:type="band1Vert">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shd w:val="clear" w:color="auto" w:fill="DFE3E9" w:themeFill="accent4" w:themeFillTint="3F"/>
      </w:tcPr>
    </w:tblStylePr>
    <w:tblStylePr w:type="band1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insideV w:val="single" w:sz="8" w:space="0" w:color="7F8FA9" w:themeColor="accent4"/>
        </w:tcBorders>
        <w:shd w:val="clear" w:color="auto" w:fill="DFE3E9" w:themeFill="accent4" w:themeFillTint="3F"/>
      </w:tcPr>
    </w:tblStylePr>
    <w:tblStylePr w:type="band2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insideV w:val="single" w:sz="8" w:space="0" w:color="7F8FA9"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insideH w:val="single" w:sz="8" w:space="0" w:color="5AA2AE" w:themeColor="accent5"/>
        <w:insideV w:val="single" w:sz="8" w:space="0" w:color="5AA2AE"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AA2AE" w:themeColor="accent5"/>
          <w:left w:val="single" w:sz="8" w:space="0" w:color="5AA2AE" w:themeColor="accent5"/>
          <w:bottom w:val="single" w:sz="18" w:space="0" w:color="5AA2AE" w:themeColor="accent5"/>
          <w:right w:val="single" w:sz="8" w:space="0" w:color="5AA2AE" w:themeColor="accent5"/>
          <w:insideH w:val="nil"/>
          <w:insideV w:val="single" w:sz="8" w:space="0" w:color="5AA2AE"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AA2AE" w:themeColor="accent5"/>
          <w:left w:val="single" w:sz="8" w:space="0" w:color="5AA2AE" w:themeColor="accent5"/>
          <w:bottom w:val="single" w:sz="8" w:space="0" w:color="5AA2AE" w:themeColor="accent5"/>
          <w:right w:val="single" w:sz="8" w:space="0" w:color="5AA2AE" w:themeColor="accent5"/>
          <w:insideH w:val="nil"/>
          <w:insideV w:val="single" w:sz="8" w:space="0" w:color="5AA2AE"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tblStylePr w:type="band1Vert">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shd w:val="clear" w:color="auto" w:fill="D6E7EB" w:themeFill="accent5" w:themeFillTint="3F"/>
      </w:tcPr>
    </w:tblStylePr>
    <w:tblStylePr w:type="band1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insideV w:val="single" w:sz="8" w:space="0" w:color="5AA2AE" w:themeColor="accent5"/>
        </w:tcBorders>
        <w:shd w:val="clear" w:color="auto" w:fill="D6E7EB" w:themeFill="accent5" w:themeFillTint="3F"/>
      </w:tcPr>
    </w:tblStylePr>
    <w:tblStylePr w:type="band2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insideV w:val="single" w:sz="8" w:space="0" w:color="5AA2AE"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insideH w:val="single" w:sz="8" w:space="0" w:color="9D90A0" w:themeColor="accent6"/>
        <w:insideV w:val="single" w:sz="8" w:space="0" w:color="9D90A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D90A0" w:themeColor="accent6"/>
          <w:left w:val="single" w:sz="8" w:space="0" w:color="9D90A0" w:themeColor="accent6"/>
          <w:bottom w:val="single" w:sz="18" w:space="0" w:color="9D90A0" w:themeColor="accent6"/>
          <w:right w:val="single" w:sz="8" w:space="0" w:color="9D90A0" w:themeColor="accent6"/>
          <w:insideH w:val="nil"/>
          <w:insideV w:val="single" w:sz="8" w:space="0" w:color="9D90A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D90A0" w:themeColor="accent6"/>
          <w:left w:val="single" w:sz="8" w:space="0" w:color="9D90A0" w:themeColor="accent6"/>
          <w:bottom w:val="single" w:sz="8" w:space="0" w:color="9D90A0" w:themeColor="accent6"/>
          <w:right w:val="single" w:sz="8" w:space="0" w:color="9D90A0" w:themeColor="accent6"/>
          <w:insideH w:val="nil"/>
          <w:insideV w:val="single" w:sz="8" w:space="0" w:color="9D90A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tblStylePr w:type="band1Vert">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shd w:val="clear" w:color="auto" w:fill="E6E3E7" w:themeFill="accent6" w:themeFillTint="3F"/>
      </w:tcPr>
    </w:tblStylePr>
    <w:tblStylePr w:type="band1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insideV w:val="single" w:sz="8" w:space="0" w:color="9D90A0" w:themeColor="accent6"/>
        </w:tcBorders>
        <w:shd w:val="clear" w:color="auto" w:fill="E6E3E7" w:themeFill="accent6" w:themeFillTint="3F"/>
      </w:tcPr>
    </w:tblStylePr>
    <w:tblStylePr w:type="band2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insideV w:val="single" w:sz="8" w:space="0" w:color="9D90A0"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single" w:sz="8" w:space="0" w:color="748AC3" w:themeColor="accent1" w:themeTint="BF"/>
      </w:tblBorders>
    </w:tblPr>
    <w:tblStylePr w:type="firstRow">
      <w:pPr>
        <w:spacing w:before="0" w:after="0" w:line="240" w:lineRule="auto"/>
      </w:pPr>
      <w:rPr>
        <w:b/>
        <w:bCs/>
        <w:color w:val="FFFFFF" w:themeColor="background1"/>
      </w:rPr>
      <w:tblPr/>
      <w:tcPr>
        <w:tc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nil"/>
          <w:insideV w:val="nil"/>
        </w:tcBorders>
        <w:shd w:val="clear" w:color="auto" w:fill="4A66AC" w:themeFill="accent1"/>
      </w:tcPr>
    </w:tblStylePr>
    <w:tblStylePr w:type="lastRow">
      <w:pPr>
        <w:spacing w:before="0" w:after="0" w:line="240" w:lineRule="auto"/>
      </w:pPr>
      <w:rPr>
        <w:b/>
        <w:bCs/>
      </w:rPr>
      <w:tblPr/>
      <w:tcPr>
        <w:tcBorders>
          <w:top w:val="double" w:sz="6"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D8EB" w:themeFill="accent1" w:themeFillTint="3F"/>
      </w:tcPr>
    </w:tblStylePr>
    <w:tblStylePr w:type="band1Horz">
      <w:tblPr/>
      <w:tcPr>
        <w:tcBorders>
          <w:insideH w:val="nil"/>
          <w:insideV w:val="nil"/>
        </w:tcBorders>
        <w:shd w:val="clear" w:color="auto" w:fill="D1D8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single" w:sz="8" w:space="0" w:color="89B5DC" w:themeColor="accent2" w:themeTint="BF"/>
      </w:tblBorders>
    </w:tblPr>
    <w:tblStylePr w:type="firstRow">
      <w:pPr>
        <w:spacing w:before="0" w:after="0" w:line="240" w:lineRule="auto"/>
      </w:pPr>
      <w:rPr>
        <w:b/>
        <w:bCs/>
        <w:color w:val="FFFFFF" w:themeColor="background1"/>
      </w:rPr>
      <w:tblPr/>
      <w:tcPr>
        <w:tc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nil"/>
          <w:insideV w:val="nil"/>
        </w:tcBorders>
        <w:shd w:val="clear" w:color="auto" w:fill="629DD1" w:themeFill="accent2"/>
      </w:tcPr>
    </w:tblStylePr>
    <w:tblStylePr w:type="lastRow">
      <w:pPr>
        <w:spacing w:before="0" w:after="0" w:line="240" w:lineRule="auto"/>
      </w:pPr>
      <w:rPr>
        <w:b/>
        <w:bCs/>
      </w:rPr>
      <w:tblPr/>
      <w:tcPr>
        <w:tcBorders>
          <w:top w:val="double" w:sz="6"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nil"/>
          <w:insideV w:val="nil"/>
        </w:tcBorders>
      </w:tcPr>
    </w:tblStylePr>
    <w:tblStylePr w:type="firstCol">
      <w:rPr>
        <w:b/>
        <w:bCs/>
      </w:rPr>
    </w:tblStylePr>
    <w:tblStylePr w:type="lastCol">
      <w:rPr>
        <w:b/>
        <w:bCs/>
      </w:rPr>
    </w:tblStylePr>
    <w:tblStylePr w:type="band1Vert">
      <w:tblPr/>
      <w:tcPr>
        <w:shd w:val="clear" w:color="auto" w:fill="D8E6F3" w:themeFill="accent2" w:themeFillTint="3F"/>
      </w:tcPr>
    </w:tblStylePr>
    <w:tblStylePr w:type="band1Horz">
      <w:tblPr/>
      <w:tcPr>
        <w:tcBorders>
          <w:insideH w:val="nil"/>
          <w:insideV w:val="nil"/>
        </w:tcBorders>
        <w:shd w:val="clear" w:color="auto" w:fill="D8E6F3"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single" w:sz="8" w:space="0" w:color="5D9EE0" w:themeColor="accent3" w:themeTint="BF"/>
      </w:tblBorders>
    </w:tblPr>
    <w:tblStylePr w:type="firstRow">
      <w:pPr>
        <w:spacing w:before="0" w:after="0" w:line="240" w:lineRule="auto"/>
      </w:pPr>
      <w:rPr>
        <w:b/>
        <w:bCs/>
        <w:color w:val="FFFFFF" w:themeColor="background1"/>
      </w:rPr>
      <w:tblPr/>
      <w:tcPr>
        <w:tc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nil"/>
          <w:insideV w:val="nil"/>
        </w:tcBorders>
        <w:shd w:val="clear" w:color="auto" w:fill="297FD5" w:themeFill="accent3"/>
      </w:tcPr>
    </w:tblStylePr>
    <w:tblStylePr w:type="lastRow">
      <w:pPr>
        <w:spacing w:before="0" w:after="0" w:line="240" w:lineRule="auto"/>
      </w:pPr>
      <w:rPr>
        <w:b/>
        <w:bCs/>
      </w:rPr>
      <w:tblPr/>
      <w:tcPr>
        <w:tcBorders>
          <w:top w:val="double" w:sz="6"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nil"/>
          <w:insideV w:val="nil"/>
        </w:tcBorders>
      </w:tcPr>
    </w:tblStylePr>
    <w:tblStylePr w:type="firstCol">
      <w:rPr>
        <w:b/>
        <w:bCs/>
      </w:rPr>
    </w:tblStylePr>
    <w:tblStylePr w:type="lastCol">
      <w:rPr>
        <w:b/>
        <w:bCs/>
      </w:rPr>
    </w:tblStylePr>
    <w:tblStylePr w:type="band1Vert">
      <w:tblPr/>
      <w:tcPr>
        <w:shd w:val="clear" w:color="auto" w:fill="C9DFF4" w:themeFill="accent3" w:themeFillTint="3F"/>
      </w:tcPr>
    </w:tblStylePr>
    <w:tblStylePr w:type="band1Horz">
      <w:tblPr/>
      <w:tcPr>
        <w:tcBorders>
          <w:insideH w:val="nil"/>
          <w:insideV w:val="nil"/>
        </w:tcBorders>
        <w:shd w:val="clear" w:color="auto" w:fill="C9DFF4"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single" w:sz="8" w:space="0" w:color="9FABBE" w:themeColor="accent4" w:themeTint="BF"/>
      </w:tblBorders>
    </w:tblPr>
    <w:tblStylePr w:type="firstRow">
      <w:pPr>
        <w:spacing w:before="0" w:after="0" w:line="240" w:lineRule="auto"/>
      </w:pPr>
      <w:rPr>
        <w:b/>
        <w:bCs/>
        <w:color w:val="FFFFFF" w:themeColor="background1"/>
      </w:rPr>
      <w:tblPr/>
      <w:tcPr>
        <w:tc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nil"/>
          <w:insideV w:val="nil"/>
        </w:tcBorders>
        <w:shd w:val="clear" w:color="auto" w:fill="7F8FA9" w:themeFill="accent4"/>
      </w:tcPr>
    </w:tblStylePr>
    <w:tblStylePr w:type="lastRow">
      <w:pPr>
        <w:spacing w:before="0" w:after="0" w:line="240" w:lineRule="auto"/>
      </w:pPr>
      <w:rPr>
        <w:b/>
        <w:bCs/>
      </w:rPr>
      <w:tblPr/>
      <w:tcPr>
        <w:tcBorders>
          <w:top w:val="double" w:sz="6"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E3E9" w:themeFill="accent4" w:themeFillTint="3F"/>
      </w:tcPr>
    </w:tblStylePr>
    <w:tblStylePr w:type="band1Horz">
      <w:tblPr/>
      <w:tcPr>
        <w:tcBorders>
          <w:insideH w:val="nil"/>
          <w:insideV w:val="nil"/>
        </w:tcBorders>
        <w:shd w:val="clear" w:color="auto" w:fill="DFE3E9"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single" w:sz="8" w:space="0" w:color="83B9C2" w:themeColor="accent5" w:themeTint="BF"/>
      </w:tblBorders>
    </w:tblPr>
    <w:tblStylePr w:type="firstRow">
      <w:pPr>
        <w:spacing w:before="0" w:after="0" w:line="240" w:lineRule="auto"/>
      </w:pPr>
      <w:rPr>
        <w:b/>
        <w:bCs/>
        <w:color w:val="FFFFFF" w:themeColor="background1"/>
      </w:rPr>
      <w:tblPr/>
      <w:tcPr>
        <w:tc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nil"/>
          <w:insideV w:val="nil"/>
        </w:tcBorders>
        <w:shd w:val="clear" w:color="auto" w:fill="5AA2AE" w:themeFill="accent5"/>
      </w:tcPr>
    </w:tblStylePr>
    <w:tblStylePr w:type="lastRow">
      <w:pPr>
        <w:spacing w:before="0" w:after="0" w:line="240" w:lineRule="auto"/>
      </w:pPr>
      <w:rPr>
        <w:b/>
        <w:bCs/>
      </w:rPr>
      <w:tblPr/>
      <w:tcPr>
        <w:tcBorders>
          <w:top w:val="double" w:sz="6"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7EB" w:themeFill="accent5" w:themeFillTint="3F"/>
      </w:tcPr>
    </w:tblStylePr>
    <w:tblStylePr w:type="band1Horz">
      <w:tblPr/>
      <w:tcPr>
        <w:tcBorders>
          <w:insideH w:val="nil"/>
          <w:insideV w:val="nil"/>
        </w:tcBorders>
        <w:shd w:val="clear" w:color="auto" w:fill="D6E7EB"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single" w:sz="8" w:space="0" w:color="B5ABB7" w:themeColor="accent6" w:themeTint="BF"/>
      </w:tblBorders>
    </w:tblPr>
    <w:tblStylePr w:type="firstRow">
      <w:pPr>
        <w:spacing w:before="0" w:after="0" w:line="240" w:lineRule="auto"/>
      </w:pPr>
      <w:rPr>
        <w:b/>
        <w:bCs/>
        <w:color w:val="FFFFFF" w:themeColor="background1"/>
      </w:rPr>
      <w:tblPr/>
      <w:tcPr>
        <w:tc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nil"/>
          <w:insideV w:val="nil"/>
        </w:tcBorders>
        <w:shd w:val="clear" w:color="auto" w:fill="9D90A0" w:themeFill="accent6"/>
      </w:tcPr>
    </w:tblStylePr>
    <w:tblStylePr w:type="lastRow">
      <w:pPr>
        <w:spacing w:before="0" w:after="0" w:line="240" w:lineRule="auto"/>
      </w:pPr>
      <w:rPr>
        <w:b/>
        <w:bCs/>
      </w:rPr>
      <w:tblPr/>
      <w:tcPr>
        <w:tcBorders>
          <w:top w:val="double" w:sz="6"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nil"/>
          <w:insideV w:val="nil"/>
        </w:tcBorders>
      </w:tcPr>
    </w:tblStylePr>
    <w:tblStylePr w:type="firstCol">
      <w:rPr>
        <w:b/>
        <w:bCs/>
      </w:rPr>
    </w:tblStylePr>
    <w:tblStylePr w:type="lastCol">
      <w:rPr>
        <w:b/>
        <w:bCs/>
      </w:rPr>
    </w:tblStylePr>
    <w:tblStylePr w:type="band1Vert">
      <w:tblPr/>
      <w:tcPr>
        <w:shd w:val="clear" w:color="auto" w:fill="E6E3E7" w:themeFill="accent6" w:themeFillTint="3F"/>
      </w:tcPr>
    </w:tblStylePr>
    <w:tblStylePr w:type="band1Horz">
      <w:tblPr/>
      <w:tcPr>
        <w:tcBorders>
          <w:insideH w:val="nil"/>
          <w:insideV w:val="nil"/>
        </w:tcBorders>
        <w:shd w:val="clear" w:color="auto" w:fill="E6E3E7"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A66A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A66AC" w:themeFill="accent1"/>
      </w:tcPr>
    </w:tblStylePr>
    <w:tblStylePr w:type="lastCol">
      <w:rPr>
        <w:b/>
        <w:bCs/>
        <w:color w:val="FFFFFF" w:themeColor="background1"/>
      </w:rPr>
      <w:tblPr/>
      <w:tcPr>
        <w:tcBorders>
          <w:left w:val="nil"/>
          <w:right w:val="nil"/>
          <w:insideH w:val="nil"/>
          <w:insideV w:val="nil"/>
        </w:tcBorders>
        <w:shd w:val="clear" w:color="auto" w:fill="4A66A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29DD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29DD1" w:themeFill="accent2"/>
      </w:tcPr>
    </w:tblStylePr>
    <w:tblStylePr w:type="lastCol">
      <w:rPr>
        <w:b/>
        <w:bCs/>
        <w:color w:val="FFFFFF" w:themeColor="background1"/>
      </w:rPr>
      <w:tblPr/>
      <w:tcPr>
        <w:tcBorders>
          <w:left w:val="nil"/>
          <w:right w:val="nil"/>
          <w:insideH w:val="nil"/>
          <w:insideV w:val="nil"/>
        </w:tcBorders>
        <w:shd w:val="clear" w:color="auto" w:fill="629DD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97FD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97FD5" w:themeFill="accent3"/>
      </w:tcPr>
    </w:tblStylePr>
    <w:tblStylePr w:type="lastCol">
      <w:rPr>
        <w:b/>
        <w:bCs/>
        <w:color w:val="FFFFFF" w:themeColor="background1"/>
      </w:rPr>
      <w:tblPr/>
      <w:tcPr>
        <w:tcBorders>
          <w:left w:val="nil"/>
          <w:right w:val="nil"/>
          <w:insideH w:val="nil"/>
          <w:insideV w:val="nil"/>
        </w:tcBorders>
        <w:shd w:val="clear" w:color="auto" w:fill="297FD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F8FA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F8FA9" w:themeFill="accent4"/>
      </w:tcPr>
    </w:tblStylePr>
    <w:tblStylePr w:type="lastCol">
      <w:rPr>
        <w:b/>
        <w:bCs/>
        <w:color w:val="FFFFFF" w:themeColor="background1"/>
      </w:rPr>
      <w:tblPr/>
      <w:tcPr>
        <w:tcBorders>
          <w:left w:val="nil"/>
          <w:right w:val="nil"/>
          <w:insideH w:val="nil"/>
          <w:insideV w:val="nil"/>
        </w:tcBorders>
        <w:shd w:val="clear" w:color="auto" w:fill="7F8FA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AA2AE"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AA2AE" w:themeFill="accent5"/>
      </w:tcPr>
    </w:tblStylePr>
    <w:tblStylePr w:type="lastCol">
      <w:rPr>
        <w:b/>
        <w:bCs/>
        <w:color w:val="FFFFFF" w:themeColor="background1"/>
      </w:rPr>
      <w:tblPr/>
      <w:tcPr>
        <w:tcBorders>
          <w:left w:val="nil"/>
          <w:right w:val="nil"/>
          <w:insideH w:val="nil"/>
          <w:insideV w:val="nil"/>
        </w:tcBorders>
        <w:shd w:val="clear" w:color="auto" w:fill="5AA2A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D90A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D90A0" w:themeFill="accent6"/>
      </w:tcPr>
    </w:tblStylePr>
    <w:tblStylePr w:type="lastCol">
      <w:rPr>
        <w:b/>
        <w:bCs/>
        <w:color w:val="FFFFFF" w:themeColor="background1"/>
      </w:rPr>
      <w:tblPr/>
      <w:tcPr>
        <w:tcBorders>
          <w:left w:val="nil"/>
          <w:right w:val="nil"/>
          <w:insideH w:val="nil"/>
          <w:insideV w:val="nil"/>
        </w:tcBorders>
        <w:shd w:val="clear" w:color="auto" w:fill="9D90A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242852"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A66AC" w:themeColor="accent1"/>
        <w:bottom w:val="single" w:sz="8" w:space="0" w:color="4A66AC" w:themeColor="accent1"/>
      </w:tblBorders>
    </w:tblPr>
    <w:tblStylePr w:type="firstRow">
      <w:rPr>
        <w:rFonts w:asciiTheme="majorHAnsi" w:eastAsiaTheme="majorEastAsia" w:hAnsiTheme="majorHAnsi" w:cstheme="majorBidi"/>
      </w:rPr>
      <w:tblPr/>
      <w:tcPr>
        <w:tcBorders>
          <w:top w:val="nil"/>
          <w:bottom w:val="single" w:sz="8" w:space="0" w:color="4A66AC" w:themeColor="accent1"/>
        </w:tcBorders>
      </w:tcPr>
    </w:tblStylePr>
    <w:tblStylePr w:type="lastRow">
      <w:rPr>
        <w:b/>
        <w:bCs/>
        <w:color w:val="242852" w:themeColor="text2"/>
      </w:rPr>
      <w:tblPr/>
      <w:tcPr>
        <w:tcBorders>
          <w:top w:val="single" w:sz="8" w:space="0" w:color="4A66AC" w:themeColor="accent1"/>
          <w:bottom w:val="single" w:sz="8" w:space="0" w:color="4A66AC" w:themeColor="accent1"/>
        </w:tcBorders>
      </w:tcPr>
    </w:tblStylePr>
    <w:tblStylePr w:type="firstCol">
      <w:rPr>
        <w:b/>
        <w:bCs/>
      </w:rPr>
    </w:tblStylePr>
    <w:tblStylePr w:type="lastCol">
      <w:rPr>
        <w:b/>
        <w:bCs/>
      </w:rPr>
      <w:tblPr/>
      <w:tcPr>
        <w:tcBorders>
          <w:top w:val="single" w:sz="8" w:space="0" w:color="4A66AC" w:themeColor="accent1"/>
          <w:bottom w:val="single" w:sz="8" w:space="0" w:color="4A66AC" w:themeColor="accent1"/>
        </w:tcBorders>
      </w:tcPr>
    </w:tblStylePr>
    <w:tblStylePr w:type="band1Vert">
      <w:tblPr/>
      <w:tcPr>
        <w:shd w:val="clear" w:color="auto" w:fill="D1D8EB" w:themeFill="accent1" w:themeFillTint="3F"/>
      </w:tcPr>
    </w:tblStylePr>
    <w:tblStylePr w:type="band1Horz">
      <w:tblPr/>
      <w:tcPr>
        <w:shd w:val="clear" w:color="auto" w:fill="D1D8EB"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629DD1" w:themeColor="accent2"/>
        <w:bottom w:val="single" w:sz="8" w:space="0" w:color="629DD1" w:themeColor="accent2"/>
      </w:tblBorders>
    </w:tblPr>
    <w:tblStylePr w:type="firstRow">
      <w:rPr>
        <w:rFonts w:asciiTheme="majorHAnsi" w:eastAsiaTheme="majorEastAsia" w:hAnsiTheme="majorHAnsi" w:cstheme="majorBidi"/>
      </w:rPr>
      <w:tblPr/>
      <w:tcPr>
        <w:tcBorders>
          <w:top w:val="nil"/>
          <w:bottom w:val="single" w:sz="8" w:space="0" w:color="629DD1" w:themeColor="accent2"/>
        </w:tcBorders>
      </w:tcPr>
    </w:tblStylePr>
    <w:tblStylePr w:type="lastRow">
      <w:rPr>
        <w:b/>
        <w:bCs/>
        <w:color w:val="242852" w:themeColor="text2"/>
      </w:rPr>
      <w:tblPr/>
      <w:tcPr>
        <w:tcBorders>
          <w:top w:val="single" w:sz="8" w:space="0" w:color="629DD1" w:themeColor="accent2"/>
          <w:bottom w:val="single" w:sz="8" w:space="0" w:color="629DD1" w:themeColor="accent2"/>
        </w:tcBorders>
      </w:tcPr>
    </w:tblStylePr>
    <w:tblStylePr w:type="firstCol">
      <w:rPr>
        <w:b/>
        <w:bCs/>
      </w:rPr>
    </w:tblStylePr>
    <w:tblStylePr w:type="lastCol">
      <w:rPr>
        <w:b/>
        <w:bCs/>
      </w:rPr>
      <w:tblPr/>
      <w:tcPr>
        <w:tcBorders>
          <w:top w:val="single" w:sz="8" w:space="0" w:color="629DD1" w:themeColor="accent2"/>
          <w:bottom w:val="single" w:sz="8" w:space="0" w:color="629DD1" w:themeColor="accent2"/>
        </w:tcBorders>
      </w:tcPr>
    </w:tblStylePr>
    <w:tblStylePr w:type="band1Vert">
      <w:tblPr/>
      <w:tcPr>
        <w:shd w:val="clear" w:color="auto" w:fill="D8E6F3" w:themeFill="accent2" w:themeFillTint="3F"/>
      </w:tcPr>
    </w:tblStylePr>
    <w:tblStylePr w:type="band1Horz">
      <w:tblPr/>
      <w:tcPr>
        <w:shd w:val="clear" w:color="auto" w:fill="D8E6F3"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297FD5" w:themeColor="accent3"/>
        <w:bottom w:val="single" w:sz="8" w:space="0" w:color="297FD5" w:themeColor="accent3"/>
      </w:tblBorders>
    </w:tblPr>
    <w:tblStylePr w:type="firstRow">
      <w:rPr>
        <w:rFonts w:asciiTheme="majorHAnsi" w:eastAsiaTheme="majorEastAsia" w:hAnsiTheme="majorHAnsi" w:cstheme="majorBidi"/>
      </w:rPr>
      <w:tblPr/>
      <w:tcPr>
        <w:tcBorders>
          <w:top w:val="nil"/>
          <w:bottom w:val="single" w:sz="8" w:space="0" w:color="297FD5" w:themeColor="accent3"/>
        </w:tcBorders>
      </w:tcPr>
    </w:tblStylePr>
    <w:tblStylePr w:type="lastRow">
      <w:rPr>
        <w:b/>
        <w:bCs/>
        <w:color w:val="242852" w:themeColor="text2"/>
      </w:rPr>
      <w:tblPr/>
      <w:tcPr>
        <w:tcBorders>
          <w:top w:val="single" w:sz="8" w:space="0" w:color="297FD5" w:themeColor="accent3"/>
          <w:bottom w:val="single" w:sz="8" w:space="0" w:color="297FD5" w:themeColor="accent3"/>
        </w:tcBorders>
      </w:tcPr>
    </w:tblStylePr>
    <w:tblStylePr w:type="firstCol">
      <w:rPr>
        <w:b/>
        <w:bCs/>
      </w:rPr>
    </w:tblStylePr>
    <w:tblStylePr w:type="lastCol">
      <w:rPr>
        <w:b/>
        <w:bCs/>
      </w:rPr>
      <w:tblPr/>
      <w:tcPr>
        <w:tcBorders>
          <w:top w:val="single" w:sz="8" w:space="0" w:color="297FD5" w:themeColor="accent3"/>
          <w:bottom w:val="single" w:sz="8" w:space="0" w:color="297FD5" w:themeColor="accent3"/>
        </w:tcBorders>
      </w:tcPr>
    </w:tblStylePr>
    <w:tblStylePr w:type="band1Vert">
      <w:tblPr/>
      <w:tcPr>
        <w:shd w:val="clear" w:color="auto" w:fill="C9DFF4" w:themeFill="accent3" w:themeFillTint="3F"/>
      </w:tcPr>
    </w:tblStylePr>
    <w:tblStylePr w:type="band1Horz">
      <w:tblPr/>
      <w:tcPr>
        <w:shd w:val="clear" w:color="auto" w:fill="C9DFF4"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7F8FA9" w:themeColor="accent4"/>
        <w:bottom w:val="single" w:sz="8" w:space="0" w:color="7F8FA9" w:themeColor="accent4"/>
      </w:tblBorders>
    </w:tblPr>
    <w:tblStylePr w:type="firstRow">
      <w:rPr>
        <w:rFonts w:asciiTheme="majorHAnsi" w:eastAsiaTheme="majorEastAsia" w:hAnsiTheme="majorHAnsi" w:cstheme="majorBidi"/>
      </w:rPr>
      <w:tblPr/>
      <w:tcPr>
        <w:tcBorders>
          <w:top w:val="nil"/>
          <w:bottom w:val="single" w:sz="8" w:space="0" w:color="7F8FA9" w:themeColor="accent4"/>
        </w:tcBorders>
      </w:tcPr>
    </w:tblStylePr>
    <w:tblStylePr w:type="lastRow">
      <w:rPr>
        <w:b/>
        <w:bCs/>
        <w:color w:val="242852" w:themeColor="text2"/>
      </w:rPr>
      <w:tblPr/>
      <w:tcPr>
        <w:tcBorders>
          <w:top w:val="single" w:sz="8" w:space="0" w:color="7F8FA9" w:themeColor="accent4"/>
          <w:bottom w:val="single" w:sz="8" w:space="0" w:color="7F8FA9" w:themeColor="accent4"/>
        </w:tcBorders>
      </w:tcPr>
    </w:tblStylePr>
    <w:tblStylePr w:type="firstCol">
      <w:rPr>
        <w:b/>
        <w:bCs/>
      </w:rPr>
    </w:tblStylePr>
    <w:tblStylePr w:type="lastCol">
      <w:rPr>
        <w:b/>
        <w:bCs/>
      </w:rPr>
      <w:tblPr/>
      <w:tcPr>
        <w:tcBorders>
          <w:top w:val="single" w:sz="8" w:space="0" w:color="7F8FA9" w:themeColor="accent4"/>
          <w:bottom w:val="single" w:sz="8" w:space="0" w:color="7F8FA9" w:themeColor="accent4"/>
        </w:tcBorders>
      </w:tcPr>
    </w:tblStylePr>
    <w:tblStylePr w:type="band1Vert">
      <w:tblPr/>
      <w:tcPr>
        <w:shd w:val="clear" w:color="auto" w:fill="DFE3E9" w:themeFill="accent4" w:themeFillTint="3F"/>
      </w:tcPr>
    </w:tblStylePr>
    <w:tblStylePr w:type="band1Horz">
      <w:tblPr/>
      <w:tcPr>
        <w:shd w:val="clear" w:color="auto" w:fill="DFE3E9"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AA2AE" w:themeColor="accent5"/>
        <w:bottom w:val="single" w:sz="8" w:space="0" w:color="5AA2AE" w:themeColor="accent5"/>
      </w:tblBorders>
    </w:tblPr>
    <w:tblStylePr w:type="firstRow">
      <w:rPr>
        <w:rFonts w:asciiTheme="majorHAnsi" w:eastAsiaTheme="majorEastAsia" w:hAnsiTheme="majorHAnsi" w:cstheme="majorBidi"/>
      </w:rPr>
      <w:tblPr/>
      <w:tcPr>
        <w:tcBorders>
          <w:top w:val="nil"/>
          <w:bottom w:val="single" w:sz="8" w:space="0" w:color="5AA2AE" w:themeColor="accent5"/>
        </w:tcBorders>
      </w:tcPr>
    </w:tblStylePr>
    <w:tblStylePr w:type="lastRow">
      <w:rPr>
        <w:b/>
        <w:bCs/>
        <w:color w:val="242852" w:themeColor="text2"/>
      </w:rPr>
      <w:tblPr/>
      <w:tcPr>
        <w:tcBorders>
          <w:top w:val="single" w:sz="8" w:space="0" w:color="5AA2AE" w:themeColor="accent5"/>
          <w:bottom w:val="single" w:sz="8" w:space="0" w:color="5AA2AE" w:themeColor="accent5"/>
        </w:tcBorders>
      </w:tcPr>
    </w:tblStylePr>
    <w:tblStylePr w:type="firstCol">
      <w:rPr>
        <w:b/>
        <w:bCs/>
      </w:rPr>
    </w:tblStylePr>
    <w:tblStylePr w:type="lastCol">
      <w:rPr>
        <w:b/>
        <w:bCs/>
      </w:rPr>
      <w:tblPr/>
      <w:tcPr>
        <w:tcBorders>
          <w:top w:val="single" w:sz="8" w:space="0" w:color="5AA2AE" w:themeColor="accent5"/>
          <w:bottom w:val="single" w:sz="8" w:space="0" w:color="5AA2AE" w:themeColor="accent5"/>
        </w:tcBorders>
      </w:tcPr>
    </w:tblStylePr>
    <w:tblStylePr w:type="band1Vert">
      <w:tblPr/>
      <w:tcPr>
        <w:shd w:val="clear" w:color="auto" w:fill="D6E7EB" w:themeFill="accent5" w:themeFillTint="3F"/>
      </w:tcPr>
    </w:tblStylePr>
    <w:tblStylePr w:type="band1Horz">
      <w:tblPr/>
      <w:tcPr>
        <w:shd w:val="clear" w:color="auto" w:fill="D6E7EB"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9D90A0" w:themeColor="accent6"/>
        <w:bottom w:val="single" w:sz="8" w:space="0" w:color="9D90A0" w:themeColor="accent6"/>
      </w:tblBorders>
    </w:tblPr>
    <w:tblStylePr w:type="firstRow">
      <w:rPr>
        <w:rFonts w:asciiTheme="majorHAnsi" w:eastAsiaTheme="majorEastAsia" w:hAnsiTheme="majorHAnsi" w:cstheme="majorBidi"/>
      </w:rPr>
      <w:tblPr/>
      <w:tcPr>
        <w:tcBorders>
          <w:top w:val="nil"/>
          <w:bottom w:val="single" w:sz="8" w:space="0" w:color="9D90A0" w:themeColor="accent6"/>
        </w:tcBorders>
      </w:tcPr>
    </w:tblStylePr>
    <w:tblStylePr w:type="lastRow">
      <w:rPr>
        <w:b/>
        <w:bCs/>
        <w:color w:val="242852" w:themeColor="text2"/>
      </w:rPr>
      <w:tblPr/>
      <w:tcPr>
        <w:tcBorders>
          <w:top w:val="single" w:sz="8" w:space="0" w:color="9D90A0" w:themeColor="accent6"/>
          <w:bottom w:val="single" w:sz="8" w:space="0" w:color="9D90A0" w:themeColor="accent6"/>
        </w:tcBorders>
      </w:tcPr>
    </w:tblStylePr>
    <w:tblStylePr w:type="firstCol">
      <w:rPr>
        <w:b/>
        <w:bCs/>
      </w:rPr>
    </w:tblStylePr>
    <w:tblStylePr w:type="lastCol">
      <w:rPr>
        <w:b/>
        <w:bCs/>
      </w:rPr>
      <w:tblPr/>
      <w:tcPr>
        <w:tcBorders>
          <w:top w:val="single" w:sz="8" w:space="0" w:color="9D90A0" w:themeColor="accent6"/>
          <w:bottom w:val="single" w:sz="8" w:space="0" w:color="9D90A0" w:themeColor="accent6"/>
        </w:tcBorders>
      </w:tcPr>
    </w:tblStylePr>
    <w:tblStylePr w:type="band1Vert">
      <w:tblPr/>
      <w:tcPr>
        <w:shd w:val="clear" w:color="auto" w:fill="E6E3E7" w:themeFill="accent6" w:themeFillTint="3F"/>
      </w:tcPr>
    </w:tblStylePr>
    <w:tblStylePr w:type="band1Horz">
      <w:tblPr/>
      <w:tcPr>
        <w:shd w:val="clear" w:color="auto" w:fill="E6E3E7"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tblBorders>
    </w:tblPr>
    <w:tblStylePr w:type="firstRow">
      <w:rPr>
        <w:sz w:val="24"/>
        <w:szCs w:val="24"/>
      </w:rPr>
      <w:tblPr/>
      <w:tcPr>
        <w:tcBorders>
          <w:top w:val="nil"/>
          <w:left w:val="nil"/>
          <w:bottom w:val="single" w:sz="24" w:space="0" w:color="4A66AC" w:themeColor="accent1"/>
          <w:right w:val="nil"/>
          <w:insideH w:val="nil"/>
          <w:insideV w:val="nil"/>
        </w:tcBorders>
        <w:shd w:val="clear" w:color="auto" w:fill="FFFFFF" w:themeFill="background1"/>
      </w:tcPr>
    </w:tblStylePr>
    <w:tblStylePr w:type="lastRow">
      <w:tblPr/>
      <w:tcPr>
        <w:tcBorders>
          <w:top w:val="single" w:sz="8" w:space="0" w:color="4A66AC"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A66AC" w:themeColor="accent1"/>
          <w:insideH w:val="nil"/>
          <w:insideV w:val="nil"/>
        </w:tcBorders>
        <w:shd w:val="clear" w:color="auto" w:fill="FFFFFF" w:themeFill="background1"/>
      </w:tcPr>
    </w:tblStylePr>
    <w:tblStylePr w:type="lastCol">
      <w:tblPr/>
      <w:tcPr>
        <w:tcBorders>
          <w:top w:val="nil"/>
          <w:left w:val="single" w:sz="8" w:space="0" w:color="4A66A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8EB" w:themeFill="accent1" w:themeFillTint="3F"/>
      </w:tcPr>
    </w:tblStylePr>
    <w:tblStylePr w:type="band1Horz">
      <w:tblPr/>
      <w:tcPr>
        <w:tcBorders>
          <w:top w:val="nil"/>
          <w:bottom w:val="nil"/>
          <w:insideH w:val="nil"/>
          <w:insideV w:val="nil"/>
        </w:tcBorders>
        <w:shd w:val="clear" w:color="auto" w:fill="D1D8E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tblBorders>
    </w:tblPr>
    <w:tblStylePr w:type="firstRow">
      <w:rPr>
        <w:sz w:val="24"/>
        <w:szCs w:val="24"/>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tblPr/>
      <w:tcPr>
        <w:tcBorders>
          <w:top w:val="single" w:sz="8" w:space="0" w:color="629DD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29DD1" w:themeColor="accent2"/>
          <w:insideH w:val="nil"/>
          <w:insideV w:val="nil"/>
        </w:tcBorders>
        <w:shd w:val="clear" w:color="auto" w:fill="FFFFFF" w:themeFill="background1"/>
      </w:tcPr>
    </w:tblStylePr>
    <w:tblStylePr w:type="lastCol">
      <w:tblPr/>
      <w:tcPr>
        <w:tcBorders>
          <w:top w:val="nil"/>
          <w:left w:val="single" w:sz="8" w:space="0" w:color="629DD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E6F3" w:themeFill="accent2" w:themeFillTint="3F"/>
      </w:tcPr>
    </w:tblStylePr>
    <w:tblStylePr w:type="band1Horz">
      <w:tblPr/>
      <w:tcPr>
        <w:tcBorders>
          <w:top w:val="nil"/>
          <w:bottom w:val="nil"/>
          <w:insideH w:val="nil"/>
          <w:insideV w:val="nil"/>
        </w:tcBorders>
        <w:shd w:val="clear" w:color="auto" w:fill="D8E6F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tblBorders>
    </w:tblPr>
    <w:tblStylePr w:type="firstRow">
      <w:rPr>
        <w:sz w:val="24"/>
        <w:szCs w:val="24"/>
      </w:rPr>
      <w:tblPr/>
      <w:tcPr>
        <w:tcBorders>
          <w:top w:val="nil"/>
          <w:left w:val="nil"/>
          <w:bottom w:val="single" w:sz="24" w:space="0" w:color="297FD5" w:themeColor="accent3"/>
          <w:right w:val="nil"/>
          <w:insideH w:val="nil"/>
          <w:insideV w:val="nil"/>
        </w:tcBorders>
        <w:shd w:val="clear" w:color="auto" w:fill="FFFFFF" w:themeFill="background1"/>
      </w:tcPr>
    </w:tblStylePr>
    <w:tblStylePr w:type="lastRow">
      <w:tblPr/>
      <w:tcPr>
        <w:tcBorders>
          <w:top w:val="single" w:sz="8" w:space="0" w:color="297FD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97FD5" w:themeColor="accent3"/>
          <w:insideH w:val="nil"/>
          <w:insideV w:val="nil"/>
        </w:tcBorders>
        <w:shd w:val="clear" w:color="auto" w:fill="FFFFFF" w:themeFill="background1"/>
      </w:tcPr>
    </w:tblStylePr>
    <w:tblStylePr w:type="lastCol">
      <w:tblPr/>
      <w:tcPr>
        <w:tcBorders>
          <w:top w:val="nil"/>
          <w:left w:val="single" w:sz="8" w:space="0" w:color="297FD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DFF4" w:themeFill="accent3" w:themeFillTint="3F"/>
      </w:tcPr>
    </w:tblStylePr>
    <w:tblStylePr w:type="band1Horz">
      <w:tblPr/>
      <w:tcPr>
        <w:tcBorders>
          <w:top w:val="nil"/>
          <w:bottom w:val="nil"/>
          <w:insideH w:val="nil"/>
          <w:insideV w:val="nil"/>
        </w:tcBorders>
        <w:shd w:val="clear" w:color="auto" w:fill="C9DFF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tblBorders>
    </w:tblPr>
    <w:tblStylePr w:type="firstRow">
      <w:rPr>
        <w:sz w:val="24"/>
        <w:szCs w:val="24"/>
      </w:rPr>
      <w:tblPr/>
      <w:tcPr>
        <w:tcBorders>
          <w:top w:val="nil"/>
          <w:left w:val="nil"/>
          <w:bottom w:val="single" w:sz="24" w:space="0" w:color="7F8FA9" w:themeColor="accent4"/>
          <w:right w:val="nil"/>
          <w:insideH w:val="nil"/>
          <w:insideV w:val="nil"/>
        </w:tcBorders>
        <w:shd w:val="clear" w:color="auto" w:fill="FFFFFF" w:themeFill="background1"/>
      </w:tcPr>
    </w:tblStylePr>
    <w:tblStylePr w:type="lastRow">
      <w:tblPr/>
      <w:tcPr>
        <w:tcBorders>
          <w:top w:val="single" w:sz="8" w:space="0" w:color="7F8FA9"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F8FA9" w:themeColor="accent4"/>
          <w:insideH w:val="nil"/>
          <w:insideV w:val="nil"/>
        </w:tcBorders>
        <w:shd w:val="clear" w:color="auto" w:fill="FFFFFF" w:themeFill="background1"/>
      </w:tcPr>
    </w:tblStylePr>
    <w:tblStylePr w:type="lastCol">
      <w:tblPr/>
      <w:tcPr>
        <w:tcBorders>
          <w:top w:val="nil"/>
          <w:left w:val="single" w:sz="8" w:space="0" w:color="7F8FA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E3E9" w:themeFill="accent4" w:themeFillTint="3F"/>
      </w:tcPr>
    </w:tblStylePr>
    <w:tblStylePr w:type="band1Horz">
      <w:tblPr/>
      <w:tcPr>
        <w:tcBorders>
          <w:top w:val="nil"/>
          <w:bottom w:val="nil"/>
          <w:insideH w:val="nil"/>
          <w:insideV w:val="nil"/>
        </w:tcBorders>
        <w:shd w:val="clear" w:color="auto" w:fill="DFE3E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tblBorders>
    </w:tblPr>
    <w:tblStylePr w:type="firstRow">
      <w:rPr>
        <w:sz w:val="24"/>
        <w:szCs w:val="24"/>
      </w:rPr>
      <w:tblPr/>
      <w:tcPr>
        <w:tcBorders>
          <w:top w:val="nil"/>
          <w:left w:val="nil"/>
          <w:bottom w:val="single" w:sz="24" w:space="0" w:color="5AA2AE" w:themeColor="accent5"/>
          <w:right w:val="nil"/>
          <w:insideH w:val="nil"/>
          <w:insideV w:val="nil"/>
        </w:tcBorders>
        <w:shd w:val="clear" w:color="auto" w:fill="FFFFFF" w:themeFill="background1"/>
      </w:tcPr>
    </w:tblStylePr>
    <w:tblStylePr w:type="lastRow">
      <w:tblPr/>
      <w:tcPr>
        <w:tcBorders>
          <w:top w:val="single" w:sz="8" w:space="0" w:color="5AA2AE"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AA2AE" w:themeColor="accent5"/>
          <w:insideH w:val="nil"/>
          <w:insideV w:val="nil"/>
        </w:tcBorders>
        <w:shd w:val="clear" w:color="auto" w:fill="FFFFFF" w:themeFill="background1"/>
      </w:tcPr>
    </w:tblStylePr>
    <w:tblStylePr w:type="lastCol">
      <w:tblPr/>
      <w:tcPr>
        <w:tcBorders>
          <w:top w:val="nil"/>
          <w:left w:val="single" w:sz="8" w:space="0" w:color="5AA2AE"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7EB" w:themeFill="accent5" w:themeFillTint="3F"/>
      </w:tcPr>
    </w:tblStylePr>
    <w:tblStylePr w:type="band1Horz">
      <w:tblPr/>
      <w:tcPr>
        <w:tcBorders>
          <w:top w:val="nil"/>
          <w:bottom w:val="nil"/>
          <w:insideH w:val="nil"/>
          <w:insideV w:val="nil"/>
        </w:tcBorders>
        <w:shd w:val="clear" w:color="auto" w:fill="D6E7EB"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tblBorders>
    </w:tblPr>
    <w:tblStylePr w:type="firstRow">
      <w:rPr>
        <w:sz w:val="24"/>
        <w:szCs w:val="24"/>
      </w:rPr>
      <w:tblPr/>
      <w:tcPr>
        <w:tcBorders>
          <w:top w:val="nil"/>
          <w:left w:val="nil"/>
          <w:bottom w:val="single" w:sz="24" w:space="0" w:color="9D90A0" w:themeColor="accent6"/>
          <w:right w:val="nil"/>
          <w:insideH w:val="nil"/>
          <w:insideV w:val="nil"/>
        </w:tcBorders>
        <w:shd w:val="clear" w:color="auto" w:fill="FFFFFF" w:themeFill="background1"/>
      </w:tcPr>
    </w:tblStylePr>
    <w:tblStylePr w:type="lastRow">
      <w:tblPr/>
      <w:tcPr>
        <w:tcBorders>
          <w:top w:val="single" w:sz="8" w:space="0" w:color="9D90A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D90A0" w:themeColor="accent6"/>
          <w:insideH w:val="nil"/>
          <w:insideV w:val="nil"/>
        </w:tcBorders>
        <w:shd w:val="clear" w:color="auto" w:fill="FFFFFF" w:themeFill="background1"/>
      </w:tcPr>
    </w:tblStylePr>
    <w:tblStylePr w:type="lastCol">
      <w:tblPr/>
      <w:tcPr>
        <w:tcBorders>
          <w:top w:val="nil"/>
          <w:left w:val="single" w:sz="8" w:space="0" w:color="9D90A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3E7" w:themeFill="accent6" w:themeFillTint="3F"/>
      </w:tcPr>
    </w:tblStylePr>
    <w:tblStylePr w:type="band1Horz">
      <w:tblPr/>
      <w:tcPr>
        <w:tcBorders>
          <w:top w:val="nil"/>
          <w:bottom w:val="nil"/>
          <w:insideH w:val="nil"/>
          <w:insideV w:val="nil"/>
        </w:tcBorders>
        <w:shd w:val="clear" w:color="auto" w:fill="E6E3E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single" w:sz="8" w:space="0" w:color="748AC3" w:themeColor="accent1" w:themeTint="BF"/>
        <w:insideV w:val="single" w:sz="8" w:space="0" w:color="748AC3" w:themeColor="accent1" w:themeTint="BF"/>
      </w:tblBorders>
    </w:tblPr>
    <w:tcPr>
      <w:shd w:val="clear" w:color="auto" w:fill="D1D8EB" w:themeFill="accent1" w:themeFillTint="3F"/>
    </w:tcPr>
    <w:tblStylePr w:type="firstRow">
      <w:rPr>
        <w:b/>
        <w:bCs/>
      </w:rPr>
    </w:tblStylePr>
    <w:tblStylePr w:type="lastRow">
      <w:rPr>
        <w:b/>
        <w:bCs/>
      </w:rPr>
      <w:tblPr/>
      <w:tcPr>
        <w:tcBorders>
          <w:top w:val="single" w:sz="18" w:space="0" w:color="748AC3" w:themeColor="accent1" w:themeTint="BF"/>
        </w:tcBorders>
      </w:tcPr>
    </w:tblStylePr>
    <w:tblStylePr w:type="firstCol">
      <w:rPr>
        <w:b/>
        <w:bCs/>
      </w:rPr>
    </w:tblStylePr>
    <w:tblStylePr w:type="lastCol">
      <w:rPr>
        <w:b/>
        <w:bCs/>
      </w:rPr>
    </w:tblStylePr>
    <w:tblStylePr w:type="band1Vert">
      <w:tblPr/>
      <w:tcPr>
        <w:shd w:val="clear" w:color="auto" w:fill="A2B1D7" w:themeFill="accent1" w:themeFillTint="7F"/>
      </w:tcPr>
    </w:tblStylePr>
    <w:tblStylePr w:type="band1Horz">
      <w:tblPr/>
      <w:tcPr>
        <w:shd w:val="clear" w:color="auto" w:fill="A2B1D7"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single" w:sz="8" w:space="0" w:color="89B5DC" w:themeColor="accent2" w:themeTint="BF"/>
        <w:insideV w:val="single" w:sz="8" w:space="0" w:color="89B5DC" w:themeColor="accent2" w:themeTint="BF"/>
      </w:tblBorders>
    </w:tblPr>
    <w:tcPr>
      <w:shd w:val="clear" w:color="auto" w:fill="D8E6F3" w:themeFill="accent2" w:themeFillTint="3F"/>
    </w:tcPr>
    <w:tblStylePr w:type="firstRow">
      <w:rPr>
        <w:b/>
        <w:bCs/>
      </w:rPr>
    </w:tblStylePr>
    <w:tblStylePr w:type="lastRow">
      <w:rPr>
        <w:b/>
        <w:bCs/>
      </w:rPr>
      <w:tblPr/>
      <w:tcPr>
        <w:tcBorders>
          <w:top w:val="single" w:sz="18" w:space="0" w:color="89B5DC" w:themeColor="accent2" w:themeTint="BF"/>
        </w:tcBorders>
      </w:tcPr>
    </w:tblStylePr>
    <w:tblStylePr w:type="firstCol">
      <w:rPr>
        <w:b/>
        <w:bCs/>
      </w:rPr>
    </w:tblStylePr>
    <w:tblStylePr w:type="lastCol">
      <w:rPr>
        <w:b/>
        <w:bCs/>
      </w:rPr>
    </w:tblStylePr>
    <w:tblStylePr w:type="band1Vert">
      <w:tblPr/>
      <w:tcPr>
        <w:shd w:val="clear" w:color="auto" w:fill="B0CDE8" w:themeFill="accent2" w:themeFillTint="7F"/>
      </w:tcPr>
    </w:tblStylePr>
    <w:tblStylePr w:type="band1Horz">
      <w:tblPr/>
      <w:tcPr>
        <w:shd w:val="clear" w:color="auto" w:fill="B0CDE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single" w:sz="8" w:space="0" w:color="5D9EE0" w:themeColor="accent3" w:themeTint="BF"/>
        <w:insideV w:val="single" w:sz="8" w:space="0" w:color="5D9EE0" w:themeColor="accent3" w:themeTint="BF"/>
      </w:tblBorders>
    </w:tblPr>
    <w:tcPr>
      <w:shd w:val="clear" w:color="auto" w:fill="C9DFF4" w:themeFill="accent3" w:themeFillTint="3F"/>
    </w:tcPr>
    <w:tblStylePr w:type="firstRow">
      <w:rPr>
        <w:b/>
        <w:bCs/>
      </w:rPr>
    </w:tblStylePr>
    <w:tblStylePr w:type="lastRow">
      <w:rPr>
        <w:b/>
        <w:bCs/>
      </w:rPr>
      <w:tblPr/>
      <w:tcPr>
        <w:tcBorders>
          <w:top w:val="single" w:sz="18" w:space="0" w:color="5D9EE0" w:themeColor="accent3" w:themeTint="BF"/>
        </w:tcBorders>
      </w:tcPr>
    </w:tblStylePr>
    <w:tblStylePr w:type="firstCol">
      <w:rPr>
        <w:b/>
        <w:bCs/>
      </w:rPr>
    </w:tblStylePr>
    <w:tblStylePr w:type="lastCol">
      <w:rPr>
        <w:b/>
        <w:bCs/>
      </w:rPr>
    </w:tblStylePr>
    <w:tblStylePr w:type="band1Vert">
      <w:tblPr/>
      <w:tcPr>
        <w:shd w:val="clear" w:color="auto" w:fill="93BEEA" w:themeFill="accent3" w:themeFillTint="7F"/>
      </w:tcPr>
    </w:tblStylePr>
    <w:tblStylePr w:type="band1Horz">
      <w:tblPr/>
      <w:tcPr>
        <w:shd w:val="clear" w:color="auto" w:fill="93BEE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single" w:sz="8" w:space="0" w:color="9FABBE" w:themeColor="accent4" w:themeTint="BF"/>
        <w:insideV w:val="single" w:sz="8" w:space="0" w:color="9FABBE" w:themeColor="accent4" w:themeTint="BF"/>
      </w:tblBorders>
    </w:tblPr>
    <w:tcPr>
      <w:shd w:val="clear" w:color="auto" w:fill="DFE3E9" w:themeFill="accent4" w:themeFillTint="3F"/>
    </w:tcPr>
    <w:tblStylePr w:type="firstRow">
      <w:rPr>
        <w:b/>
        <w:bCs/>
      </w:rPr>
    </w:tblStylePr>
    <w:tblStylePr w:type="lastRow">
      <w:rPr>
        <w:b/>
        <w:bCs/>
      </w:rPr>
      <w:tblPr/>
      <w:tcPr>
        <w:tcBorders>
          <w:top w:val="single" w:sz="18" w:space="0" w:color="9FABBE" w:themeColor="accent4" w:themeTint="BF"/>
        </w:tcBorders>
      </w:tcPr>
    </w:tblStylePr>
    <w:tblStylePr w:type="firstCol">
      <w:rPr>
        <w:b/>
        <w:bCs/>
      </w:rPr>
    </w:tblStylePr>
    <w:tblStylePr w:type="lastCol">
      <w:rPr>
        <w:b/>
        <w:bCs/>
      </w:rPr>
    </w:tblStylePr>
    <w:tblStylePr w:type="band1Vert">
      <w:tblPr/>
      <w:tcPr>
        <w:shd w:val="clear" w:color="auto" w:fill="BFC7D4" w:themeFill="accent4" w:themeFillTint="7F"/>
      </w:tcPr>
    </w:tblStylePr>
    <w:tblStylePr w:type="band1Horz">
      <w:tblPr/>
      <w:tcPr>
        <w:shd w:val="clear" w:color="auto" w:fill="BFC7D4"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single" w:sz="8" w:space="0" w:color="83B9C2" w:themeColor="accent5" w:themeTint="BF"/>
        <w:insideV w:val="single" w:sz="8" w:space="0" w:color="83B9C2" w:themeColor="accent5" w:themeTint="BF"/>
      </w:tblBorders>
    </w:tblPr>
    <w:tcPr>
      <w:shd w:val="clear" w:color="auto" w:fill="D6E7EB" w:themeFill="accent5" w:themeFillTint="3F"/>
    </w:tcPr>
    <w:tblStylePr w:type="firstRow">
      <w:rPr>
        <w:b/>
        <w:bCs/>
      </w:rPr>
    </w:tblStylePr>
    <w:tblStylePr w:type="lastRow">
      <w:rPr>
        <w:b/>
        <w:bCs/>
      </w:rPr>
      <w:tblPr/>
      <w:tcPr>
        <w:tcBorders>
          <w:top w:val="single" w:sz="18" w:space="0" w:color="83B9C2" w:themeColor="accent5" w:themeTint="BF"/>
        </w:tcBorders>
      </w:tcPr>
    </w:tblStylePr>
    <w:tblStylePr w:type="firstCol">
      <w:rPr>
        <w:b/>
        <w:bCs/>
      </w:rPr>
    </w:tblStylePr>
    <w:tblStylePr w:type="lastCol">
      <w:rPr>
        <w:b/>
        <w:bCs/>
      </w:rPr>
    </w:tblStylePr>
    <w:tblStylePr w:type="band1Vert">
      <w:tblPr/>
      <w:tcPr>
        <w:shd w:val="clear" w:color="auto" w:fill="ACD0D6" w:themeFill="accent5" w:themeFillTint="7F"/>
      </w:tcPr>
    </w:tblStylePr>
    <w:tblStylePr w:type="band1Horz">
      <w:tblPr/>
      <w:tcPr>
        <w:shd w:val="clear" w:color="auto" w:fill="ACD0D6"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single" w:sz="8" w:space="0" w:color="B5ABB7" w:themeColor="accent6" w:themeTint="BF"/>
        <w:insideV w:val="single" w:sz="8" w:space="0" w:color="B5ABB7" w:themeColor="accent6" w:themeTint="BF"/>
      </w:tblBorders>
    </w:tblPr>
    <w:tcPr>
      <w:shd w:val="clear" w:color="auto" w:fill="E6E3E7" w:themeFill="accent6" w:themeFillTint="3F"/>
    </w:tcPr>
    <w:tblStylePr w:type="firstRow">
      <w:rPr>
        <w:b/>
        <w:bCs/>
      </w:rPr>
    </w:tblStylePr>
    <w:tblStylePr w:type="lastRow">
      <w:rPr>
        <w:b/>
        <w:bCs/>
      </w:rPr>
      <w:tblPr/>
      <w:tcPr>
        <w:tcBorders>
          <w:top w:val="single" w:sz="18" w:space="0" w:color="B5ABB7" w:themeColor="accent6" w:themeTint="BF"/>
        </w:tcBorders>
      </w:tcPr>
    </w:tblStylePr>
    <w:tblStylePr w:type="firstCol">
      <w:rPr>
        <w:b/>
        <w:bCs/>
      </w:rPr>
    </w:tblStylePr>
    <w:tblStylePr w:type="lastCol">
      <w:rPr>
        <w:b/>
        <w:bCs/>
      </w:rPr>
    </w:tblStylePr>
    <w:tblStylePr w:type="band1Vert">
      <w:tblPr/>
      <w:tcPr>
        <w:shd w:val="clear" w:color="auto" w:fill="CEC7CF" w:themeFill="accent6" w:themeFillTint="7F"/>
      </w:tcPr>
    </w:tblStylePr>
    <w:tblStylePr w:type="band1Horz">
      <w:tblPr/>
      <w:tcPr>
        <w:shd w:val="clear" w:color="auto" w:fill="CEC7CF"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insideH w:val="single" w:sz="8" w:space="0" w:color="4A66AC" w:themeColor="accent1"/>
        <w:insideV w:val="single" w:sz="8" w:space="0" w:color="4A66AC" w:themeColor="accent1"/>
      </w:tblBorders>
    </w:tblPr>
    <w:tcPr>
      <w:shd w:val="clear" w:color="auto" w:fill="D1D8EB" w:themeFill="accent1" w:themeFillTint="3F"/>
    </w:tcPr>
    <w:tblStylePr w:type="firstRow">
      <w:rPr>
        <w:b/>
        <w:bCs/>
        <w:color w:val="000000" w:themeColor="text1"/>
      </w:rPr>
      <w:tblPr/>
      <w:tcPr>
        <w:shd w:val="clear" w:color="auto" w:fill="ECEFF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DFEF" w:themeFill="accent1" w:themeFillTint="33"/>
      </w:tcPr>
    </w:tblStylePr>
    <w:tblStylePr w:type="band1Vert">
      <w:tblPr/>
      <w:tcPr>
        <w:shd w:val="clear" w:color="auto" w:fill="A2B1D7" w:themeFill="accent1" w:themeFillTint="7F"/>
      </w:tcPr>
    </w:tblStylePr>
    <w:tblStylePr w:type="band1Horz">
      <w:tblPr/>
      <w:tcPr>
        <w:tcBorders>
          <w:insideH w:val="single" w:sz="6" w:space="0" w:color="4A66AC" w:themeColor="accent1"/>
          <w:insideV w:val="single" w:sz="6" w:space="0" w:color="4A66AC" w:themeColor="accent1"/>
        </w:tcBorders>
        <w:shd w:val="clear" w:color="auto" w:fill="A2B1D7"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insideH w:val="single" w:sz="8" w:space="0" w:color="629DD1" w:themeColor="accent2"/>
        <w:insideV w:val="single" w:sz="8" w:space="0" w:color="629DD1" w:themeColor="accent2"/>
      </w:tblBorders>
    </w:tblPr>
    <w:tcPr>
      <w:shd w:val="clear" w:color="auto" w:fill="D8E6F3" w:themeFill="accent2" w:themeFillTint="3F"/>
    </w:tcPr>
    <w:tblStylePr w:type="firstRow">
      <w:rPr>
        <w:b/>
        <w:bCs/>
        <w:color w:val="000000" w:themeColor="text1"/>
      </w:rPr>
      <w:tblPr/>
      <w:tcPr>
        <w:shd w:val="clear" w:color="auto" w:fill="EFF5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BF5" w:themeFill="accent2" w:themeFillTint="33"/>
      </w:tcPr>
    </w:tblStylePr>
    <w:tblStylePr w:type="band1Vert">
      <w:tblPr/>
      <w:tcPr>
        <w:shd w:val="clear" w:color="auto" w:fill="B0CDE8" w:themeFill="accent2" w:themeFillTint="7F"/>
      </w:tcPr>
    </w:tblStylePr>
    <w:tblStylePr w:type="band1Horz">
      <w:tblPr/>
      <w:tcPr>
        <w:tcBorders>
          <w:insideH w:val="single" w:sz="6" w:space="0" w:color="629DD1" w:themeColor="accent2"/>
          <w:insideV w:val="single" w:sz="6" w:space="0" w:color="629DD1" w:themeColor="accent2"/>
        </w:tcBorders>
        <w:shd w:val="clear" w:color="auto" w:fill="B0CDE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insideH w:val="single" w:sz="8" w:space="0" w:color="297FD5" w:themeColor="accent3"/>
        <w:insideV w:val="single" w:sz="8" w:space="0" w:color="297FD5" w:themeColor="accent3"/>
      </w:tblBorders>
    </w:tblPr>
    <w:tcPr>
      <w:shd w:val="clear" w:color="auto" w:fill="C9DFF4" w:themeFill="accent3" w:themeFillTint="3F"/>
    </w:tcPr>
    <w:tblStylePr w:type="firstRow">
      <w:rPr>
        <w:b/>
        <w:bCs/>
        <w:color w:val="000000" w:themeColor="text1"/>
      </w:rPr>
      <w:tblPr/>
      <w:tcPr>
        <w:shd w:val="clear" w:color="auto" w:fill="E9F2F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E5F6" w:themeFill="accent3" w:themeFillTint="33"/>
      </w:tcPr>
    </w:tblStylePr>
    <w:tblStylePr w:type="band1Vert">
      <w:tblPr/>
      <w:tcPr>
        <w:shd w:val="clear" w:color="auto" w:fill="93BEEA" w:themeFill="accent3" w:themeFillTint="7F"/>
      </w:tcPr>
    </w:tblStylePr>
    <w:tblStylePr w:type="band1Horz">
      <w:tblPr/>
      <w:tcPr>
        <w:tcBorders>
          <w:insideH w:val="single" w:sz="6" w:space="0" w:color="297FD5" w:themeColor="accent3"/>
          <w:insideV w:val="single" w:sz="6" w:space="0" w:color="297FD5" w:themeColor="accent3"/>
        </w:tcBorders>
        <w:shd w:val="clear" w:color="auto" w:fill="93BEE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insideH w:val="single" w:sz="8" w:space="0" w:color="7F8FA9" w:themeColor="accent4"/>
        <w:insideV w:val="single" w:sz="8" w:space="0" w:color="7F8FA9" w:themeColor="accent4"/>
      </w:tblBorders>
    </w:tblPr>
    <w:tcPr>
      <w:shd w:val="clear" w:color="auto" w:fill="DFE3E9" w:themeFill="accent4" w:themeFillTint="3F"/>
    </w:tcPr>
    <w:tblStylePr w:type="firstRow">
      <w:rPr>
        <w:b/>
        <w:bCs/>
        <w:color w:val="000000" w:themeColor="text1"/>
      </w:rPr>
      <w:tblPr/>
      <w:tcPr>
        <w:shd w:val="clear" w:color="auto" w:fill="F2F3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8ED" w:themeFill="accent4" w:themeFillTint="33"/>
      </w:tcPr>
    </w:tblStylePr>
    <w:tblStylePr w:type="band1Vert">
      <w:tblPr/>
      <w:tcPr>
        <w:shd w:val="clear" w:color="auto" w:fill="BFC7D4" w:themeFill="accent4" w:themeFillTint="7F"/>
      </w:tcPr>
    </w:tblStylePr>
    <w:tblStylePr w:type="band1Horz">
      <w:tblPr/>
      <w:tcPr>
        <w:tcBorders>
          <w:insideH w:val="single" w:sz="6" w:space="0" w:color="7F8FA9" w:themeColor="accent4"/>
          <w:insideV w:val="single" w:sz="6" w:space="0" w:color="7F8FA9" w:themeColor="accent4"/>
        </w:tcBorders>
        <w:shd w:val="clear" w:color="auto" w:fill="BFC7D4"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insideH w:val="single" w:sz="8" w:space="0" w:color="5AA2AE" w:themeColor="accent5"/>
        <w:insideV w:val="single" w:sz="8" w:space="0" w:color="5AA2AE" w:themeColor="accent5"/>
      </w:tblBorders>
    </w:tblPr>
    <w:tcPr>
      <w:shd w:val="clear" w:color="auto" w:fill="D6E7EB" w:themeFill="accent5" w:themeFillTint="3F"/>
    </w:tcPr>
    <w:tblStylePr w:type="firstRow">
      <w:rPr>
        <w:b/>
        <w:bCs/>
        <w:color w:val="000000" w:themeColor="text1"/>
      </w:rPr>
      <w:tblPr/>
      <w:tcPr>
        <w:shd w:val="clear" w:color="auto" w:fill="EEF5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ECEE" w:themeFill="accent5" w:themeFillTint="33"/>
      </w:tcPr>
    </w:tblStylePr>
    <w:tblStylePr w:type="band1Vert">
      <w:tblPr/>
      <w:tcPr>
        <w:shd w:val="clear" w:color="auto" w:fill="ACD0D6" w:themeFill="accent5" w:themeFillTint="7F"/>
      </w:tcPr>
    </w:tblStylePr>
    <w:tblStylePr w:type="band1Horz">
      <w:tblPr/>
      <w:tcPr>
        <w:tcBorders>
          <w:insideH w:val="single" w:sz="6" w:space="0" w:color="5AA2AE" w:themeColor="accent5"/>
          <w:insideV w:val="single" w:sz="6" w:space="0" w:color="5AA2AE" w:themeColor="accent5"/>
        </w:tcBorders>
        <w:shd w:val="clear" w:color="auto" w:fill="ACD0D6"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insideH w:val="single" w:sz="8" w:space="0" w:color="9D90A0" w:themeColor="accent6"/>
        <w:insideV w:val="single" w:sz="8" w:space="0" w:color="9D90A0" w:themeColor="accent6"/>
      </w:tblBorders>
    </w:tblPr>
    <w:tcPr>
      <w:shd w:val="clear" w:color="auto" w:fill="E6E3E7" w:themeFill="accent6" w:themeFillTint="3F"/>
    </w:tcPr>
    <w:tblStylePr w:type="firstRow">
      <w:rPr>
        <w:b/>
        <w:bCs/>
        <w:color w:val="000000" w:themeColor="text1"/>
      </w:rPr>
      <w:tblPr/>
      <w:tcPr>
        <w:shd w:val="clear" w:color="auto" w:fill="F5F4F5"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8EC" w:themeFill="accent6" w:themeFillTint="33"/>
      </w:tcPr>
    </w:tblStylePr>
    <w:tblStylePr w:type="band1Vert">
      <w:tblPr/>
      <w:tcPr>
        <w:shd w:val="clear" w:color="auto" w:fill="CEC7CF" w:themeFill="accent6" w:themeFillTint="7F"/>
      </w:tcPr>
    </w:tblStylePr>
    <w:tblStylePr w:type="band1Horz">
      <w:tblPr/>
      <w:tcPr>
        <w:tcBorders>
          <w:insideH w:val="single" w:sz="6" w:space="0" w:color="9D90A0" w:themeColor="accent6"/>
          <w:insideV w:val="single" w:sz="6" w:space="0" w:color="9D90A0" w:themeColor="accent6"/>
        </w:tcBorders>
        <w:shd w:val="clear" w:color="auto" w:fill="CEC7CF"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D8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A66A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A66A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A66A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A66A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2B1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2B1D7"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8E6F3"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29DD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29DD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29DD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29DD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CDE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CDE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DFF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97FD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97FD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97FD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97FD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3BEE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3BEE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E3E9"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F8FA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F8FA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F8FA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F8FA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C7D4"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C7D4"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7E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AA2A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AA2A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AA2A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AA2A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CD0D6"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CD0D6"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3E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D90A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D90A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D90A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D90A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EC7C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EC7CF"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A66A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25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4C8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4C80" w:themeFill="accent1" w:themeFillShade="BF"/>
      </w:tcPr>
    </w:tblStylePr>
    <w:tblStylePr w:type="band1Vert">
      <w:tblPr/>
      <w:tcPr>
        <w:tcBorders>
          <w:top w:val="nil"/>
          <w:left w:val="nil"/>
          <w:bottom w:val="nil"/>
          <w:right w:val="nil"/>
          <w:insideH w:val="nil"/>
          <w:insideV w:val="nil"/>
        </w:tcBorders>
        <w:shd w:val="clear" w:color="auto" w:fill="374C80" w:themeFill="accent1" w:themeFillShade="BF"/>
      </w:tcPr>
    </w:tblStylePr>
    <w:tblStylePr w:type="band1Horz">
      <w:tblPr/>
      <w:tcPr>
        <w:tcBorders>
          <w:top w:val="nil"/>
          <w:left w:val="nil"/>
          <w:bottom w:val="nil"/>
          <w:right w:val="nil"/>
          <w:insideH w:val="nil"/>
          <w:insideV w:val="nil"/>
        </w:tcBorders>
        <w:shd w:val="clear" w:color="auto" w:fill="374C80"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629DD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24E76"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3476B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3476B1" w:themeFill="accent2" w:themeFillShade="BF"/>
      </w:tcPr>
    </w:tblStylePr>
    <w:tblStylePr w:type="band1Vert">
      <w:tblPr/>
      <w:tcPr>
        <w:tcBorders>
          <w:top w:val="nil"/>
          <w:left w:val="nil"/>
          <w:bottom w:val="nil"/>
          <w:right w:val="nil"/>
          <w:insideH w:val="nil"/>
          <w:insideV w:val="nil"/>
        </w:tcBorders>
        <w:shd w:val="clear" w:color="auto" w:fill="3476B1" w:themeFill="accent2" w:themeFillShade="BF"/>
      </w:tcPr>
    </w:tblStylePr>
    <w:tblStylePr w:type="band1Horz">
      <w:tblPr/>
      <w:tcPr>
        <w:tcBorders>
          <w:top w:val="nil"/>
          <w:left w:val="nil"/>
          <w:bottom w:val="nil"/>
          <w:right w:val="nil"/>
          <w:insideH w:val="nil"/>
          <w:insideV w:val="nil"/>
        </w:tcBorders>
        <w:shd w:val="clear" w:color="auto" w:fill="3476B1"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297FD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43E69"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E5E9F"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E5E9F" w:themeFill="accent3" w:themeFillShade="BF"/>
      </w:tcPr>
    </w:tblStylePr>
    <w:tblStylePr w:type="band1Vert">
      <w:tblPr/>
      <w:tcPr>
        <w:tcBorders>
          <w:top w:val="nil"/>
          <w:left w:val="nil"/>
          <w:bottom w:val="nil"/>
          <w:right w:val="nil"/>
          <w:insideH w:val="nil"/>
          <w:insideV w:val="nil"/>
        </w:tcBorders>
        <w:shd w:val="clear" w:color="auto" w:fill="1E5E9F" w:themeFill="accent3" w:themeFillShade="BF"/>
      </w:tcPr>
    </w:tblStylePr>
    <w:tblStylePr w:type="band1Horz">
      <w:tblPr/>
      <w:tcPr>
        <w:tcBorders>
          <w:top w:val="nil"/>
          <w:left w:val="nil"/>
          <w:bottom w:val="nil"/>
          <w:right w:val="nil"/>
          <w:insideH w:val="nil"/>
          <w:insideV w:val="nil"/>
        </w:tcBorders>
        <w:shd w:val="clear" w:color="auto" w:fill="1E5E9F"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7F8FA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B4658"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9698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96984" w:themeFill="accent4" w:themeFillShade="BF"/>
      </w:tcPr>
    </w:tblStylePr>
    <w:tblStylePr w:type="band1Vert">
      <w:tblPr/>
      <w:tcPr>
        <w:tcBorders>
          <w:top w:val="nil"/>
          <w:left w:val="nil"/>
          <w:bottom w:val="nil"/>
          <w:right w:val="nil"/>
          <w:insideH w:val="nil"/>
          <w:insideV w:val="nil"/>
        </w:tcBorders>
        <w:shd w:val="clear" w:color="auto" w:fill="596984" w:themeFill="accent4" w:themeFillShade="BF"/>
      </w:tcPr>
    </w:tblStylePr>
    <w:tblStylePr w:type="band1Horz">
      <w:tblPr/>
      <w:tcPr>
        <w:tcBorders>
          <w:top w:val="nil"/>
          <w:left w:val="nil"/>
          <w:bottom w:val="nil"/>
          <w:right w:val="nil"/>
          <w:insideH w:val="nil"/>
          <w:insideV w:val="nil"/>
        </w:tcBorders>
        <w:shd w:val="clear" w:color="auto" w:fill="596984"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AA2AE"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B515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17A8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17A84" w:themeFill="accent5" w:themeFillShade="BF"/>
      </w:tcPr>
    </w:tblStylePr>
    <w:tblStylePr w:type="band1Vert">
      <w:tblPr/>
      <w:tcPr>
        <w:tcBorders>
          <w:top w:val="nil"/>
          <w:left w:val="nil"/>
          <w:bottom w:val="nil"/>
          <w:right w:val="nil"/>
          <w:insideH w:val="nil"/>
          <w:insideV w:val="nil"/>
        </w:tcBorders>
        <w:shd w:val="clear" w:color="auto" w:fill="417A84" w:themeFill="accent5" w:themeFillShade="BF"/>
      </w:tcPr>
    </w:tblStylePr>
    <w:tblStylePr w:type="band1Horz">
      <w:tblPr/>
      <w:tcPr>
        <w:tcBorders>
          <w:top w:val="nil"/>
          <w:left w:val="nil"/>
          <w:bottom w:val="nil"/>
          <w:right w:val="nil"/>
          <w:insideH w:val="nil"/>
          <w:insideV w:val="nil"/>
        </w:tcBorders>
        <w:shd w:val="clear" w:color="auto" w:fill="417A84"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9D90A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455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7697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7697A" w:themeFill="accent6" w:themeFillShade="BF"/>
      </w:tcPr>
    </w:tblStylePr>
    <w:tblStylePr w:type="band1Vert">
      <w:tblPr/>
      <w:tcPr>
        <w:tcBorders>
          <w:top w:val="nil"/>
          <w:left w:val="nil"/>
          <w:bottom w:val="nil"/>
          <w:right w:val="nil"/>
          <w:insideH w:val="nil"/>
          <w:insideV w:val="nil"/>
        </w:tcBorders>
        <w:shd w:val="clear" w:color="auto" w:fill="77697A" w:themeFill="accent6" w:themeFillShade="BF"/>
      </w:tcPr>
    </w:tblStylePr>
    <w:tblStylePr w:type="band1Horz">
      <w:tblPr/>
      <w:tcPr>
        <w:tcBorders>
          <w:top w:val="nil"/>
          <w:left w:val="nil"/>
          <w:bottom w:val="nil"/>
          <w:right w:val="nil"/>
          <w:insideH w:val="nil"/>
          <w:insideV w:val="nil"/>
        </w:tcBorders>
        <w:shd w:val="clear" w:color="auto" w:fill="77697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629DD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629DD1" w:themeColor="accent2"/>
        <w:left w:val="single" w:sz="4" w:space="0" w:color="4A66AC" w:themeColor="accent1"/>
        <w:bottom w:val="single" w:sz="4" w:space="0" w:color="4A66AC" w:themeColor="accent1"/>
        <w:right w:val="single" w:sz="4" w:space="0" w:color="4A66AC" w:themeColor="accent1"/>
        <w:insideH w:val="single" w:sz="4" w:space="0" w:color="FFFFFF" w:themeColor="background1"/>
        <w:insideV w:val="single" w:sz="4" w:space="0" w:color="FFFFFF" w:themeColor="background1"/>
      </w:tblBorders>
    </w:tblPr>
    <w:tcPr>
      <w:shd w:val="clear" w:color="auto" w:fill="ECEFF7" w:themeFill="accent1"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3C66" w:themeFill="accent1" w:themeFillShade="99"/>
      </w:tcPr>
    </w:tblStylePr>
    <w:tblStylePr w:type="firstCol">
      <w:rPr>
        <w:color w:val="FFFFFF" w:themeColor="background1"/>
      </w:rPr>
      <w:tblPr/>
      <w:tcPr>
        <w:tcBorders>
          <w:top w:val="nil"/>
          <w:left w:val="nil"/>
          <w:bottom w:val="nil"/>
          <w:right w:val="nil"/>
          <w:insideH w:val="single" w:sz="4" w:space="0" w:color="2C3C66" w:themeColor="accent1" w:themeShade="99"/>
          <w:insideV w:val="nil"/>
        </w:tcBorders>
        <w:shd w:val="clear" w:color="auto" w:fill="2C3C6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3C66" w:themeFill="accent1" w:themeFillShade="99"/>
      </w:tcPr>
    </w:tblStylePr>
    <w:tblStylePr w:type="band1Vert">
      <w:tblPr/>
      <w:tcPr>
        <w:shd w:val="clear" w:color="auto" w:fill="B5C0DF" w:themeFill="accent1" w:themeFillTint="66"/>
      </w:tcPr>
    </w:tblStylePr>
    <w:tblStylePr w:type="band1Horz">
      <w:tblPr/>
      <w:tcPr>
        <w:shd w:val="clear" w:color="auto" w:fill="A2B1D7"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629DD1" w:themeColor="accent2"/>
        <w:left w:val="single" w:sz="4" w:space="0" w:color="629DD1" w:themeColor="accent2"/>
        <w:bottom w:val="single" w:sz="4" w:space="0" w:color="629DD1" w:themeColor="accent2"/>
        <w:right w:val="single" w:sz="4" w:space="0" w:color="629DD1" w:themeColor="accent2"/>
        <w:insideH w:val="single" w:sz="4" w:space="0" w:color="FFFFFF" w:themeColor="background1"/>
        <w:insideV w:val="single" w:sz="4" w:space="0" w:color="FFFFFF" w:themeColor="background1"/>
      </w:tblBorders>
    </w:tblPr>
    <w:tcPr>
      <w:shd w:val="clear" w:color="auto" w:fill="EFF5FA" w:themeFill="accent2"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95E8E" w:themeFill="accent2" w:themeFillShade="99"/>
      </w:tcPr>
    </w:tblStylePr>
    <w:tblStylePr w:type="firstCol">
      <w:rPr>
        <w:color w:val="FFFFFF" w:themeColor="background1"/>
      </w:rPr>
      <w:tblPr/>
      <w:tcPr>
        <w:tcBorders>
          <w:top w:val="nil"/>
          <w:left w:val="nil"/>
          <w:bottom w:val="nil"/>
          <w:right w:val="nil"/>
          <w:insideH w:val="single" w:sz="4" w:space="0" w:color="295E8E" w:themeColor="accent2" w:themeShade="99"/>
          <w:insideV w:val="nil"/>
        </w:tcBorders>
        <w:shd w:val="clear" w:color="auto" w:fill="295E8E"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95E8E" w:themeFill="accent2" w:themeFillShade="99"/>
      </w:tcPr>
    </w:tblStylePr>
    <w:tblStylePr w:type="band1Vert">
      <w:tblPr/>
      <w:tcPr>
        <w:shd w:val="clear" w:color="auto" w:fill="C0D7EC" w:themeFill="accent2" w:themeFillTint="66"/>
      </w:tcPr>
    </w:tblStylePr>
    <w:tblStylePr w:type="band1Horz">
      <w:tblPr/>
      <w:tcPr>
        <w:shd w:val="clear" w:color="auto" w:fill="B0CDE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7F8FA9" w:themeColor="accent4"/>
        <w:left w:val="single" w:sz="4" w:space="0" w:color="297FD5" w:themeColor="accent3"/>
        <w:bottom w:val="single" w:sz="4" w:space="0" w:color="297FD5" w:themeColor="accent3"/>
        <w:right w:val="single" w:sz="4" w:space="0" w:color="297FD5" w:themeColor="accent3"/>
        <w:insideH w:val="single" w:sz="4" w:space="0" w:color="FFFFFF" w:themeColor="background1"/>
        <w:insideV w:val="single" w:sz="4" w:space="0" w:color="FFFFFF" w:themeColor="background1"/>
      </w:tblBorders>
    </w:tblPr>
    <w:tcPr>
      <w:shd w:val="clear" w:color="auto" w:fill="E9F2FB" w:themeFill="accent3" w:themeFillTint="19"/>
    </w:tcPr>
    <w:tblStylePr w:type="firstRow">
      <w:rPr>
        <w:b/>
        <w:bCs/>
      </w:rPr>
      <w:tblPr/>
      <w:tcPr>
        <w:tcBorders>
          <w:top w:val="nil"/>
          <w:left w:val="nil"/>
          <w:bottom w:val="single" w:sz="24" w:space="0" w:color="7F8FA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84B7F" w:themeFill="accent3" w:themeFillShade="99"/>
      </w:tcPr>
    </w:tblStylePr>
    <w:tblStylePr w:type="firstCol">
      <w:rPr>
        <w:color w:val="FFFFFF" w:themeColor="background1"/>
      </w:rPr>
      <w:tblPr/>
      <w:tcPr>
        <w:tcBorders>
          <w:top w:val="nil"/>
          <w:left w:val="nil"/>
          <w:bottom w:val="nil"/>
          <w:right w:val="nil"/>
          <w:insideH w:val="single" w:sz="4" w:space="0" w:color="184B7F" w:themeColor="accent3" w:themeShade="99"/>
          <w:insideV w:val="nil"/>
        </w:tcBorders>
        <w:shd w:val="clear" w:color="auto" w:fill="184B7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84B7F" w:themeFill="accent3" w:themeFillShade="99"/>
      </w:tcPr>
    </w:tblStylePr>
    <w:tblStylePr w:type="band1Vert">
      <w:tblPr/>
      <w:tcPr>
        <w:shd w:val="clear" w:color="auto" w:fill="A8CBEE" w:themeFill="accent3" w:themeFillTint="66"/>
      </w:tcPr>
    </w:tblStylePr>
    <w:tblStylePr w:type="band1Horz">
      <w:tblPr/>
      <w:tcPr>
        <w:shd w:val="clear" w:color="auto" w:fill="93BEEA"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297FD5" w:themeColor="accent3"/>
        <w:left w:val="single" w:sz="4" w:space="0" w:color="7F8FA9" w:themeColor="accent4"/>
        <w:bottom w:val="single" w:sz="4" w:space="0" w:color="7F8FA9" w:themeColor="accent4"/>
        <w:right w:val="single" w:sz="4" w:space="0" w:color="7F8FA9" w:themeColor="accent4"/>
        <w:insideH w:val="single" w:sz="4" w:space="0" w:color="FFFFFF" w:themeColor="background1"/>
        <w:insideV w:val="single" w:sz="4" w:space="0" w:color="FFFFFF" w:themeColor="background1"/>
      </w:tblBorders>
    </w:tblPr>
    <w:tcPr>
      <w:shd w:val="clear" w:color="auto" w:fill="F2F3F6" w:themeFill="accent4" w:themeFillTint="19"/>
    </w:tcPr>
    <w:tblStylePr w:type="firstRow">
      <w:rPr>
        <w:b/>
        <w:bCs/>
      </w:rPr>
      <w:tblPr/>
      <w:tcPr>
        <w:tcBorders>
          <w:top w:val="nil"/>
          <w:left w:val="nil"/>
          <w:bottom w:val="single" w:sz="24" w:space="0" w:color="297FD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7546A" w:themeFill="accent4" w:themeFillShade="99"/>
      </w:tcPr>
    </w:tblStylePr>
    <w:tblStylePr w:type="firstCol">
      <w:rPr>
        <w:color w:val="FFFFFF" w:themeColor="background1"/>
      </w:rPr>
      <w:tblPr/>
      <w:tcPr>
        <w:tcBorders>
          <w:top w:val="nil"/>
          <w:left w:val="nil"/>
          <w:bottom w:val="nil"/>
          <w:right w:val="nil"/>
          <w:insideH w:val="single" w:sz="4" w:space="0" w:color="47546A" w:themeColor="accent4" w:themeShade="99"/>
          <w:insideV w:val="nil"/>
        </w:tcBorders>
        <w:shd w:val="clear" w:color="auto" w:fill="47546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7546A" w:themeFill="accent4" w:themeFillShade="99"/>
      </w:tcPr>
    </w:tblStylePr>
    <w:tblStylePr w:type="band1Vert">
      <w:tblPr/>
      <w:tcPr>
        <w:shd w:val="clear" w:color="auto" w:fill="CBD2DC" w:themeFill="accent4" w:themeFillTint="66"/>
      </w:tcPr>
    </w:tblStylePr>
    <w:tblStylePr w:type="band1Horz">
      <w:tblPr/>
      <w:tcPr>
        <w:shd w:val="clear" w:color="auto" w:fill="BFC7D4"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9D90A0" w:themeColor="accent6"/>
        <w:left w:val="single" w:sz="4" w:space="0" w:color="5AA2AE" w:themeColor="accent5"/>
        <w:bottom w:val="single" w:sz="4" w:space="0" w:color="5AA2AE" w:themeColor="accent5"/>
        <w:right w:val="single" w:sz="4" w:space="0" w:color="5AA2AE" w:themeColor="accent5"/>
        <w:insideH w:val="single" w:sz="4" w:space="0" w:color="FFFFFF" w:themeColor="background1"/>
        <w:insideV w:val="single" w:sz="4" w:space="0" w:color="FFFFFF" w:themeColor="background1"/>
      </w:tblBorders>
    </w:tblPr>
    <w:tcPr>
      <w:shd w:val="clear" w:color="auto" w:fill="EEF5F7" w:themeFill="accent5" w:themeFillTint="19"/>
    </w:tcPr>
    <w:tblStylePr w:type="firstRow">
      <w:rPr>
        <w:b/>
        <w:bCs/>
      </w:rPr>
      <w:tblPr/>
      <w:tcPr>
        <w:tcBorders>
          <w:top w:val="nil"/>
          <w:left w:val="nil"/>
          <w:bottom w:val="single" w:sz="24" w:space="0" w:color="9D90A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4626A" w:themeFill="accent5" w:themeFillShade="99"/>
      </w:tcPr>
    </w:tblStylePr>
    <w:tblStylePr w:type="firstCol">
      <w:rPr>
        <w:color w:val="FFFFFF" w:themeColor="background1"/>
      </w:rPr>
      <w:tblPr/>
      <w:tcPr>
        <w:tcBorders>
          <w:top w:val="nil"/>
          <w:left w:val="nil"/>
          <w:bottom w:val="nil"/>
          <w:right w:val="nil"/>
          <w:insideH w:val="single" w:sz="4" w:space="0" w:color="34626A" w:themeColor="accent5" w:themeShade="99"/>
          <w:insideV w:val="nil"/>
        </w:tcBorders>
        <w:shd w:val="clear" w:color="auto" w:fill="34626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4626A" w:themeFill="accent5" w:themeFillShade="99"/>
      </w:tcPr>
    </w:tblStylePr>
    <w:tblStylePr w:type="band1Vert">
      <w:tblPr/>
      <w:tcPr>
        <w:shd w:val="clear" w:color="auto" w:fill="BCD9DE" w:themeFill="accent5" w:themeFillTint="66"/>
      </w:tcPr>
    </w:tblStylePr>
    <w:tblStylePr w:type="band1Horz">
      <w:tblPr/>
      <w:tcPr>
        <w:shd w:val="clear" w:color="auto" w:fill="ACD0D6"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AA2AE" w:themeColor="accent5"/>
        <w:left w:val="single" w:sz="4" w:space="0" w:color="9D90A0" w:themeColor="accent6"/>
        <w:bottom w:val="single" w:sz="4" w:space="0" w:color="9D90A0" w:themeColor="accent6"/>
        <w:right w:val="single" w:sz="4" w:space="0" w:color="9D90A0" w:themeColor="accent6"/>
        <w:insideH w:val="single" w:sz="4" w:space="0" w:color="FFFFFF" w:themeColor="background1"/>
        <w:insideV w:val="single" w:sz="4" w:space="0" w:color="FFFFFF" w:themeColor="background1"/>
      </w:tblBorders>
    </w:tblPr>
    <w:tcPr>
      <w:shd w:val="clear" w:color="auto" w:fill="F5F4F5" w:themeFill="accent6" w:themeFillTint="19"/>
    </w:tcPr>
    <w:tblStylePr w:type="firstRow">
      <w:rPr>
        <w:b/>
        <w:bCs/>
      </w:rPr>
      <w:tblPr/>
      <w:tcPr>
        <w:tcBorders>
          <w:top w:val="nil"/>
          <w:left w:val="nil"/>
          <w:bottom w:val="single" w:sz="24" w:space="0" w:color="5AA2AE"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5462" w:themeFill="accent6" w:themeFillShade="99"/>
      </w:tcPr>
    </w:tblStylePr>
    <w:tblStylePr w:type="firstCol">
      <w:rPr>
        <w:color w:val="FFFFFF" w:themeColor="background1"/>
      </w:rPr>
      <w:tblPr/>
      <w:tcPr>
        <w:tcBorders>
          <w:top w:val="nil"/>
          <w:left w:val="nil"/>
          <w:bottom w:val="nil"/>
          <w:right w:val="nil"/>
          <w:insideH w:val="single" w:sz="4" w:space="0" w:color="5F5462" w:themeColor="accent6" w:themeShade="99"/>
          <w:insideV w:val="nil"/>
        </w:tcBorders>
        <w:shd w:val="clear" w:color="auto" w:fill="5F546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F5462" w:themeFill="accent6" w:themeFillShade="99"/>
      </w:tcPr>
    </w:tblStylePr>
    <w:tblStylePr w:type="band1Vert">
      <w:tblPr/>
      <w:tcPr>
        <w:shd w:val="clear" w:color="auto" w:fill="D7D2D9" w:themeFill="accent6" w:themeFillTint="66"/>
      </w:tcPr>
    </w:tblStylePr>
    <w:tblStylePr w:type="band1Horz">
      <w:tblPr/>
      <w:tcPr>
        <w:shd w:val="clear" w:color="auto" w:fill="CEC7CF"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CEFF7" w:themeFill="accent1"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8EB" w:themeFill="accent1" w:themeFillTint="3F"/>
      </w:tcPr>
    </w:tblStylePr>
    <w:tblStylePr w:type="band1Horz">
      <w:tblPr/>
      <w:tcPr>
        <w:shd w:val="clear" w:color="auto" w:fill="D9DFEF"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EFF5FA" w:themeFill="accent2"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E6F3" w:themeFill="accent2" w:themeFillTint="3F"/>
      </w:tcPr>
    </w:tblStylePr>
    <w:tblStylePr w:type="band1Horz">
      <w:tblPr/>
      <w:tcPr>
        <w:shd w:val="clear" w:color="auto" w:fill="DFEBF5"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E9F2FB" w:themeFill="accent3" w:themeFillTint="19"/>
    </w:tcPr>
    <w:tblStylePr w:type="firstRow">
      <w:rPr>
        <w:b/>
        <w:bCs/>
        <w:color w:val="FFFFFF" w:themeColor="background1"/>
      </w:rPr>
      <w:tblPr/>
      <w:tcPr>
        <w:tcBorders>
          <w:bottom w:val="single" w:sz="12" w:space="0" w:color="FFFFFF" w:themeColor="background1"/>
        </w:tcBorders>
        <w:shd w:val="clear" w:color="auto" w:fill="5F708D" w:themeFill="accent4" w:themeFillShade="CC"/>
      </w:tcPr>
    </w:tblStylePr>
    <w:tblStylePr w:type="lastRow">
      <w:rPr>
        <w:b/>
        <w:bCs/>
        <w:color w:val="5F708D"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DFF4" w:themeFill="accent3" w:themeFillTint="3F"/>
      </w:tcPr>
    </w:tblStylePr>
    <w:tblStylePr w:type="band1Horz">
      <w:tblPr/>
      <w:tcPr>
        <w:shd w:val="clear" w:color="auto" w:fill="D3E5F6"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3F6" w:themeFill="accent4" w:themeFillTint="19"/>
    </w:tcPr>
    <w:tblStylePr w:type="firstRow">
      <w:rPr>
        <w:b/>
        <w:bCs/>
        <w:color w:val="FFFFFF" w:themeColor="background1"/>
      </w:rPr>
      <w:tblPr/>
      <w:tcPr>
        <w:tcBorders>
          <w:bottom w:val="single" w:sz="12" w:space="0" w:color="FFFFFF" w:themeColor="background1"/>
        </w:tcBorders>
        <w:shd w:val="clear" w:color="auto" w:fill="2065AA" w:themeFill="accent3" w:themeFillShade="CC"/>
      </w:tcPr>
    </w:tblStylePr>
    <w:tblStylePr w:type="lastRow">
      <w:rPr>
        <w:b/>
        <w:bCs/>
        <w:color w:val="2065A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3E9" w:themeFill="accent4" w:themeFillTint="3F"/>
      </w:tcPr>
    </w:tblStylePr>
    <w:tblStylePr w:type="band1Horz">
      <w:tblPr/>
      <w:tcPr>
        <w:shd w:val="clear" w:color="auto" w:fill="E5E8ED"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EF5F7" w:themeFill="accent5" w:themeFillTint="19"/>
    </w:tcPr>
    <w:tblStylePr w:type="firstRow">
      <w:rPr>
        <w:b/>
        <w:bCs/>
        <w:color w:val="FFFFFF" w:themeColor="background1"/>
      </w:rPr>
      <w:tblPr/>
      <w:tcPr>
        <w:tcBorders>
          <w:bottom w:val="single" w:sz="12" w:space="0" w:color="FFFFFF" w:themeColor="background1"/>
        </w:tcBorders>
        <w:shd w:val="clear" w:color="auto" w:fill="7F7082" w:themeFill="accent6" w:themeFillShade="CC"/>
      </w:tcPr>
    </w:tblStylePr>
    <w:tblStylePr w:type="lastRow">
      <w:rPr>
        <w:b/>
        <w:bCs/>
        <w:color w:val="7F7082"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7EB" w:themeFill="accent5" w:themeFillTint="3F"/>
      </w:tcPr>
    </w:tblStylePr>
    <w:tblStylePr w:type="band1Horz">
      <w:tblPr/>
      <w:tcPr>
        <w:shd w:val="clear" w:color="auto" w:fill="DDECEE"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5F4F5" w:themeFill="accent6" w:themeFillTint="19"/>
    </w:tcPr>
    <w:tblStylePr w:type="firstRow">
      <w:rPr>
        <w:b/>
        <w:bCs/>
        <w:color w:val="FFFFFF" w:themeColor="background1"/>
      </w:rPr>
      <w:tblPr/>
      <w:tcPr>
        <w:tcBorders>
          <w:bottom w:val="single" w:sz="12" w:space="0" w:color="FFFFFF" w:themeColor="background1"/>
        </w:tcBorders>
        <w:shd w:val="clear" w:color="auto" w:fill="45828D" w:themeFill="accent5" w:themeFillShade="CC"/>
      </w:tcPr>
    </w:tblStylePr>
    <w:tblStylePr w:type="lastRow">
      <w:rPr>
        <w:b/>
        <w:bCs/>
        <w:color w:val="45828D"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3E7" w:themeFill="accent6" w:themeFillTint="3F"/>
      </w:tcPr>
    </w:tblStylePr>
    <w:tblStylePr w:type="band1Horz">
      <w:tblPr/>
      <w:tcPr>
        <w:shd w:val="clear" w:color="auto" w:fill="EBE8EC"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DFEF" w:themeFill="accent1" w:themeFillTint="33"/>
    </w:tcPr>
    <w:tblStylePr w:type="firstRow">
      <w:rPr>
        <w:b/>
        <w:bCs/>
      </w:rPr>
      <w:tblPr/>
      <w:tcPr>
        <w:shd w:val="clear" w:color="auto" w:fill="B5C0DF" w:themeFill="accent1" w:themeFillTint="66"/>
      </w:tcPr>
    </w:tblStylePr>
    <w:tblStylePr w:type="lastRow">
      <w:rPr>
        <w:b/>
        <w:bCs/>
        <w:color w:val="000000" w:themeColor="text1"/>
      </w:rPr>
      <w:tblPr/>
      <w:tcPr>
        <w:shd w:val="clear" w:color="auto" w:fill="B5C0DF" w:themeFill="accent1" w:themeFillTint="66"/>
      </w:tcPr>
    </w:tblStylePr>
    <w:tblStylePr w:type="firstCol">
      <w:rPr>
        <w:color w:val="FFFFFF" w:themeColor="background1"/>
      </w:rPr>
      <w:tblPr/>
      <w:tcPr>
        <w:shd w:val="clear" w:color="auto" w:fill="374C80" w:themeFill="accent1" w:themeFillShade="BF"/>
      </w:tcPr>
    </w:tblStylePr>
    <w:tblStylePr w:type="lastCol">
      <w:rPr>
        <w:color w:val="FFFFFF" w:themeColor="background1"/>
      </w:rPr>
      <w:tblPr/>
      <w:tcPr>
        <w:shd w:val="clear" w:color="auto" w:fill="374C80" w:themeFill="accent1" w:themeFillShade="BF"/>
      </w:tcPr>
    </w:tblStylePr>
    <w:tblStylePr w:type="band1Vert">
      <w:tblPr/>
      <w:tcPr>
        <w:shd w:val="clear" w:color="auto" w:fill="A2B1D7" w:themeFill="accent1" w:themeFillTint="7F"/>
      </w:tcPr>
    </w:tblStylePr>
    <w:tblStylePr w:type="band1Horz">
      <w:tblPr/>
      <w:tcPr>
        <w:shd w:val="clear" w:color="auto" w:fill="A2B1D7"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EBF5" w:themeFill="accent2" w:themeFillTint="33"/>
    </w:tcPr>
    <w:tblStylePr w:type="firstRow">
      <w:rPr>
        <w:b/>
        <w:bCs/>
      </w:rPr>
      <w:tblPr/>
      <w:tcPr>
        <w:shd w:val="clear" w:color="auto" w:fill="C0D7EC" w:themeFill="accent2" w:themeFillTint="66"/>
      </w:tcPr>
    </w:tblStylePr>
    <w:tblStylePr w:type="lastRow">
      <w:rPr>
        <w:b/>
        <w:bCs/>
        <w:color w:val="000000" w:themeColor="text1"/>
      </w:rPr>
      <w:tblPr/>
      <w:tcPr>
        <w:shd w:val="clear" w:color="auto" w:fill="C0D7EC" w:themeFill="accent2" w:themeFillTint="66"/>
      </w:tcPr>
    </w:tblStylePr>
    <w:tblStylePr w:type="firstCol">
      <w:rPr>
        <w:color w:val="FFFFFF" w:themeColor="background1"/>
      </w:rPr>
      <w:tblPr/>
      <w:tcPr>
        <w:shd w:val="clear" w:color="auto" w:fill="3476B1" w:themeFill="accent2" w:themeFillShade="BF"/>
      </w:tcPr>
    </w:tblStylePr>
    <w:tblStylePr w:type="lastCol">
      <w:rPr>
        <w:color w:val="FFFFFF" w:themeColor="background1"/>
      </w:rPr>
      <w:tblPr/>
      <w:tcPr>
        <w:shd w:val="clear" w:color="auto" w:fill="3476B1" w:themeFill="accent2" w:themeFillShade="BF"/>
      </w:tcPr>
    </w:tblStylePr>
    <w:tblStylePr w:type="band1Vert">
      <w:tblPr/>
      <w:tcPr>
        <w:shd w:val="clear" w:color="auto" w:fill="B0CDE8" w:themeFill="accent2" w:themeFillTint="7F"/>
      </w:tcPr>
    </w:tblStylePr>
    <w:tblStylePr w:type="band1Horz">
      <w:tblPr/>
      <w:tcPr>
        <w:shd w:val="clear" w:color="auto" w:fill="B0CDE8"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3E5F6" w:themeFill="accent3" w:themeFillTint="33"/>
    </w:tcPr>
    <w:tblStylePr w:type="firstRow">
      <w:rPr>
        <w:b/>
        <w:bCs/>
      </w:rPr>
      <w:tblPr/>
      <w:tcPr>
        <w:shd w:val="clear" w:color="auto" w:fill="A8CBEE" w:themeFill="accent3" w:themeFillTint="66"/>
      </w:tcPr>
    </w:tblStylePr>
    <w:tblStylePr w:type="lastRow">
      <w:rPr>
        <w:b/>
        <w:bCs/>
        <w:color w:val="000000" w:themeColor="text1"/>
      </w:rPr>
      <w:tblPr/>
      <w:tcPr>
        <w:shd w:val="clear" w:color="auto" w:fill="A8CBEE" w:themeFill="accent3" w:themeFillTint="66"/>
      </w:tcPr>
    </w:tblStylePr>
    <w:tblStylePr w:type="firstCol">
      <w:rPr>
        <w:color w:val="FFFFFF" w:themeColor="background1"/>
      </w:rPr>
      <w:tblPr/>
      <w:tcPr>
        <w:shd w:val="clear" w:color="auto" w:fill="1E5E9F" w:themeFill="accent3" w:themeFillShade="BF"/>
      </w:tcPr>
    </w:tblStylePr>
    <w:tblStylePr w:type="lastCol">
      <w:rPr>
        <w:color w:val="FFFFFF" w:themeColor="background1"/>
      </w:rPr>
      <w:tblPr/>
      <w:tcPr>
        <w:shd w:val="clear" w:color="auto" w:fill="1E5E9F" w:themeFill="accent3" w:themeFillShade="BF"/>
      </w:tcPr>
    </w:tblStylePr>
    <w:tblStylePr w:type="band1Vert">
      <w:tblPr/>
      <w:tcPr>
        <w:shd w:val="clear" w:color="auto" w:fill="93BEEA" w:themeFill="accent3" w:themeFillTint="7F"/>
      </w:tcPr>
    </w:tblStylePr>
    <w:tblStylePr w:type="band1Horz">
      <w:tblPr/>
      <w:tcPr>
        <w:shd w:val="clear" w:color="auto" w:fill="93BEEA"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8ED" w:themeFill="accent4" w:themeFillTint="33"/>
    </w:tcPr>
    <w:tblStylePr w:type="firstRow">
      <w:rPr>
        <w:b/>
        <w:bCs/>
      </w:rPr>
      <w:tblPr/>
      <w:tcPr>
        <w:shd w:val="clear" w:color="auto" w:fill="CBD2DC" w:themeFill="accent4" w:themeFillTint="66"/>
      </w:tcPr>
    </w:tblStylePr>
    <w:tblStylePr w:type="lastRow">
      <w:rPr>
        <w:b/>
        <w:bCs/>
        <w:color w:val="000000" w:themeColor="text1"/>
      </w:rPr>
      <w:tblPr/>
      <w:tcPr>
        <w:shd w:val="clear" w:color="auto" w:fill="CBD2DC" w:themeFill="accent4" w:themeFillTint="66"/>
      </w:tcPr>
    </w:tblStylePr>
    <w:tblStylePr w:type="firstCol">
      <w:rPr>
        <w:color w:val="FFFFFF" w:themeColor="background1"/>
      </w:rPr>
      <w:tblPr/>
      <w:tcPr>
        <w:shd w:val="clear" w:color="auto" w:fill="596984" w:themeFill="accent4" w:themeFillShade="BF"/>
      </w:tcPr>
    </w:tblStylePr>
    <w:tblStylePr w:type="lastCol">
      <w:rPr>
        <w:color w:val="FFFFFF" w:themeColor="background1"/>
      </w:rPr>
      <w:tblPr/>
      <w:tcPr>
        <w:shd w:val="clear" w:color="auto" w:fill="596984" w:themeFill="accent4" w:themeFillShade="BF"/>
      </w:tcPr>
    </w:tblStylePr>
    <w:tblStylePr w:type="band1Vert">
      <w:tblPr/>
      <w:tcPr>
        <w:shd w:val="clear" w:color="auto" w:fill="BFC7D4" w:themeFill="accent4" w:themeFillTint="7F"/>
      </w:tcPr>
    </w:tblStylePr>
    <w:tblStylePr w:type="band1Horz">
      <w:tblPr/>
      <w:tcPr>
        <w:shd w:val="clear" w:color="auto" w:fill="BFC7D4"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DECEE" w:themeFill="accent5" w:themeFillTint="33"/>
    </w:tcPr>
    <w:tblStylePr w:type="firstRow">
      <w:rPr>
        <w:b/>
        <w:bCs/>
      </w:rPr>
      <w:tblPr/>
      <w:tcPr>
        <w:shd w:val="clear" w:color="auto" w:fill="BCD9DE" w:themeFill="accent5" w:themeFillTint="66"/>
      </w:tcPr>
    </w:tblStylePr>
    <w:tblStylePr w:type="lastRow">
      <w:rPr>
        <w:b/>
        <w:bCs/>
        <w:color w:val="000000" w:themeColor="text1"/>
      </w:rPr>
      <w:tblPr/>
      <w:tcPr>
        <w:shd w:val="clear" w:color="auto" w:fill="BCD9DE" w:themeFill="accent5" w:themeFillTint="66"/>
      </w:tcPr>
    </w:tblStylePr>
    <w:tblStylePr w:type="firstCol">
      <w:rPr>
        <w:color w:val="FFFFFF" w:themeColor="background1"/>
      </w:rPr>
      <w:tblPr/>
      <w:tcPr>
        <w:shd w:val="clear" w:color="auto" w:fill="417A84" w:themeFill="accent5" w:themeFillShade="BF"/>
      </w:tcPr>
    </w:tblStylePr>
    <w:tblStylePr w:type="lastCol">
      <w:rPr>
        <w:color w:val="FFFFFF" w:themeColor="background1"/>
      </w:rPr>
      <w:tblPr/>
      <w:tcPr>
        <w:shd w:val="clear" w:color="auto" w:fill="417A84" w:themeFill="accent5" w:themeFillShade="BF"/>
      </w:tcPr>
    </w:tblStylePr>
    <w:tblStylePr w:type="band1Vert">
      <w:tblPr/>
      <w:tcPr>
        <w:shd w:val="clear" w:color="auto" w:fill="ACD0D6" w:themeFill="accent5" w:themeFillTint="7F"/>
      </w:tcPr>
    </w:tblStylePr>
    <w:tblStylePr w:type="band1Horz">
      <w:tblPr/>
      <w:tcPr>
        <w:shd w:val="clear" w:color="auto" w:fill="ACD0D6"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E8EC" w:themeFill="accent6" w:themeFillTint="33"/>
    </w:tcPr>
    <w:tblStylePr w:type="firstRow">
      <w:rPr>
        <w:b/>
        <w:bCs/>
      </w:rPr>
      <w:tblPr/>
      <w:tcPr>
        <w:shd w:val="clear" w:color="auto" w:fill="D7D2D9" w:themeFill="accent6" w:themeFillTint="66"/>
      </w:tcPr>
    </w:tblStylePr>
    <w:tblStylePr w:type="lastRow">
      <w:rPr>
        <w:b/>
        <w:bCs/>
        <w:color w:val="000000" w:themeColor="text1"/>
      </w:rPr>
      <w:tblPr/>
      <w:tcPr>
        <w:shd w:val="clear" w:color="auto" w:fill="D7D2D9" w:themeFill="accent6" w:themeFillTint="66"/>
      </w:tcPr>
    </w:tblStylePr>
    <w:tblStylePr w:type="firstCol">
      <w:rPr>
        <w:color w:val="FFFFFF" w:themeColor="background1"/>
      </w:rPr>
      <w:tblPr/>
      <w:tcPr>
        <w:shd w:val="clear" w:color="auto" w:fill="77697A" w:themeFill="accent6" w:themeFillShade="BF"/>
      </w:tcPr>
    </w:tblStylePr>
    <w:tblStylePr w:type="lastCol">
      <w:rPr>
        <w:color w:val="FFFFFF" w:themeColor="background1"/>
      </w:rPr>
      <w:tblPr/>
      <w:tcPr>
        <w:shd w:val="clear" w:color="auto" w:fill="77697A" w:themeFill="accent6" w:themeFillShade="BF"/>
      </w:tcPr>
    </w:tblStylePr>
    <w:tblStylePr w:type="band1Vert">
      <w:tblPr/>
      <w:tcPr>
        <w:shd w:val="clear" w:color="auto" w:fill="CEC7CF" w:themeFill="accent6" w:themeFillTint="7F"/>
      </w:tcPr>
    </w:tblStylePr>
    <w:tblStylePr w:type="band1Horz">
      <w:tblPr/>
      <w:tcPr>
        <w:shd w:val="clear" w:color="auto" w:fill="CEC7CF" w:themeFill="accent6" w:themeFillTint="7F"/>
      </w:tcPr>
    </w:tblStylePr>
  </w:style>
  <w:style w:type="paragraph" w:styleId="NormalWeb">
    <w:name w:val="Normal (Web)"/>
    <w:basedOn w:val="Normal"/>
    <w:uiPriority w:val="99"/>
    <w:semiHidden/>
    <w:unhideWhenUsed/>
    <w:rsid w:val="0061667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11</Pages>
  <Words>2569</Words>
  <Characters>14648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Eigen Vector</cp:lastModifiedBy>
  <cp:revision>12</cp:revision>
  <cp:lastPrinted>2026-06-16T02:10:00Z</cp:lastPrinted>
  <dcterms:created xsi:type="dcterms:W3CDTF">2013-12-23T23:15:00Z</dcterms:created>
  <dcterms:modified xsi:type="dcterms:W3CDTF">2026-06-16T02:18:00Z</dcterms:modified>
  <cp:category/>
</cp:coreProperties>
</file>