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self-assessment findings</w:t>
      </w:r>
    </w:p>
    <w:p>
      <w:r>
        <w:rPr>
          <w:b/>
        </w:rPr>
        <w:t>Riverside Community Food Bank</w:t>
      </w:r>
      <w:r>
        <w:br/>
        <w:t>Assessed against NIST Cybersecurity Framework Version 2.0. Targets from NIST SP 1300, CSF 2.0 Small Business Quick-Start Guide.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Riverside Community Food Bank answered 91 of the 100 questions in the bank; the other 9 did not apply to its profile or were follow-ups to practices it does not have yet.</w:t>
      </w:r>
    </w:p>
    <w:p>
      <w:pPr>
        <w:pStyle w:val="ListBullet"/>
      </w:pPr>
      <w:r>
        <w:t>Of the 104 CSF 2.0 subcategories that apply, 22 meet the target taken from NIST's Small Business Quick-Start Guide. Overall the organisation reaches 34% of its target profile.</w:t>
      </w:r>
    </w:p>
    <w:p>
      <w:pPr>
        <w:pStyle w:val="ListBullet"/>
      </w:pPr>
      <w:r>
        <w:t>The strongest function is Protect (50% of target) and the weakest is Recover (28%).</w:t>
      </w:r>
    </w:p>
    <w:p>
      <w:pPr>
        <w:pStyle w:val="ListBullet"/>
      </w:pPr>
      <w:r>
        <w:t>82 gaps remain, 24 of them rated High or Critical for likelihood and impact.</w:t>
      </w:r>
    </w:p>
    <w:p>
      <w:pPr>
        <w:pStyle w:val="ListBullet"/>
      </w:pPr>
      <w:r>
        <w:t>The action plan has 82 actions ranked by risk reduced per unit of cost; 8 of the top 10 need staff time rather than money.</w:t>
      </w:r>
    </w:p>
    <w:p>
      <w:r>
        <w:t>Start with these:</w:t>
      </w:r>
    </w:p>
    <w:p>
      <w:pPr>
        <w:pStyle w:val="ListNumber"/>
      </w:pPr>
      <w:r>
        <w:t>Verify a person's claimed identity at enrollment time using government-issued identity credentials (e.g., passport, visa, driver's license) (PR.AA-02; Low (under ~$500 a year))</w:t>
      </w:r>
    </w:p>
    <w:p>
      <w:pPr>
        <w:pStyle w:val="ListNumber"/>
      </w:pPr>
      <w:r>
        <w:t>Identify the specialized roles within the organization that require additional cybersecurity training, such as physical and cybersecurity personnel, finance personnel, senior leadership, and anyone with access to business-critical data (PR.AT-02; Free (time only))</w:t>
      </w:r>
    </w:p>
    <w:p>
      <w:pPr>
        <w:pStyle w:val="ListNumber"/>
      </w:pPr>
      <w:r>
        <w:t>Maintain baselines of communication and data flows within the organization's wired and wireless networks (ID.AM-03; Free (time only))</w:t>
      </w:r>
    </w:p>
    <w:p>
      <w:pPr>
        <w:pStyle w:val="ListNumber"/>
      </w:pPr>
      <w:r>
        <w:t>Check restored assets for indicators of compromise and remediation of root causes of the incident before production use (RC.RP-05; Free (time only))</w:t>
      </w:r>
    </w:p>
    <w:p>
      <w:pPr>
        <w:pStyle w:val="ListNumber"/>
      </w:pPr>
      <w:r>
        <w:t>Prepare an after-action report that documents the incident itself, the response and recovery actions taken, and lessons learned (RC.RP-06; Free (time only))</w:t>
      </w:r>
    </w:p>
    <w:p>
      <w:pPr>
        <w:pStyle w:val="Heading1"/>
      </w:pPr>
      <w:r>
        <w:t>Progress since version 1</w:t>
      </w:r>
    </w:p>
    <w:p>
      <w:pPr>
        <w:pStyle w:val="ListBullet"/>
      </w:pPr>
      <w:r>
        <w:t>Since version 1 the organisation went from 27% to 34% of its target profile, and from 19 to 22 subcategories at target.</w:t>
      </w:r>
    </w:p>
    <w:p>
      <w:pPr>
        <w:pStyle w:val="ListBullet"/>
      </w:pPr>
      <w:r>
        <w:t>18 subcategories improved and 3 went backwards; 17 answers changed.</w:t>
      </w:r>
    </w:p>
    <w:p>
      <w:pPr>
        <w:pStyle w:val="ListBullet"/>
      </w:pPr>
      <w:r>
        <w:t>Of the 85 actions in the earlier plan, 4 are done and 14 have moved forward; the plan now has 82 actions, 1 of them new.</w:t>
      </w:r>
    </w:p>
    <w:p>
      <w:pPr>
        <w:pStyle w:val="ListBullet"/>
      </w:pPr>
      <w:r>
        <w:t>Total risk across the profile went from 817.43 to 787.43.</w:t>
      </w:r>
    </w:p>
    <w:p>
      <w:pPr>
        <w:pStyle w:val="ListBullet"/>
      </w:pPr>
      <w:r>
        <w:t>The organisation's profile changed: remote staff (now yes).</w:t>
      </w:r>
    </w:p>
    <w:p>
      <w:pPr>
        <w:keepNext/>
      </w:pPr>
      <w:r>
        <w:t>Share of the target reached, by function: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701"/>
        <w:gridCol w:w="1701"/>
      </w:tblGrid>
      <w:tr>
        <w:tc>
          <w:tcPr>
            <w:tcW w:type="dxa" w:w="2268"/>
            <w:shd w:val="clear" w:color="auto" w:fill="1F3864"/>
          </w:tcPr>
          <w:p>
            <w:pPr>
              <w:keepNext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Reached before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Reached now</w:t>
            </w:r>
          </w:p>
        </w:tc>
        <w:tc>
          <w:tcPr>
            <w:tcW w:type="dxa" w:w="1701"/>
            <w:shd w:val="clear" w:color="auto" w:fill="1F3864"/>
          </w:tcPr>
          <w:p>
            <w:pPr>
              <w:keepNext/>
            </w:pPr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Govern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33%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31%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-2 points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Identify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19%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28%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+9 points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Protect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46%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50%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+4 points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Detect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30%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30%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+0 points</w:t>
            </w:r>
          </w:p>
        </w:tc>
      </w:tr>
      <w:tr>
        <w:tc>
          <w:tcPr>
            <w:tcW w:type="dxa" w:w="2268"/>
          </w:tcPr>
          <w:p>
            <w:pPr>
              <w:keepNext/>
            </w:pPr>
            <w:r>
              <w:rPr>
                <w:sz w:val="18"/>
              </w:rPr>
              <w:t>Respond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10%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32%</w:t>
            </w:r>
          </w:p>
        </w:tc>
        <w:tc>
          <w:tcPr>
            <w:tcW w:type="dxa" w:w="1701"/>
          </w:tcPr>
          <w:p>
            <w:pPr>
              <w:keepNext/>
            </w:pPr>
            <w:r>
              <w:rPr>
                <w:sz w:val="18"/>
              </w:rPr>
              <w:t>+22 points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Recover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+17 points</w:t>
            </w:r>
          </w:p>
        </w:tc>
      </w:tr>
    </w:tbl>
    <w:p>
      <w:r>
        <w:t>Actions completed since then:</w:t>
      </w:r>
    </w:p>
    <w:p>
      <w:pPr>
        <w:pStyle w:val="ListBullet"/>
      </w:pPr>
      <w:r>
        <w:t>Use business impact and system categorization records (including service delivery objectives) to validate that essential services are restored in the appropriate order (RC.RP-04)</w:t>
      </w:r>
    </w:p>
    <w:p>
      <w:pPr>
        <w:pStyle w:val="ListBullet"/>
      </w:pPr>
      <w:r>
        <w:t>Preliminarily review incident reports to confirm that they are cybersecurity-related and necessitate incident response activities (RS.MA-02)</w:t>
      </w:r>
    </w:p>
    <w:p>
      <w:pPr>
        <w:pStyle w:val="ListBullet"/>
      </w:pPr>
      <w:r>
        <w:t>Track and validate the status of all ongoing incidents (RS.MA-04)</w:t>
      </w:r>
    </w:p>
    <w:p>
      <w:pPr>
        <w:pStyle w:val="ListBullet"/>
      </w:pPr>
      <w:r>
        <w:t>Establish criteria for using a quantitative approach to cybersecurity risk analysis, and specify probability and exposure formulas (GV.RM-06)</w:t>
      </w:r>
    </w:p>
    <w:p>
      <w:r>
        <w:t>Went backwards: GV.RR-02, PR.AA-05, PR.DS-01. The Progress sheet of the workbook lists the answers behind each change.</w:t>
      </w:r>
    </w:p>
    <w:p>
      <w:pPr>
        <w:pStyle w:val="Heading1"/>
      </w:pPr>
      <w:r>
        <w:t>Profile by function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134"/>
        <w:gridCol w:w="1417"/>
        <w:gridCol w:w="1417"/>
        <w:gridCol w:w="1417"/>
      </w:tblGrid>
      <w:tr>
        <w:tc>
          <w:tcPr>
            <w:tcW w:type="dxa" w:w="198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Subcategories assessed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At target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Current (0-3)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Target (0-3)</w:t>
            </w:r>
          </w:p>
        </w:tc>
        <w:tc>
          <w:tcPr>
            <w:tcW w:type="dxa" w:w="141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Target reached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1.58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31%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Identify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Protect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1.76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Detect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2.09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Respond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1.92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32%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Recover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0.62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2.25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28%</w:t>
            </w:r>
          </w:p>
        </w:tc>
      </w:tr>
    </w:tbl>
    <w:p>
      <w:pPr>
        <w:pStyle w:val="Heading1"/>
      </w:pPr>
      <w:r>
        <w:t>Profile by category</w:t>
      </w:r>
    </w:p>
    <w:p>
      <w:r>
        <w:t>Current and target are averages on the 0-3 scale over the subcategories that apply. Shading follows the heat map: red where little of the target is reached, green where all of it 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1134"/>
        <w:gridCol w:w="1134"/>
        <w:gridCol w:w="1134"/>
        <w:gridCol w:w="1701"/>
      </w:tblGrid>
      <w:tr>
        <w:tc>
          <w:tcPr>
            <w:tcW w:type="dxa" w:w="453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Reached</w:t>
            </w:r>
          </w:p>
        </w:tc>
        <w:tc>
          <w:tcPr>
            <w:tcW w:type="dxa" w:w="1701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Worst gap rating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GV.OC Organizational Context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2.20</w:t>
            </w:r>
          </w:p>
        </w:tc>
        <w:tc>
          <w:tcPr>
            <w:tcW w:type="dxa" w:w="1134"/>
            <w:shd w:val="clear" w:color="auto" w:fill="E6E596"/>
          </w:tcPr>
          <w:p>
            <w:r>
              <w:rPr>
                <w:sz w:val="18"/>
              </w:rPr>
              <w:t>64%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GV.RM Risk Management Strategy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1.57</w:t>
            </w:r>
          </w:p>
        </w:tc>
        <w:tc>
          <w:tcPr>
            <w:tcW w:type="dxa" w:w="1134"/>
            <w:shd w:val="clear" w:color="auto" w:fill="F9C997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GV.RR Roles, Responsibilities, and Authorities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8C69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GV.PO Policy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8C69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GV.OV Oversight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34"/>
            <w:shd w:val="clear" w:color="auto" w:fill="F4A6A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701"/>
            <w:shd w:val="clear" w:color="auto" w:fill="C6EFCE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GV.SC Cybersecurity Supply Chain Risk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1.20</w:t>
            </w:r>
          </w:p>
        </w:tc>
        <w:tc>
          <w:tcPr>
            <w:tcW w:type="dxa" w:w="1134"/>
            <w:shd w:val="clear" w:color="auto" w:fill="F7BB9D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ID.AM Asset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0.93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2.14</w:t>
            </w:r>
          </w:p>
        </w:tc>
        <w:tc>
          <w:tcPr>
            <w:tcW w:type="dxa" w:w="1134"/>
            <w:shd w:val="clear" w:color="auto" w:fill="FCDD8E"/>
          </w:tcPr>
          <w:p>
            <w:r>
              <w:rPr>
                <w:sz w:val="18"/>
              </w:rPr>
              <w:t>43%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ID.RA Risk Assessment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2.11</w:t>
            </w:r>
          </w:p>
        </w:tc>
        <w:tc>
          <w:tcPr>
            <w:tcW w:type="dxa" w:w="1134"/>
            <w:shd w:val="clear" w:color="auto" w:fill="F9C897"/>
          </w:tcPr>
          <w:p>
            <w:r>
              <w:rPr>
                <w:sz w:val="18"/>
              </w:rPr>
              <w:t>26%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ID.IM Improvement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2.50</w:t>
            </w:r>
          </w:p>
        </w:tc>
        <w:tc>
          <w:tcPr>
            <w:tcW w:type="dxa" w:w="1134"/>
            <w:shd w:val="clear" w:color="auto" w:fill="F6B3A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PR.AA Identity Management, Authentication, and Access Control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1.29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2E68F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701"/>
            <w:shd w:val="clear" w:color="auto" w:fill="FF7C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PR.AT Awareness and Training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1134"/>
            <w:shd w:val="clear" w:color="auto" w:fill="F7BB9D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PR.DS Data Security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1.31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8E68D"/>
          </w:tcPr>
          <w:p>
            <w:r>
              <w:rPr>
                <w:sz w:val="18"/>
              </w:rPr>
              <w:t>53%</w:t>
            </w:r>
          </w:p>
        </w:tc>
        <w:tc>
          <w:tcPr>
            <w:tcW w:type="dxa" w:w="1701"/>
            <w:shd w:val="clear" w:color="auto" w:fill="FF7C8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PR.PS Platform Security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1134"/>
            <w:shd w:val="clear" w:color="auto" w:fill="FDE68A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PR.IR Technology Infrastructure Resilience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34"/>
            <w:shd w:val="clear" w:color="auto" w:fill="D2E4A0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DE.CM Continuous Monitoring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2.60</w:t>
            </w:r>
          </w:p>
        </w:tc>
        <w:tc>
          <w:tcPr>
            <w:tcW w:type="dxa" w:w="1134"/>
            <w:shd w:val="clear" w:color="auto" w:fill="FCDC8E"/>
          </w:tcPr>
          <w:p>
            <w:r>
              <w:rPr>
                <w:sz w:val="18"/>
              </w:rPr>
              <w:t>42%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DE.AE Adverse Event Analysis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1.67</w:t>
            </w:r>
          </w:p>
        </w:tc>
        <w:tc>
          <w:tcPr>
            <w:tcW w:type="dxa" w:w="1134"/>
            <w:shd w:val="clear" w:color="auto" w:fill="F7B99E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RS.MA Incident Management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1.80</w:t>
            </w:r>
          </w:p>
        </w:tc>
        <w:tc>
          <w:tcPr>
            <w:tcW w:type="dxa" w:w="1134"/>
            <w:shd w:val="clear" w:color="auto" w:fill="FCDF8D"/>
          </w:tcPr>
          <w:p>
            <w:r>
              <w:rPr>
                <w:sz w:val="18"/>
              </w:rPr>
              <w:t>44%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RS.AN Incident Analysis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1.50</w:t>
            </w:r>
          </w:p>
        </w:tc>
        <w:tc>
          <w:tcPr>
            <w:tcW w:type="dxa" w:w="1134"/>
            <w:shd w:val="clear" w:color="auto" w:fill="F4A6A6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RS.CO Incident Response Reporting and Communication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3.00</w:t>
            </w:r>
          </w:p>
        </w:tc>
        <w:tc>
          <w:tcPr>
            <w:tcW w:type="dxa" w:w="1134"/>
            <w:shd w:val="clear" w:color="auto" w:fill="FAD193"/>
          </w:tcPr>
          <w:p>
            <w:r>
              <w:rPr>
                <w:sz w:val="18"/>
              </w:rPr>
              <w:t>33%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RS.MI Incident Mitigation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DE68A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RC.RP Incident Recovery Plan Execution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2.33</w:t>
            </w:r>
          </w:p>
        </w:tc>
        <w:tc>
          <w:tcPr>
            <w:tcW w:type="dxa" w:w="1134"/>
            <w:shd w:val="clear" w:color="auto" w:fill="F9CB96"/>
          </w:tcPr>
          <w:p>
            <w:r>
              <w:rPr>
                <w:sz w:val="18"/>
              </w:rPr>
              <w:t>29%</w:t>
            </w:r>
          </w:p>
        </w:tc>
        <w:tc>
          <w:tcPr>
            <w:tcW w:type="dxa" w:w="1701"/>
            <w:shd w:val="clear" w:color="auto" w:fill="F8CBAD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RC.CO Incident Recovery Communication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2.00</w:t>
            </w:r>
          </w:p>
        </w:tc>
        <w:tc>
          <w:tcPr>
            <w:tcW w:type="dxa" w:w="1134"/>
            <w:shd w:val="clear" w:color="auto" w:fill="F8C69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01"/>
            <w:shd w:val="clear" w:color="auto" w:fill="FFEB9C"/>
          </w:tcPr>
          <w:p>
            <w:r>
              <w:rPr>
                <w:sz w:val="18"/>
              </w:rPr>
              <w:t>Medium</w:t>
            </w:r>
          </w:p>
        </w:tc>
      </w:tr>
    </w:tbl>
    <w:p>
      <w:pPr>
        <w:pStyle w:val="Heading1"/>
      </w:pPr>
      <w:r>
        <w:t>Top 10 actions</w:t>
      </w:r>
    </w:p>
    <w:p>
      <w:r>
        <w:t>Each action closes one gap. The wording is NIST's implementation example for the subcategory; the full plan with owners and status columns is in the Excel workbook.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304"/>
        <w:gridCol w:w="4195"/>
        <w:gridCol w:w="1587"/>
        <w:gridCol w:w="850"/>
        <w:gridCol w:w="964"/>
      </w:tblGrid>
      <w:tr>
        <w:tc>
          <w:tcPr>
            <w:tcW w:type="dxa" w:w="73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30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CSF ID</w:t>
            </w:r>
          </w:p>
        </w:tc>
        <w:tc>
          <w:tcPr>
            <w:tcW w:type="dxa" w:w="4195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1587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Cost</w:t>
            </w:r>
          </w:p>
        </w:tc>
        <w:tc>
          <w:tcPr>
            <w:tcW w:type="dxa" w:w="850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Risk now</w:t>
            </w:r>
          </w:p>
        </w:tc>
        <w:tc>
          <w:tcPr>
            <w:tcW w:type="dxa" w:w="964"/>
            <w:shd w:val="clear" w:color="auto" w:fill="1F3864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Reduced by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PR.AA-02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Verify a person's claimed identity at enrollment time using government-issued identity credentials (e.g., passport, visa, driver's license)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Low (under ~$500 a year)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25.0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20.0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PR.AT-02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Identify the specialized roles within the organization that require additional cybersecurity training, such as physical and cybersecurity personnel, finance personnel, senior leadership, and anyone with access to business-critical data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9.0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ID.AM-03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Maintain baselines of communication and data flows within the organization's wired and wireless networks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RC.RP-05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Check restored assets for indicators of compromise and remediation of root causes of the incident before production use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RC.RP-06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Prepare an after-action report that documents the incident itself, the response and recovery actions taken, and lessons learned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RS.MA-05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Apply incident recovery criteria to known and assumed characteristics of the incident to determine whether incident recovery processes should be initiated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8.0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PR.AA-05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Review logical and physical access privileges periodically and whenever someone changes roles or leaves the organization, and promptly rescind privileges that are no longer needed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Low (under ~$500 a year)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15.0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RS.CO-02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Follow the organization's breach notification procedures after discovering a data breach incident, including notifying affected customers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11.65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6.65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RS.CO-03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Securely share information consistent with response plans and information sharing agreements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11.65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6.65</w:t>
            </w:r>
          </w:p>
        </w:tc>
      </w:tr>
      <w:tr>
        <w:tc>
          <w:tcPr>
            <w:tcW w:type="dxa" w:w="73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04"/>
          </w:tcPr>
          <w:p>
            <w:r>
              <w:rPr>
                <w:sz w:val="18"/>
              </w:rPr>
              <w:t>DE.AE-03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Constantly transfer log data generated by other sources to a relatively small number of log servers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Free (time only)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9.0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6.0</w:t>
            </w:r>
          </w:p>
        </w:tc>
      </w:tr>
    </w:tbl>
    <w:p>
      <w:pPr>
        <w:pStyle w:val="Heading1"/>
      </w:pPr>
      <w:r>
        <w:t>Not applicable</w:t>
      </w:r>
    </w:p>
    <w:p>
      <w:pPr>
        <w:pStyle w:val="ListBullet"/>
      </w:pPr>
      <w:r>
        <w:t>ID.RA-08, PR.PS-06: You do not write software, so secure development and vulnerability disclosure handling do not apply.</w:t>
      </w:r>
    </w:p>
    <w:p>
      <w:pPr>
        <w:pStyle w:val="Heading1"/>
      </w:pPr>
      <w:r>
        <w:t>About this assessment</w:t>
      </w:r>
    </w:p>
    <w:p>
      <w:r>
        <w:t>This is a self-assessment: it records what the organisation says it does. No systems were scanned and it is not an ISO 27001 or SOC 2 certification. Evidence was offered for 7 of 91 answers; the Evidence Log sheet of the workbook is where a reviewer records what they actually saw. Likelihood and impact values are coarse judgements for a small non-profit.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cp:category/>
</cp:coreProperties>
</file>