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360" w:lineRule="auto"/>
        <w:rPr>
          <w:rFonts w:ascii="Times New Roman" w:cs="Times New Roman" w:hAnsi="Times New Roman" w:eastAsia="Times New Roman"/>
          <w:b w:val="1"/>
          <w:bCs w:val="1"/>
        </w:rPr>
      </w:pPr>
      <w:r>
        <w:rPr>
          <w:rFonts w:ascii="Times New Roman" w:hAnsi="Times New Roman"/>
          <w:b w:val="1"/>
          <w:bCs w:val="1"/>
          <w:rtl w:val="0"/>
          <w:lang w:val="en-US"/>
        </w:rPr>
        <w:t>2018/2019 ED</w:t>
      </w:r>
      <w:r>
        <w:rPr>
          <w:rFonts w:ascii="Times New Roman" w:hAnsi="Times New Roman"/>
          <w:b w:val="1"/>
          <w:bCs w:val="1"/>
          <w:rtl w:val="0"/>
          <w:lang w:val="en-US"/>
        </w:rPr>
        <w:t>303: Practical Teaching Programme 3a</w:t>
        <w:tab/>
        <w:tab/>
      </w:r>
    </w:p>
    <w:p>
      <w:pPr>
        <w:pStyle w:val="Body"/>
        <w:spacing w:line="360" w:lineRule="auto"/>
        <w:rPr>
          <w:rFonts w:ascii="Times New Roman" w:cs="Times New Roman" w:hAnsi="Times New Roman" w:eastAsia="Times New Roman"/>
          <w:b w:val="1"/>
          <w:bCs w:val="1"/>
        </w:rPr>
      </w:pPr>
      <w:r>
        <w:rPr>
          <w:rFonts w:ascii="Times New Roman" w:cs="Times New Roman" w:hAnsi="Times New Roman" w:eastAsia="Times New Roman"/>
          <w:b w:val="1"/>
          <w:bCs w:val="1"/>
        </w:rPr>
        <w:tab/>
        <w:tab/>
        <w:tab/>
        <w:tab/>
        <w:tab/>
        <w:tab/>
        <w:tab/>
        <w:tab/>
      </w:r>
      <w:r>
        <w:rPr>
          <w:rFonts w:ascii="Times New Roman" w:hAnsi="Times New Roman"/>
          <w:b w:val="1"/>
          <w:bCs w:val="1"/>
          <w:rtl w:val="0"/>
        </w:rPr>
        <w:t>Cian Mac Liath</w:t>
      </w:r>
      <w:r>
        <w:rPr>
          <w:rFonts w:ascii="Times New Roman" w:hAnsi="Times New Roman" w:hint="default"/>
          <w:b w:val="1"/>
          <w:bCs w:val="1"/>
          <w:rtl w:val="0"/>
          <w:lang w:val="en-US"/>
        </w:rPr>
        <w:t>á</w:t>
      </w:r>
      <w:r>
        <w:rPr>
          <w:rFonts w:ascii="Times New Roman" w:hAnsi="Times New Roman"/>
          <w:b w:val="1"/>
          <w:bCs w:val="1"/>
          <w:rtl w:val="0"/>
        </w:rPr>
        <w:t>in - 11476078</w:t>
      </w:r>
    </w:p>
    <w:p>
      <w:pPr>
        <w:pStyle w:val="Body"/>
        <w:spacing w:line="360" w:lineRule="auto"/>
        <w:rPr>
          <w:rFonts w:ascii="Times New Roman" w:cs="Times New Roman" w:hAnsi="Times New Roman" w:eastAsia="Times New Roman"/>
        </w:rPr>
      </w:pPr>
    </w:p>
    <w:p>
      <w:pPr>
        <w:pStyle w:val="Body"/>
        <w:spacing w:line="360" w:lineRule="auto"/>
        <w:jc w:val="center"/>
        <w:rPr>
          <w:rFonts w:ascii="Times New Roman" w:cs="Times New Roman" w:hAnsi="Times New Roman" w:eastAsia="Times New Roman"/>
          <w:b w:val="1"/>
          <w:bCs w:val="1"/>
          <w:u w:val="single"/>
        </w:rPr>
      </w:pPr>
      <w:r>
        <w:rPr>
          <w:rFonts w:ascii="Times New Roman" w:hAnsi="Times New Roman"/>
          <w:b w:val="1"/>
          <w:bCs w:val="1"/>
          <w:u w:val="single"/>
          <w:rtl w:val="0"/>
          <w:lang w:val="en-US"/>
        </w:rPr>
        <w:t>Opening Statement</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Prior to undertaking this degree in Maths &amp; Education, I had a rather narrow view of what was involved in teaching, and what was required to be capable of teaching to a high standard. </w:t>
      </w:r>
      <w:r>
        <w:rPr>
          <w:rFonts w:ascii="Times New Roman" w:hAnsi="Times New Roman"/>
          <w:rtl w:val="0"/>
          <w:lang w:val="en-US"/>
        </w:rPr>
        <w:t>My experience was primarily from the tutoring sector, and while I excelled at one-to-one instruction, my ability to teach classes of 20+ students hadn</w:t>
      </w:r>
      <w:r>
        <w:rPr>
          <w:rFonts w:ascii="Times New Roman" w:hAnsi="Times New Roman" w:hint="default"/>
          <w:rtl w:val="0"/>
          <w:lang w:val="en-US"/>
        </w:rPr>
        <w:t>’</w:t>
      </w:r>
      <w:r>
        <w:rPr>
          <w:rFonts w:ascii="Times New Roman" w:hAnsi="Times New Roman"/>
          <w:rtl w:val="0"/>
          <w:lang w:val="en-US"/>
        </w:rPr>
        <w:t xml:space="preserve">t been tested. </w:t>
      </w:r>
      <w:r>
        <w:rPr>
          <w:rFonts w:ascii="Times New Roman" w:hAnsi="Times New Roman"/>
          <w:rtl w:val="0"/>
          <w:lang w:val="en-US"/>
        </w:rPr>
        <w:t>I believed that teaching was simply a vague combination of curriculum knowledge and practical experience; modules such as the Psychology of Education, Sociology of Education, and Philosophical Foundations of Education</w:t>
      </w:r>
      <w:r>
        <w:rPr>
          <w:rFonts w:ascii="Times New Roman" w:hAnsi="Times New Roman"/>
          <w:rtl w:val="0"/>
          <w:lang w:val="en-US"/>
        </w:rPr>
        <w:t>, and the Integrated Project (2018)</w:t>
      </w:r>
      <w:r>
        <w:rPr>
          <w:rFonts w:ascii="Times New Roman" w:hAnsi="Times New Roman"/>
          <w:rtl w:val="0"/>
          <w:lang w:val="en-US"/>
        </w:rPr>
        <w:t xml:space="preserve"> have helped me to realise the importance of the theory behind teaching and learning, the context in which they take place, and how that has shaped my personal educational philosophy and practice.</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Hanrahan (2009, p.324) provides a </w:t>
      </w:r>
      <w:r>
        <w:rPr>
          <w:rFonts w:ascii="Times New Roman" w:hAnsi="Times New Roman" w:hint="default"/>
          <w:rtl w:val="0"/>
          <w:lang w:val="en-US"/>
        </w:rPr>
        <w:t>“</w:t>
      </w:r>
      <w:r>
        <w:rPr>
          <w:rFonts w:ascii="Times New Roman" w:hAnsi="Times New Roman"/>
          <w:rtl w:val="0"/>
          <w:lang w:val="en-US"/>
        </w:rPr>
        <w:t>philosophical and historical analysis of two diverse educational philosophies</w:t>
      </w:r>
      <w:r>
        <w:rPr>
          <w:rFonts w:ascii="Times New Roman" w:hAnsi="Times New Roman" w:hint="default"/>
          <w:rtl w:val="0"/>
          <w:lang w:val="en-US"/>
        </w:rPr>
        <w:t>”</w:t>
      </w:r>
      <w:r>
        <w:rPr>
          <w:rFonts w:ascii="Times New Roman" w:hAnsi="Times New Roman"/>
          <w:rtl w:val="0"/>
          <w:lang w:val="en-US"/>
        </w:rPr>
        <w:t xml:space="preserve">. The first of these philosophies incorporates an educational view in which the underlying aim of the educational system is to educate the population in order to serve the needs of the state. Both Plato and Aristotle were advocates of this educational philosophy, and the educational practices which evolve from it include an emphasis on </w:t>
      </w:r>
      <w:r>
        <w:rPr>
          <w:rFonts w:ascii="Times New Roman" w:hAnsi="Times New Roman" w:hint="default"/>
          <w:rtl w:val="0"/>
          <w:lang w:val="en-US"/>
        </w:rPr>
        <w:t>“</w:t>
      </w:r>
      <w:r>
        <w:rPr>
          <w:rFonts w:ascii="Times New Roman" w:hAnsi="Times New Roman"/>
          <w:rtl w:val="0"/>
          <w:lang w:val="en-US"/>
        </w:rPr>
        <w:t>intellectual education, a rigid and planned structure, a dominant teacher and passive pupil, the state provision of education, the moulding and indoctrination of pupils and the use of assessment and selection</w:t>
      </w:r>
      <w:r>
        <w:rPr>
          <w:rFonts w:ascii="Times New Roman" w:hAnsi="Times New Roman" w:hint="default"/>
          <w:rtl w:val="0"/>
          <w:lang w:val="en-US"/>
        </w:rPr>
        <w:t>”</w:t>
      </w:r>
      <w:r>
        <w:rPr>
          <w:rFonts w:ascii="Times New Roman" w:hAnsi="Times New Roman"/>
          <w:rtl w:val="0"/>
        </w:rPr>
        <w:t xml:space="preserve">.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Hanrahan (2009, p.331) explains further, how the influence of Plato and Aristotle on the </w:t>
      </w:r>
      <w:r>
        <w:rPr>
          <w:rFonts w:ascii="Times New Roman" w:hAnsi="Times New Roman" w:hint="default"/>
          <w:rtl w:val="0"/>
          <w:lang w:val="en-US"/>
        </w:rPr>
        <w:t>“</w:t>
      </w:r>
      <w:r>
        <w:rPr>
          <w:rFonts w:ascii="Times New Roman" w:hAnsi="Times New Roman"/>
          <w:rtl w:val="0"/>
          <w:lang w:val="en-US"/>
        </w:rPr>
        <w:t>development of edu</w:t>
      </w:r>
      <w:r>
        <w:rPr>
          <w:rFonts w:ascii="Times New Roman" w:hAnsi="Times New Roman"/>
          <w:rtl w:val="0"/>
          <w:lang w:val="en-US"/>
        </w:rPr>
        <w:t>c</w:t>
      </w:r>
      <w:r>
        <w:rPr>
          <w:rFonts w:ascii="Times New Roman" w:hAnsi="Times New Roman"/>
          <w:rtl w:val="0"/>
          <w:lang w:val="en-US"/>
        </w:rPr>
        <w:t>ation in the western world has been immense</w:t>
      </w:r>
      <w:r>
        <w:rPr>
          <w:rFonts w:ascii="Times New Roman" w:hAnsi="Times New Roman" w:hint="default"/>
          <w:rtl w:val="0"/>
          <w:lang w:val="en-US"/>
        </w:rPr>
        <w:t>”</w:t>
      </w:r>
      <w:r>
        <w:rPr>
          <w:rFonts w:ascii="Times New Roman" w:hAnsi="Times New Roman"/>
          <w:rtl w:val="0"/>
          <w:lang w:val="en-US"/>
        </w:rPr>
        <w:t>. Their educational philosophy was incorporated into Christian teaching traditions, and since the Church was the main provider of education for a very long period of time, their philosophy can be seen to have influence</w:t>
      </w:r>
      <w:r>
        <w:rPr>
          <w:rFonts w:ascii="Times New Roman" w:hAnsi="Times New Roman"/>
          <w:rtl w:val="0"/>
          <w:lang w:val="en-US"/>
        </w:rPr>
        <w:t>d</w:t>
      </w:r>
      <w:r>
        <w:rPr>
          <w:rFonts w:ascii="Times New Roman" w:hAnsi="Times New Roman"/>
          <w:rtl w:val="0"/>
          <w:lang w:val="en-US"/>
        </w:rPr>
        <w:t xml:space="preserve"> the ideas of the likes of Hegal and Marx. This state-centred model of education </w:t>
      </w:r>
      <w:r>
        <w:rPr>
          <w:rFonts w:ascii="Times New Roman" w:hAnsi="Times New Roman" w:hint="default"/>
          <w:rtl w:val="0"/>
          <w:lang w:val="en-US"/>
        </w:rPr>
        <w:t>“</w:t>
      </w:r>
      <w:r>
        <w:rPr>
          <w:rFonts w:ascii="Times New Roman" w:hAnsi="Times New Roman"/>
          <w:rtl w:val="0"/>
          <w:lang w:val="en-US"/>
        </w:rPr>
        <w:t>became the dominant version of education that developed in state systems of education throughout the west</w:t>
      </w:r>
      <w:r>
        <w:rPr>
          <w:rFonts w:ascii="Times New Roman" w:hAnsi="Times New Roman" w:hint="default"/>
          <w:rtl w:val="0"/>
          <w:lang w:val="en-US"/>
        </w:rPr>
        <w:t>”</w:t>
      </w:r>
      <w:r>
        <w:rPr>
          <w:rFonts w:ascii="Times New Roman" w:hAnsi="Times New Roman"/>
          <w:rtl w:val="0"/>
        </w:rPr>
        <w:t xml:space="preserve">.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This philosophy contrast</w:t>
      </w:r>
      <w:r>
        <w:rPr>
          <w:rFonts w:ascii="Times New Roman" w:hAnsi="Times New Roman"/>
          <w:rtl w:val="0"/>
          <w:lang w:val="en-US"/>
        </w:rPr>
        <w:t>s</w:t>
      </w:r>
      <w:r>
        <w:rPr>
          <w:rFonts w:ascii="Times New Roman" w:hAnsi="Times New Roman"/>
          <w:rtl w:val="0"/>
          <w:lang w:val="en-US"/>
        </w:rPr>
        <w:t xml:space="preserve"> greatly with the second emerging educational philosophy studied by Hanrahan (2009), </w:t>
      </w:r>
      <w:r>
        <w:rPr>
          <w:rFonts w:ascii="Times New Roman" w:hAnsi="Times New Roman"/>
          <w:rtl w:val="0"/>
          <w:lang w:val="en-US"/>
        </w:rPr>
        <w:t>a child-</w:t>
      </w:r>
      <w:r>
        <w:rPr>
          <w:rFonts w:ascii="Times New Roman" w:hAnsi="Times New Roman"/>
          <w:rtl w:val="0"/>
          <w:lang w:val="fr-FR"/>
        </w:rPr>
        <w:t>centred</w:t>
      </w:r>
      <w:r>
        <w:rPr>
          <w:rFonts w:ascii="Times New Roman" w:hAnsi="Times New Roman"/>
          <w:rtl w:val="0"/>
          <w:lang w:val="en-US"/>
        </w:rPr>
        <w:t xml:space="preserve"> approach</w:t>
      </w:r>
      <w:r>
        <w:rPr>
          <w:rFonts w:ascii="Times New Roman" w:hAnsi="Times New Roman"/>
          <w:rtl w:val="0"/>
          <w:lang w:val="en-US"/>
        </w:rPr>
        <w:t>. The underlying principles of this ph</w:t>
      </w:r>
      <w:r>
        <w:rPr>
          <w:rFonts w:ascii="Times New Roman" w:hAnsi="Times New Roman"/>
          <w:rtl w:val="0"/>
          <w:lang w:val="en-US"/>
        </w:rPr>
        <w:t>ilo</w:t>
      </w:r>
      <w:r>
        <w:rPr>
          <w:rFonts w:ascii="Times New Roman" w:hAnsi="Times New Roman"/>
          <w:rtl w:val="0"/>
          <w:lang w:val="en-US"/>
        </w:rPr>
        <w:t xml:space="preserve">sophy are that </w:t>
      </w:r>
      <w:r>
        <w:rPr>
          <w:rFonts w:ascii="Times New Roman" w:hAnsi="Times New Roman" w:hint="default"/>
          <w:rtl w:val="0"/>
          <w:lang w:val="en-US"/>
        </w:rPr>
        <w:t>”</w:t>
      </w:r>
      <w:r>
        <w:rPr>
          <w:rFonts w:ascii="Times New Roman" w:hAnsi="Times New Roman"/>
          <w:rtl w:val="0"/>
          <w:lang w:val="en-US"/>
        </w:rPr>
        <w:t>choice, personal expression and personal growth take the place of indoctrination or moulding of the student</w:t>
      </w:r>
      <w:r>
        <w:rPr>
          <w:rFonts w:ascii="Times New Roman" w:hAnsi="Times New Roman" w:hint="default"/>
          <w:rtl w:val="0"/>
          <w:lang w:val="en-US"/>
        </w:rPr>
        <w:t>’</w:t>
      </w:r>
      <w:r>
        <w:rPr>
          <w:rFonts w:ascii="Times New Roman" w:hAnsi="Times New Roman"/>
          <w:rtl w:val="0"/>
          <w:lang w:val="en-US"/>
        </w:rPr>
        <w:t>s character, that role of assessment and selection, with their corresponding potential for failure and rejection, be modified or replaced by an atmosphere designed to build confidence and create equality; the student to be more active and deterministic in the educational exchange and not be a passive recipient of knowledge; that the student</w:t>
      </w:r>
      <w:r>
        <w:rPr>
          <w:rFonts w:ascii="Times New Roman" w:hAnsi="Times New Roman" w:hint="default"/>
          <w:rtl w:val="0"/>
          <w:lang w:val="en-US"/>
        </w:rPr>
        <w:t>’</w:t>
      </w:r>
      <w:r>
        <w:rPr>
          <w:rFonts w:ascii="Times New Roman" w:hAnsi="Times New Roman"/>
          <w:rtl w:val="0"/>
          <w:lang w:val="en-US"/>
        </w:rPr>
        <w:t>s right be acknowledged</w:t>
      </w:r>
      <w:r>
        <w:rPr>
          <w:rFonts w:ascii="Times New Roman" w:hAnsi="Times New Roman" w:hint="default"/>
          <w:rtl w:val="0"/>
          <w:lang w:val="en-US"/>
        </w:rPr>
        <w:t>”</w:t>
      </w:r>
      <w:r>
        <w:rPr>
          <w:rFonts w:ascii="Times New Roman" w:hAnsi="Times New Roman"/>
          <w:rtl w:val="0"/>
        </w:rPr>
        <w:t>.</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I agree with Hanrahan</w:t>
      </w:r>
      <w:r>
        <w:rPr>
          <w:rFonts w:ascii="Times New Roman" w:hAnsi="Times New Roman" w:hint="default"/>
          <w:rtl w:val="0"/>
          <w:lang w:val="en-US"/>
        </w:rPr>
        <w:t>’</w:t>
      </w:r>
      <w:r>
        <w:rPr>
          <w:rFonts w:ascii="Times New Roman" w:hAnsi="Times New Roman"/>
          <w:rtl w:val="0"/>
          <w:lang w:val="en-US"/>
        </w:rPr>
        <w:t>s conclusion when discussing these educational philosophies in the context of today</w:t>
      </w:r>
      <w:r>
        <w:rPr>
          <w:rFonts w:ascii="Times New Roman" w:hAnsi="Times New Roman" w:hint="default"/>
          <w:rtl w:val="0"/>
          <w:lang w:val="en-US"/>
        </w:rPr>
        <w:t>’</w:t>
      </w:r>
      <w:r>
        <w:rPr>
          <w:rFonts w:ascii="Times New Roman" w:hAnsi="Times New Roman"/>
          <w:rtl w:val="0"/>
          <w:lang w:val="en-US"/>
        </w:rPr>
        <w:t>s education system; modern education is searching for a healthy compromise between the two. The needs of the state are fulfilled and recognised by modern school, but now more than ever are the needs of the individual student being prioritised and considered.</w:t>
      </w:r>
      <w:r>
        <w:rPr>
          <w:rFonts w:ascii="Times New Roman" w:hAnsi="Times New Roman"/>
          <w:rtl w:val="0"/>
          <w:lang w:val="en-US"/>
        </w:rPr>
        <w:t xml:space="preserve"> </w:t>
      </w:r>
      <w:r>
        <w:rPr>
          <w:rFonts w:ascii="Times New Roman" w:hAnsi="Times New Roman"/>
          <w:rtl w:val="0"/>
        </w:rPr>
        <w:t xml:space="preserve">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My personal philosophy would be that teaching should focus on the needs of each individual student. To do that however, you would need time and resource</w:t>
      </w:r>
      <w:r>
        <w:rPr>
          <w:rFonts w:ascii="Times New Roman" w:hAnsi="Times New Roman"/>
          <w:rtl w:val="0"/>
          <w:lang w:val="en-US"/>
        </w:rPr>
        <w:t>s</w:t>
      </w:r>
      <w:r>
        <w:rPr>
          <w:rFonts w:ascii="Times New Roman" w:hAnsi="Times New Roman"/>
          <w:rtl w:val="0"/>
          <w:lang w:val="en-US"/>
        </w:rPr>
        <w:t>, and since these are supplied by the state then in today</w:t>
      </w:r>
      <w:r>
        <w:rPr>
          <w:rFonts w:ascii="Times New Roman" w:hAnsi="Times New Roman" w:hint="default"/>
          <w:rtl w:val="0"/>
          <w:lang w:val="en-US"/>
        </w:rPr>
        <w:t>’</w:t>
      </w:r>
      <w:r>
        <w:rPr>
          <w:rFonts w:ascii="Times New Roman" w:hAnsi="Times New Roman"/>
          <w:rtl w:val="0"/>
          <w:lang w:val="en-US"/>
        </w:rPr>
        <w:t>s system the state</w:t>
      </w:r>
      <w:r>
        <w:rPr>
          <w:rFonts w:ascii="Times New Roman" w:hAnsi="Times New Roman" w:hint="default"/>
          <w:rtl w:val="0"/>
          <w:lang w:val="en-US"/>
        </w:rPr>
        <w:t>’</w:t>
      </w:r>
      <w:r>
        <w:rPr>
          <w:rFonts w:ascii="Times New Roman" w:hAnsi="Times New Roman"/>
          <w:rtl w:val="0"/>
          <w:lang w:val="en-US"/>
        </w:rPr>
        <w:t xml:space="preserve">s needs would need to be considered also. My view on education, and how I would hopefully be able to educate every individual student I have to the best of my ability, is inspired by a quote based on the work of Austrian psychologist Viktor Emil Frankl: </w:t>
      </w:r>
    </w:p>
    <w:p>
      <w:pPr>
        <w:pStyle w:val="Body"/>
        <w:spacing w:line="360" w:lineRule="auto"/>
        <w:rPr>
          <w:rFonts w:ascii="Times New Roman" w:cs="Times New Roman" w:hAnsi="Times New Roman" w:eastAsia="Times New Roman"/>
        </w:rPr>
      </w:pPr>
      <w:r>
        <w:rPr>
          <w:rFonts w:ascii="Times New Roman" w:hAnsi="Times New Roman" w:hint="default"/>
          <w:outline w:val="0"/>
          <w:color w:val="262626"/>
          <w:u w:color="262626"/>
          <w:rtl w:val="0"/>
          <w:lang w:val="en-US"/>
          <w14:textFill>
            <w14:solidFill>
              <w14:srgbClr w14:val="262626"/>
            </w14:solidFill>
          </w14:textFill>
        </w:rPr>
        <w:t>“</w:t>
      </w:r>
      <w:r>
        <w:rPr>
          <w:rFonts w:ascii="Times New Roman" w:hAnsi="Times New Roman"/>
          <w:outline w:val="0"/>
          <w:color w:val="262626"/>
          <w:u w:color="262626"/>
          <w:rtl w:val="0"/>
          <w:lang w:val="en-US"/>
          <w14:textFill>
            <w14:solidFill>
              <w14:srgbClr w14:val="262626"/>
            </w14:solidFill>
          </w14:textFill>
        </w:rPr>
        <w:t>Educators, teachers, parents, and students themselves must be idealistic, and have high expectations, particularly younger people who are at a formative stage in their lives. For then, by aiming high, we are more likely to realise our talents and become who we are supposed to become. If we underestimate our potential and talents, we are more likely to underachieve and land short of our destination.</w:t>
      </w:r>
      <w:r>
        <w:rPr>
          <w:rFonts w:ascii="Times New Roman" w:hAnsi="Times New Roman" w:hint="default"/>
          <w:rtl w:val="0"/>
          <w:lang w:val="en-US"/>
        </w:rPr>
        <w:t xml:space="preserve">” </w:t>
      </w:r>
      <w:r>
        <w:rPr>
          <w:rFonts w:ascii="Times New Roman" w:hAnsi="Times New Roman"/>
          <w:rtl w:val="0"/>
        </w:rPr>
        <w:t>(Hall, 2010)</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This educational philosophy effects how I approach my role as a teacher, and the teaching methods that I will use during school placement throughout the year. The theories and studies introduced to me in the Psychology and Sociology modules of this course have directly affected how I interact with and attempt to educate students.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Learning, as outlined by Woolfolk (2013, p.246), occurs when </w:t>
      </w:r>
      <w:r>
        <w:rPr>
          <w:rFonts w:ascii="Times New Roman" w:hAnsi="Times New Roman" w:hint="default"/>
          <w:rtl w:val="0"/>
          <w:lang w:val="en-US"/>
        </w:rPr>
        <w:t>“</w:t>
      </w:r>
      <w:r>
        <w:rPr>
          <w:rFonts w:ascii="Times New Roman" w:hAnsi="Times New Roman"/>
          <w:rtl w:val="0"/>
          <w:lang w:val="en-US"/>
        </w:rPr>
        <w:t>experience (including practice) causes a relatively permanent change in an individual</w:t>
      </w:r>
      <w:r>
        <w:rPr>
          <w:rFonts w:ascii="Times New Roman" w:hAnsi="Times New Roman" w:hint="default"/>
          <w:rtl w:val="0"/>
          <w:lang w:val="en-US"/>
        </w:rPr>
        <w:t>’</w:t>
      </w:r>
      <w:r>
        <w:rPr>
          <w:rFonts w:ascii="Times New Roman" w:hAnsi="Times New Roman"/>
          <w:rtl w:val="0"/>
          <w:lang w:val="en-US"/>
        </w:rPr>
        <w:t>s knowledge or behaviour.</w:t>
      </w:r>
      <w:r>
        <w:rPr>
          <w:rFonts w:ascii="Times New Roman" w:hAnsi="Times New Roman" w:hint="default"/>
          <w:rtl w:val="0"/>
          <w:lang w:val="en-US"/>
        </w:rPr>
        <w:t xml:space="preserve">”  </w:t>
      </w:r>
      <w:r>
        <w:rPr>
          <w:rFonts w:ascii="Times New Roman" w:hAnsi="Times New Roman"/>
          <w:rtl w:val="0"/>
          <w:lang w:val="en-US"/>
        </w:rPr>
        <w:t>It is evident from this definition that learning happens through interaction with the learner</w:t>
      </w:r>
      <w:r>
        <w:rPr>
          <w:rFonts w:ascii="Times New Roman" w:hAnsi="Times New Roman" w:hint="default"/>
          <w:rtl w:val="0"/>
          <w:lang w:val="en-US"/>
        </w:rPr>
        <w:t>’</w:t>
      </w:r>
      <w:r>
        <w:rPr>
          <w:rFonts w:ascii="Times New Roman" w:hAnsi="Times New Roman"/>
          <w:rtl w:val="0"/>
          <w:lang w:val="en-US"/>
        </w:rPr>
        <w:t xml:space="preserve">s environment, and results in a change in their knowledge or behaviour. Most psychologists would agree with this statement; some, however, would emphasize the change in knowledge and some others would focus on the behavioural change.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Cognitive psychologists studying learning place focus solely on mental process such as remembering, thinking and problem solving (Schwartz, Wasserman, &amp; Robbins, 2002). </w:t>
      </w: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The behavioural approach to learning highlights the importance of the connections that children make between experiences and behaviour. Originally developed by a Russian physiologist by the name of Ivan Pavlov (1849-1936), classical conditioning results in </w:t>
      </w:r>
      <w:r>
        <w:rPr>
          <w:rFonts w:ascii="Times New Roman" w:hAnsi="Times New Roman" w:hint="default"/>
          <w:rtl w:val="0"/>
          <w:lang w:val="en-US"/>
        </w:rPr>
        <w:t>“</w:t>
      </w:r>
      <w:r>
        <w:rPr>
          <w:rFonts w:ascii="Times New Roman" w:hAnsi="Times New Roman"/>
          <w:rtl w:val="0"/>
          <w:lang w:val="en-US"/>
        </w:rPr>
        <w:t>the learning of involuntary emotional or physiological responses such as fear, increased muscle tension, salivation, or sweating</w:t>
      </w:r>
      <w:r>
        <w:rPr>
          <w:rFonts w:ascii="Times New Roman" w:hAnsi="Times New Roman" w:hint="default"/>
          <w:rtl w:val="0"/>
          <w:lang w:val="en-US"/>
        </w:rPr>
        <w:t xml:space="preserve">” </w:t>
      </w:r>
      <w:r>
        <w:rPr>
          <w:rFonts w:ascii="Times New Roman" w:hAnsi="Times New Roman"/>
          <w:rtl w:val="0"/>
          <w:lang w:val="en-US"/>
        </w:rPr>
        <w:t>(Woolfolk, 2013, p.248). Long (2000, p.13) provides an example which outlines just one of the ways that classical conditioning can have an impact on students</w:t>
      </w:r>
      <w:r>
        <w:rPr>
          <w:rFonts w:ascii="Times New Roman" w:hAnsi="Times New Roman" w:hint="default"/>
          <w:rtl w:val="0"/>
          <w:lang w:val="en-US"/>
        </w:rPr>
        <w:t xml:space="preserve">’ </w:t>
      </w:r>
      <w:r>
        <w:rPr>
          <w:rFonts w:ascii="Times New Roman" w:hAnsi="Times New Roman"/>
          <w:rtl w:val="0"/>
          <w:lang w:val="en-US"/>
        </w:rPr>
        <w:t xml:space="preserve">education: if a child fails an exam and his heavily criticized to a point which produces anxiety, then the child may begin to associate exams with anxiety, thus making exams a </w:t>
      </w:r>
      <w:r>
        <w:rPr>
          <w:rFonts w:ascii="Times New Roman" w:hAnsi="Times New Roman" w:hint="default"/>
          <w:rtl w:val="0"/>
          <w:lang w:val="en-US"/>
        </w:rPr>
        <w:t>“</w:t>
      </w:r>
      <w:r>
        <w:rPr>
          <w:rFonts w:ascii="Times New Roman" w:hAnsi="Times New Roman"/>
          <w:rtl w:val="0"/>
        </w:rPr>
        <w:t>conditioned stimulus</w:t>
      </w:r>
      <w:r>
        <w:rPr>
          <w:rFonts w:ascii="Times New Roman" w:hAnsi="Times New Roman" w:hint="default"/>
          <w:rtl w:val="0"/>
          <w:lang w:val="en-US"/>
        </w:rPr>
        <w:t xml:space="preserve">” </w:t>
      </w:r>
      <w:r>
        <w:rPr>
          <w:rFonts w:ascii="Times New Roman" w:hAnsi="Times New Roman"/>
          <w:rtl w:val="0"/>
        </w:rPr>
        <w:t xml:space="preserve">for anxiety.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Operant conditioning, in comparison, is a </w:t>
      </w:r>
      <w:r>
        <w:rPr>
          <w:rFonts w:ascii="Times New Roman" w:hAnsi="Times New Roman" w:hint="default"/>
          <w:rtl w:val="0"/>
          <w:lang w:val="en-US"/>
        </w:rPr>
        <w:t>“</w:t>
      </w:r>
      <w:r>
        <w:rPr>
          <w:rFonts w:ascii="Times New Roman" w:hAnsi="Times New Roman"/>
          <w:rtl w:val="0"/>
          <w:lang w:val="en-US"/>
        </w:rPr>
        <w:t>form of learning in which the consequences of behaviour produce changes in the probability that the behaviour will occur</w:t>
      </w:r>
      <w:r>
        <w:rPr>
          <w:rFonts w:ascii="Times New Roman" w:hAnsi="Times New Roman" w:hint="default"/>
          <w:rtl w:val="0"/>
          <w:lang w:val="en-US"/>
        </w:rPr>
        <w:t xml:space="preserve">” </w:t>
      </w:r>
      <w:r>
        <w:rPr>
          <w:rFonts w:ascii="Times New Roman" w:hAnsi="Times New Roman"/>
          <w:rtl w:val="0"/>
          <w:lang w:val="en-US"/>
        </w:rPr>
        <w:t xml:space="preserve">(Santrock, 2009, p.256). Consequences may consist of reinforcements or punishments, depending on whether the behaviour in question is favourable or unfavourable. </w:t>
      </w: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Donahue (2008) explains that the use of reinforcements results in a behaviour being strengthened and promoted. With positive reinforcement, the behaviour in question increases in frequency because it is met with a rewarding stimulus. Long (2000, p.14) provides the example of </w:t>
      </w:r>
      <w:r>
        <w:rPr>
          <w:rFonts w:ascii="Times New Roman" w:hAnsi="Times New Roman" w:hint="default"/>
          <w:rtl w:val="0"/>
          <w:lang w:val="en-US"/>
        </w:rPr>
        <w:t>“</w:t>
      </w:r>
      <w:r>
        <w:rPr>
          <w:rFonts w:ascii="Times New Roman" w:hAnsi="Times New Roman"/>
          <w:rtl w:val="0"/>
          <w:lang w:val="en-US"/>
        </w:rPr>
        <w:t>receiving praise for doing well in a test</w:t>
      </w:r>
      <w:r>
        <w:rPr>
          <w:rFonts w:ascii="Times New Roman" w:hAnsi="Times New Roman" w:hint="default"/>
          <w:rtl w:val="0"/>
          <w:lang w:val="en-US"/>
        </w:rPr>
        <w:t>”</w:t>
      </w:r>
      <w:r>
        <w:rPr>
          <w:rFonts w:ascii="Times New Roman" w:hAnsi="Times New Roman"/>
          <w:rtl w:val="0"/>
          <w:lang w:val="en-US"/>
        </w:rPr>
        <w:t xml:space="preserve">, which might </w:t>
      </w:r>
      <w:r>
        <w:rPr>
          <w:rFonts w:ascii="Times New Roman" w:hAnsi="Times New Roman" w:hint="default"/>
          <w:rtl w:val="0"/>
          <w:lang w:val="en-US"/>
        </w:rPr>
        <w:t>“</w:t>
      </w:r>
      <w:r>
        <w:rPr>
          <w:rFonts w:ascii="Times New Roman" w:hAnsi="Times New Roman"/>
          <w:rtl w:val="0"/>
          <w:lang w:val="en-US"/>
        </w:rPr>
        <w:t>encourage future studying</w:t>
      </w:r>
      <w:r>
        <w:rPr>
          <w:rFonts w:ascii="Times New Roman" w:hAnsi="Times New Roman" w:hint="default"/>
          <w:rtl w:val="0"/>
          <w:lang w:val="en-US"/>
        </w:rPr>
        <w:t>”</w:t>
      </w:r>
      <w:r>
        <w:rPr>
          <w:rFonts w:ascii="Times New Roman" w:hAnsi="Times New Roman"/>
          <w:rtl w:val="0"/>
          <w:lang w:val="en-US"/>
        </w:rPr>
        <w:t xml:space="preserve">. Negative reinforcement also increases the frequency of preferred behaviours, but by removing something unpleasant or </w:t>
      </w:r>
      <w:r>
        <w:rPr>
          <w:rFonts w:ascii="Times New Roman" w:hAnsi="Times New Roman" w:hint="default"/>
          <w:rtl w:val="0"/>
          <w:lang w:val="en-US"/>
        </w:rPr>
        <w:t>“</w:t>
      </w:r>
      <w:r>
        <w:rPr>
          <w:rFonts w:ascii="Times New Roman" w:hAnsi="Times New Roman"/>
          <w:rtl w:val="0"/>
          <w:lang w:val="it-IT"/>
        </w:rPr>
        <w:t>aversive</w:t>
      </w:r>
      <w:r>
        <w:rPr>
          <w:rFonts w:ascii="Times New Roman" w:hAnsi="Times New Roman" w:hint="default"/>
          <w:rtl w:val="0"/>
          <w:lang w:val="en-US"/>
        </w:rPr>
        <w:t xml:space="preserve">” </w:t>
      </w:r>
      <w:r>
        <w:rPr>
          <w:rFonts w:ascii="Times New Roman" w:hAnsi="Times New Roman"/>
          <w:rtl w:val="0"/>
          <w:lang w:val="en-US"/>
        </w:rPr>
        <w:t>in response. An example of negative reinforcement would be having all students clean the class at the end of school, except for the table that do best in their homework. This removal of an aversive stimulus might encourage the students to work harder on their homework.</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Alberto &amp; Troutman (2006) introduce the concept of applied behaviour analysis, which involves applying the principles of operant conditioning in situations such as education in order to shape and control students</w:t>
      </w:r>
      <w:r>
        <w:rPr>
          <w:rFonts w:ascii="Times New Roman" w:hAnsi="Times New Roman" w:hint="default"/>
          <w:rtl w:val="0"/>
          <w:lang w:val="en-US"/>
        </w:rPr>
        <w:t xml:space="preserve">’ </w:t>
      </w:r>
      <w:r>
        <w:rPr>
          <w:rFonts w:ascii="Times New Roman" w:hAnsi="Times New Roman"/>
          <w:rtl w:val="0"/>
          <w:lang w:val="en-US"/>
        </w:rPr>
        <w:t>behaviour. In order to decrease children</w:t>
      </w:r>
      <w:r>
        <w:rPr>
          <w:rFonts w:ascii="Times New Roman" w:hAnsi="Times New Roman" w:hint="default"/>
          <w:rtl w:val="0"/>
          <w:lang w:val="en-US"/>
        </w:rPr>
        <w:t>’</w:t>
      </w:r>
      <w:r>
        <w:rPr>
          <w:rFonts w:ascii="Times New Roman" w:hAnsi="Times New Roman"/>
          <w:rtl w:val="0"/>
          <w:lang w:val="en-US"/>
        </w:rPr>
        <w:t>s undesirable behaviour, Alberto &amp; Troutman (2006) recommend this order of the following steps:</w:t>
      </w:r>
    </w:p>
    <w:p>
      <w:pPr>
        <w:pStyle w:val="Body"/>
        <w:spacing w:line="360" w:lineRule="auto"/>
        <w:rPr>
          <w:rFonts w:ascii="Times New Roman" w:cs="Times New Roman" w:hAnsi="Times New Roman" w:eastAsia="Times New Roman"/>
        </w:rPr>
      </w:pPr>
      <w:r>
        <w:rPr>
          <w:rFonts w:ascii="Times New Roman" w:hAnsi="Times New Roman"/>
          <w:rtl w:val="0"/>
          <w:lang w:val="en-US"/>
        </w:rPr>
        <w:t>Reinforce behaviour that is preferred.</w:t>
      </w:r>
    </w:p>
    <w:p>
      <w:pPr>
        <w:pStyle w:val="Body"/>
        <w:spacing w:line="360" w:lineRule="auto"/>
        <w:rPr>
          <w:rFonts w:ascii="Times New Roman" w:cs="Times New Roman" w:hAnsi="Times New Roman" w:eastAsia="Times New Roman"/>
        </w:rPr>
      </w:pPr>
      <w:r>
        <w:rPr>
          <w:rFonts w:ascii="Times New Roman" w:hAnsi="Times New Roman"/>
          <w:rtl w:val="0"/>
          <w:lang w:val="en-US"/>
        </w:rPr>
        <w:t>Terminate reinforcement of the child.</w:t>
      </w:r>
    </w:p>
    <w:p>
      <w:pPr>
        <w:pStyle w:val="Body"/>
        <w:spacing w:line="360" w:lineRule="auto"/>
        <w:rPr>
          <w:rFonts w:ascii="Times New Roman" w:cs="Times New Roman" w:hAnsi="Times New Roman" w:eastAsia="Times New Roman"/>
        </w:rPr>
      </w:pPr>
      <w:r>
        <w:rPr>
          <w:rFonts w:ascii="Times New Roman" w:hAnsi="Times New Roman"/>
          <w:rtl w:val="0"/>
          <w:lang w:val="en-US"/>
        </w:rPr>
        <w:t>Remove desirable stimuli from the child.</w:t>
      </w:r>
    </w:p>
    <w:p>
      <w:pPr>
        <w:pStyle w:val="Body"/>
        <w:spacing w:line="360" w:lineRule="auto"/>
        <w:rPr>
          <w:rFonts w:ascii="Times New Roman" w:cs="Times New Roman" w:hAnsi="Times New Roman" w:eastAsia="Times New Roman"/>
        </w:rPr>
      </w:pPr>
      <w:r>
        <w:rPr>
          <w:rFonts w:ascii="Times New Roman" w:hAnsi="Times New Roman"/>
          <w:rtl w:val="0"/>
          <w:lang w:val="en-US"/>
        </w:rPr>
        <w:t>Present aversive stimuli (punishment).</w:t>
      </w:r>
    </w:p>
    <w:p>
      <w:pPr>
        <w:pStyle w:val="Body"/>
        <w:spacing w:line="360" w:lineRule="auto"/>
        <w:rPr>
          <w:rFonts w:ascii="Times New Roman" w:cs="Times New Roman" w:hAnsi="Times New Roman" w:eastAsia="Times New Roman"/>
        </w:rPr>
      </w:pPr>
      <w:r>
        <w:rPr>
          <w:rFonts w:ascii="Times New Roman" w:hAnsi="Times New Roman"/>
          <w:rtl w:val="0"/>
          <w:lang w:val="en-US"/>
        </w:rPr>
        <w:t xml:space="preserve">Long (2000, p.14) insists that the use of positive and negative reinforcement in order to promote desirable behaviours is much more effective than the use of punishment to decrease undesirable behaviours. Punishments do not emphasise new, desirable behaviour and if the student is seeking attention then they may see the punishment as a type of reinforcement if they also get a reaction from the class. Punishments also make for the person who administers the punishment to be seen in a negative way, meaning that a student who is being punished </w:t>
      </w:r>
      <w:r>
        <w:rPr>
          <w:rFonts w:ascii="Times New Roman" w:hAnsi="Times New Roman" w:hint="default"/>
          <w:rtl w:val="0"/>
          <w:lang w:val="en-US"/>
        </w:rPr>
        <w:t>“</w:t>
      </w:r>
      <w:r>
        <w:rPr>
          <w:rFonts w:ascii="Times New Roman" w:hAnsi="Times New Roman"/>
          <w:rtl w:val="0"/>
          <w:lang w:val="en-US"/>
        </w:rPr>
        <w:t>is unlikely to generate any spontaneous co-operative behaviour</w:t>
      </w:r>
      <w:r>
        <w:rPr>
          <w:rFonts w:ascii="Times New Roman" w:hAnsi="Times New Roman" w:hint="default"/>
          <w:rtl w:val="0"/>
          <w:lang w:val="en-US"/>
        </w:rPr>
        <w:t xml:space="preserve">” </w:t>
      </w:r>
      <w:r>
        <w:rPr>
          <w:rFonts w:ascii="Times New Roman" w:hAnsi="Times New Roman"/>
          <w:rtl w:val="0"/>
          <w:lang w:val="en-US"/>
        </w:rPr>
        <w:t>towards the teacher in the future.</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The constant use of positive and negative reinforcement was helpful to me last year during 2</w:t>
      </w:r>
      <w:r>
        <w:rPr>
          <w:rFonts w:ascii="Times New Roman" w:hAnsi="Times New Roman"/>
          <w:vertAlign w:val="superscript"/>
          <w:rtl w:val="0"/>
        </w:rPr>
        <w:t>nd</w:t>
      </w:r>
      <w:r>
        <w:rPr>
          <w:rFonts w:ascii="Times New Roman" w:hAnsi="Times New Roman"/>
          <w:rtl w:val="0"/>
          <w:lang w:val="en-US"/>
        </w:rPr>
        <w:t xml:space="preserve"> year placement. Choosing these over the use of punishment help promote a positive and motivated atmosphere in the classroom, and no issues arose as a result.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rPr>
        <w:t>I</w:t>
      </w:r>
      <w:r>
        <w:rPr>
          <w:rFonts w:ascii="Times New Roman" w:hAnsi="Times New Roman" w:hint="default"/>
          <w:rtl w:val="0"/>
          <w:lang w:val="en-US"/>
        </w:rPr>
        <w:t>’</w:t>
      </w:r>
      <w:r>
        <w:rPr>
          <w:rFonts w:ascii="Times New Roman" w:hAnsi="Times New Roman"/>
          <w:rtl w:val="0"/>
          <w:lang w:val="en-US"/>
        </w:rPr>
        <w:t>m hopeful that the educational philosophy that I have developed, as well as the theories and concepts that I have learned throughout this BME so far will help me learn and improve even further during this 3</w:t>
      </w:r>
      <w:r>
        <w:rPr>
          <w:rFonts w:ascii="Times New Roman" w:hAnsi="Times New Roman"/>
          <w:vertAlign w:val="superscript"/>
          <w:rtl w:val="0"/>
        </w:rPr>
        <w:t>rd</w:t>
      </w:r>
      <w:r>
        <w:rPr>
          <w:rFonts w:ascii="Times New Roman" w:hAnsi="Times New Roman"/>
          <w:rtl w:val="0"/>
          <w:lang w:val="en-US"/>
        </w:rPr>
        <w:t xml:space="preserve"> year school placement. </w:t>
      </w:r>
    </w:p>
    <w:p>
      <w:pPr>
        <w:pStyle w:val="Body"/>
        <w:spacing w:line="360" w:lineRule="auto"/>
        <w:rPr>
          <w:rFonts w:ascii="Times New Roman" w:cs="Times New Roman" w:hAnsi="Times New Roman" w:eastAsia="Times New Roman"/>
        </w:rPr>
      </w:pPr>
    </w:p>
    <w:p>
      <w:pPr>
        <w:pStyle w:val="Body"/>
        <w:spacing w:line="360" w:lineRule="auto"/>
        <w:rPr>
          <w:rFonts w:ascii="Times New Roman" w:cs="Times New Roman" w:hAnsi="Times New Roman" w:eastAsia="Times New Roman"/>
        </w:rPr>
      </w:pPr>
      <w:r>
        <w:rPr>
          <w:rFonts w:ascii="Times New Roman" w:hAnsi="Times New Roman"/>
          <w:rtl w:val="0"/>
          <w:lang w:val="en-US"/>
        </w:rPr>
        <w:t>The types of classes and students that I will be teaching this year is more diverse than last year, with mainstream and resource class ranging from 1</w:t>
      </w:r>
      <w:r>
        <w:rPr>
          <w:rFonts w:ascii="Times New Roman" w:hAnsi="Times New Roman"/>
          <w:vertAlign w:val="superscript"/>
          <w:rtl w:val="0"/>
        </w:rPr>
        <w:t>st</w:t>
      </w:r>
      <w:r>
        <w:rPr>
          <w:rFonts w:ascii="Times New Roman" w:hAnsi="Times New Roman"/>
          <w:rtl w:val="0"/>
          <w:lang w:val="en-US"/>
        </w:rPr>
        <w:t xml:space="preserve"> to 5</w:t>
      </w:r>
      <w:r>
        <w:rPr>
          <w:rFonts w:ascii="Times New Roman" w:hAnsi="Times New Roman"/>
          <w:vertAlign w:val="superscript"/>
          <w:rtl w:val="0"/>
          <w:lang w:val="en-US"/>
        </w:rPr>
        <w:t>th</w:t>
      </w:r>
      <w:r>
        <w:rPr>
          <w:rFonts w:ascii="Times New Roman" w:hAnsi="Times New Roman"/>
          <w:rtl w:val="0"/>
          <w:lang w:val="en-US"/>
        </w:rPr>
        <w:t xml:space="preserve"> years. Compared to my secondary school experience, where no extra resource classes or assistance was provide, this school</w:t>
      </w:r>
      <w:r>
        <w:rPr>
          <w:rFonts w:ascii="Times New Roman" w:hAnsi="Times New Roman" w:hint="default"/>
          <w:rtl w:val="0"/>
          <w:lang w:val="en-US"/>
        </w:rPr>
        <w:t>’</w:t>
      </w:r>
      <w:r>
        <w:rPr>
          <w:rFonts w:ascii="Times New Roman" w:hAnsi="Times New Roman"/>
          <w:rtl w:val="0"/>
          <w:lang w:val="en-US"/>
        </w:rPr>
        <w:t>s efforts in terms of resource classes and co-curricular activities is something that stands out to me as particularly in sync with my own educational philosophy.</w:t>
      </w:r>
    </w:p>
    <w:p>
      <w:pPr>
        <w:pStyle w:val="Body"/>
        <w:spacing w:line="360" w:lineRule="auto"/>
        <w:rPr>
          <w:rFonts w:ascii="Times New Roman" w:cs="Times New Roman" w:hAnsi="Times New Roman" w:eastAsia="Times New Roman"/>
        </w:rPr>
      </w:pPr>
    </w:p>
    <w:p>
      <w:pPr>
        <w:pStyle w:val="Body"/>
        <w:spacing w:line="360" w:lineRule="auto"/>
      </w:pPr>
      <w:r>
        <w:rPr>
          <w:rFonts w:ascii="Times New Roman" w:hAnsi="Times New Roman"/>
          <w:rtl w:val="0"/>
          <w:lang w:val="en-US"/>
        </w:rPr>
        <w:t>Col</w:t>
      </w:r>
      <w:r>
        <w:rPr>
          <w:rFonts w:ascii="Times New Roman" w:hAnsi="Times New Roman" w:hint="default"/>
          <w:rtl w:val="0"/>
          <w:lang w:val="en-US"/>
        </w:rPr>
        <w:t>á</w:t>
      </w:r>
      <w:r>
        <w:rPr>
          <w:rFonts w:ascii="Times New Roman" w:hAnsi="Times New Roman"/>
          <w:rtl w:val="0"/>
          <w:lang w:val="en-US"/>
        </w:rPr>
        <w:t xml:space="preserve">iste na Coiribe </w:t>
      </w:r>
      <w:r>
        <w:rPr>
          <w:rFonts w:ascii="Times New Roman" w:hAnsi="Times New Roman"/>
          <w:rtl w:val="0"/>
          <w:lang w:val="en-US"/>
        </w:rPr>
        <w:t>has the will and the resources to meet students</w:t>
      </w:r>
      <w:r>
        <w:rPr>
          <w:rFonts w:ascii="Times New Roman" w:hAnsi="Times New Roman" w:hint="default"/>
          <w:rtl w:val="0"/>
          <w:lang w:val="en-US"/>
        </w:rPr>
        <w:t xml:space="preserve">’ </w:t>
      </w:r>
      <w:r>
        <w:rPr>
          <w:rFonts w:ascii="Times New Roman" w:hAnsi="Times New Roman"/>
          <w:rtl w:val="0"/>
          <w:lang w:val="en-US"/>
        </w:rPr>
        <w:t>needs</w:t>
      </w:r>
      <w:r>
        <w:rPr>
          <w:rFonts w:ascii="Times New Roman" w:hAnsi="Times New Roman"/>
          <w:rtl w:val="0"/>
          <w:lang w:val="en-US"/>
        </w:rPr>
        <w:t xml:space="preserve"> (Col</w:t>
      </w:r>
      <w:r>
        <w:rPr>
          <w:rFonts w:ascii="Times New Roman" w:hAnsi="Times New Roman" w:hint="default"/>
          <w:rtl w:val="0"/>
          <w:lang w:val="en-US"/>
        </w:rPr>
        <w:t>á</w:t>
      </w:r>
      <w:r>
        <w:rPr>
          <w:rFonts w:ascii="Times New Roman" w:hAnsi="Times New Roman"/>
          <w:rtl w:val="0"/>
          <w:lang w:val="en-US"/>
        </w:rPr>
        <w:t>iste na Coiribe, 2018)</w:t>
      </w:r>
      <w:r>
        <w:rPr>
          <w:rFonts w:ascii="Times New Roman" w:hAnsi="Times New Roman"/>
          <w:rtl w:val="0"/>
        </w:rPr>
        <w:t>, I</w:t>
      </w:r>
      <w:r>
        <w:rPr>
          <w:rFonts w:ascii="Times New Roman" w:hAnsi="Times New Roman" w:hint="default"/>
          <w:rtl w:val="0"/>
          <w:lang w:val="en-US"/>
        </w:rPr>
        <w:t>’</w:t>
      </w:r>
      <w:r>
        <w:rPr>
          <w:rFonts w:ascii="Times New Roman" w:hAnsi="Times New Roman"/>
          <w:rtl w:val="0"/>
          <w:lang w:val="en-US"/>
        </w:rPr>
        <w:t>m hoping that my educational philosophy of student-centred education is something that will be enforced and strengthened throughout this placement. My main goals throughout the placement will be improving my ability to control large classes, gain more experience using formative assessments and providing constructive feedback</w:t>
      </w:r>
      <w:r>
        <w:rPr>
          <w:rFonts w:ascii="Times New Roman" w:hAnsi="Times New Roman"/>
          <w:rtl w:val="0"/>
          <w:lang w:val="en-US"/>
        </w:rPr>
        <w:t xml:space="preserve"> through the use of technology (e.g. Plickers)</w:t>
      </w:r>
      <w:r>
        <w:rPr>
          <w:rFonts w:ascii="Times New Roman" w:hAnsi="Times New Roman"/>
          <w:rtl w:val="0"/>
          <w:lang w:val="en-US"/>
        </w:rPr>
        <w:t xml:space="preserve">, and deepen my understanding of the sociological factors involved that </w:t>
      </w:r>
      <w:r>
        <w:rPr>
          <w:rFonts w:ascii="Times New Roman" w:hAnsi="Times New Roman"/>
          <w:rtl w:val="0"/>
          <w:lang w:val="en-US"/>
        </w:rPr>
        <w:t>e</w:t>
      </w:r>
      <w:r>
        <w:rPr>
          <w:rFonts w:ascii="Times New Roman" w:hAnsi="Times New Roman"/>
          <w:rtl w:val="0"/>
          <w:lang w:val="en-US"/>
        </w:rPr>
        <w:t xml:space="preserve">ffect education (using and improving my studies carried out in </w:t>
      </w:r>
      <w:r>
        <w:rPr>
          <w:rFonts w:ascii="Times New Roman" w:hAnsi="Times New Roman" w:hint="default"/>
          <w:rtl w:val="0"/>
          <w:lang w:val="en-US"/>
        </w:rPr>
        <w:t>‘</w:t>
      </w:r>
      <w:r>
        <w:rPr>
          <w:rFonts w:ascii="Times New Roman" w:hAnsi="Times New Roman"/>
          <w:rtl w:val="0"/>
          <w:lang w:val="en-US"/>
        </w:rPr>
        <w:t>ED305: Psychology, Sociology and Catering for Diversity</w:t>
      </w:r>
      <w:r>
        <w:rPr>
          <w:rFonts w:ascii="Times New Roman" w:hAnsi="Times New Roman" w:hint="default"/>
          <w:rtl w:val="0"/>
          <w:lang w:val="en-US"/>
        </w:rPr>
        <w:t>’</w:t>
      </w:r>
      <w:r>
        <w:rPr>
          <w:rFonts w:ascii="Times New Roman" w:hAnsi="Times New Roman"/>
          <w:rtl w:val="0"/>
        </w:rPr>
        <w:t>).</w:t>
      </w:r>
      <w:r>
        <w:rPr>
          <w:rFonts w:ascii="Arial Unicode MS" w:cs="Arial Unicode MS" w:hAnsi="Arial Unicode MS" w:eastAsia="Arial Unicode MS"/>
          <w:b w:val="0"/>
          <w:bCs w:val="0"/>
          <w:i w:val="0"/>
          <w:iCs w:val="0"/>
        </w:rPr>
        <w:br w:type="page"/>
      </w:r>
    </w:p>
    <w:p>
      <w:pPr>
        <w:pStyle w:val="Body"/>
        <w:spacing w:line="360" w:lineRule="auto"/>
      </w:pPr>
      <w:r>
        <w:rPr>
          <w:rFonts w:ascii="Times New Roman" w:hAnsi="Times New Roman"/>
          <w:b w:val="1"/>
          <w:bCs w:val="1"/>
          <w:sz w:val="28"/>
          <w:szCs w:val="28"/>
          <w:u w:val="single"/>
          <w:rtl w:val="0"/>
          <w:lang w:val="fr-FR"/>
        </w:rPr>
        <w:t>Bibliography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sz w:val="24"/>
          <w:szCs w:val="24"/>
          <w:rtl w:val="0"/>
        </w:rPr>
        <w:t xml:space="preserve">Alberto, P. A., &amp; Troutman, A. C. (2009). </w:t>
      </w:r>
      <w:r>
        <w:rPr>
          <w:i w:val="1"/>
          <w:iCs w:val="1"/>
          <w:sz w:val="24"/>
          <w:szCs w:val="24"/>
          <w:rtl w:val="0"/>
          <w:lang w:val="en-US"/>
        </w:rPr>
        <w:t>Applied behaviour analysis for teachers</w:t>
      </w:r>
      <w:r>
        <w:rPr>
          <w:sz w:val="24"/>
          <w:szCs w:val="24"/>
          <w:rtl w:val="0"/>
          <w:lang w:val="en-US"/>
        </w:rPr>
        <w:t>. Boston: Pearsons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bidi w:val="0"/>
        <w:spacing w:after="240" w:line="300" w:lineRule="atLeast"/>
        <w:ind w:left="0" w:right="0" w:firstLine="0"/>
        <w:jc w:val="left"/>
        <w:rPr>
          <w:rFonts w:ascii="Times Roman" w:cs="Times Roman" w:hAnsi="Times Roman" w:eastAsia="Times Roman"/>
          <w:sz w:val="27"/>
          <w:szCs w:val="27"/>
          <w:rtl w:val="0"/>
        </w:rPr>
      </w:pPr>
      <w:r>
        <w:rPr>
          <w:rFonts w:ascii="Times Roman" w:hAnsi="Times Roman"/>
          <w:sz w:val="27"/>
          <w:szCs w:val="27"/>
          <w:rtl w:val="0"/>
          <w:lang w:val="en-US"/>
        </w:rPr>
        <w:t>Col</w:t>
      </w:r>
      <w:r>
        <w:rPr>
          <w:rFonts w:ascii="Times Roman" w:hAnsi="Times Roman" w:hint="default"/>
          <w:sz w:val="27"/>
          <w:szCs w:val="27"/>
          <w:rtl w:val="0"/>
          <w:lang w:val="en-US"/>
        </w:rPr>
        <w:t>á</w:t>
      </w:r>
      <w:r>
        <w:rPr>
          <w:rFonts w:ascii="Times Roman" w:hAnsi="Times Roman"/>
          <w:sz w:val="27"/>
          <w:szCs w:val="27"/>
          <w:rtl w:val="0"/>
          <w:lang w:val="en-US"/>
        </w:rPr>
        <w:t>iste na Coiribe</w:t>
      </w:r>
      <w:r>
        <w:rPr>
          <w:rFonts w:ascii="Times Roman" w:hAnsi="Times Roman"/>
          <w:sz w:val="27"/>
          <w:szCs w:val="27"/>
          <w:rtl w:val="0"/>
        </w:rPr>
        <w:t xml:space="preserve"> (20</w:t>
      </w:r>
      <w:r>
        <w:rPr>
          <w:rFonts w:ascii="Times Roman" w:hAnsi="Times Roman"/>
          <w:sz w:val="27"/>
          <w:szCs w:val="27"/>
          <w:rtl w:val="0"/>
          <w:lang w:val="en-US"/>
        </w:rPr>
        <w:t>18</w:t>
      </w:r>
      <w:r>
        <w:rPr>
          <w:rFonts w:ascii="Times Roman" w:hAnsi="Times Roman"/>
          <w:sz w:val="27"/>
          <w:szCs w:val="27"/>
          <w:rtl w:val="0"/>
        </w:rPr>
        <w:t xml:space="preserve">) </w:t>
      </w:r>
      <w:r>
        <w:rPr>
          <w:rFonts w:ascii="Times Roman" w:hAnsi="Times Roman"/>
          <w:sz w:val="27"/>
          <w:szCs w:val="27"/>
          <w:rtl w:val="0"/>
          <w:lang w:val="en-US"/>
        </w:rPr>
        <w:t>C</w:t>
      </w:r>
      <w:r>
        <w:rPr>
          <w:rFonts w:ascii="Times Roman" w:hAnsi="Times Roman" w:hint="default"/>
          <w:sz w:val="27"/>
          <w:szCs w:val="27"/>
          <w:rtl w:val="0"/>
          <w:lang w:val="en-US"/>
        </w:rPr>
        <w:t>ó</w:t>
      </w:r>
      <w:r>
        <w:rPr>
          <w:rFonts w:ascii="Times Roman" w:hAnsi="Times Roman"/>
          <w:sz w:val="27"/>
          <w:szCs w:val="27"/>
          <w:rtl w:val="0"/>
          <w:lang w:val="en-US"/>
        </w:rPr>
        <w:t>d Iompair do Scolair</w:t>
      </w:r>
      <w:r>
        <w:rPr>
          <w:rFonts w:ascii="Times Roman" w:hAnsi="Times Roman" w:hint="default"/>
          <w:sz w:val="27"/>
          <w:szCs w:val="27"/>
          <w:rtl w:val="0"/>
          <w:lang w:val="en-US"/>
        </w:rPr>
        <w:t xml:space="preserve">í </w:t>
      </w:r>
      <w:r>
        <w:rPr>
          <w:rFonts w:ascii="Times Roman" w:hAnsi="Times Roman"/>
          <w:sz w:val="27"/>
          <w:szCs w:val="27"/>
          <w:rtl w:val="0"/>
          <w:lang w:val="en-US"/>
        </w:rPr>
        <w:t>Col</w:t>
      </w:r>
      <w:r>
        <w:rPr>
          <w:rFonts w:ascii="Times Roman" w:hAnsi="Times Roman" w:hint="default"/>
          <w:sz w:val="27"/>
          <w:szCs w:val="27"/>
          <w:rtl w:val="0"/>
          <w:lang w:val="en-US"/>
        </w:rPr>
        <w:t>á</w:t>
      </w:r>
      <w:r>
        <w:rPr>
          <w:rFonts w:ascii="Times Roman" w:hAnsi="Times Roman"/>
          <w:sz w:val="27"/>
          <w:szCs w:val="27"/>
          <w:rtl w:val="0"/>
          <w:lang w:val="en-US"/>
        </w:rPr>
        <w:t xml:space="preserve">iste na Coiribe </w:t>
      </w:r>
      <w:r>
        <w:rPr>
          <w:rFonts w:ascii="Times Roman" w:hAnsi="Times Roman"/>
          <w:sz w:val="27"/>
          <w:szCs w:val="27"/>
          <w:rtl w:val="0"/>
          <w:lang w:val="en-US"/>
        </w:rPr>
        <w:t>Available at: http://www.</w:t>
      </w:r>
      <w:r>
        <w:rPr>
          <w:rFonts w:ascii="Times Roman" w:hAnsi="Times Roman"/>
          <w:sz w:val="27"/>
          <w:szCs w:val="27"/>
          <w:rtl w:val="0"/>
          <w:lang w:val="en-US"/>
        </w:rPr>
        <w:t>colaistenacoiribe</w:t>
      </w:r>
      <w:r>
        <w:rPr>
          <w:rFonts w:ascii="Times Roman" w:hAnsi="Times Roman"/>
          <w:sz w:val="27"/>
          <w:szCs w:val="27"/>
          <w:rtl w:val="0"/>
        </w:rPr>
        <w:t>.</w:t>
      </w:r>
      <w:r>
        <w:rPr>
          <w:rFonts w:ascii="Times Roman" w:hAnsi="Times Roman"/>
          <w:sz w:val="27"/>
          <w:szCs w:val="27"/>
          <w:rtl w:val="0"/>
          <w:lang w:val="en-US"/>
        </w:rPr>
        <w:t>ie</w:t>
      </w:r>
      <w:r>
        <w:rPr>
          <w:rFonts w:ascii="Times Roman" w:hAnsi="Times Roman"/>
          <w:sz w:val="27"/>
          <w:szCs w:val="27"/>
          <w:rtl w:val="0"/>
          <w:lang w:val="it-IT"/>
        </w:rPr>
        <w:t xml:space="preserve">/ (Accessed: </w:t>
      </w:r>
      <w:r>
        <w:rPr>
          <w:rFonts w:ascii="Times Roman" w:hAnsi="Times Roman"/>
          <w:sz w:val="27"/>
          <w:szCs w:val="27"/>
          <w:rtl w:val="0"/>
          <w:lang w:val="en-US"/>
        </w:rPr>
        <w:t>18 October 2018)</w:t>
      </w:r>
      <w:r>
        <w:rPr>
          <w:rFonts w:ascii="Times Roman" w:hAnsi="Times Roman"/>
          <w:sz w:val="27"/>
          <w:szCs w:val="27"/>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sz w:val="24"/>
          <w:szCs w:val="24"/>
          <w:rtl w:val="0"/>
        </w:rPr>
        <w:t xml:space="preserve">Donahue, J. W. (2008). </w:t>
      </w:r>
      <w:r>
        <w:rPr>
          <w:sz w:val="24"/>
          <w:szCs w:val="24"/>
          <w:rtl w:val="1"/>
        </w:rPr>
        <w:t>‘</w:t>
      </w:r>
      <w:r>
        <w:rPr>
          <w:sz w:val="24"/>
          <w:szCs w:val="24"/>
          <w:rtl w:val="0"/>
          <w:lang w:val="en-US"/>
        </w:rPr>
        <w:t>Operant conditioning</w:t>
      </w:r>
      <w:r>
        <w:rPr>
          <w:sz w:val="24"/>
          <w:szCs w:val="24"/>
          <w:rtl w:val="1"/>
        </w:rPr>
        <w:t>’</w:t>
      </w:r>
      <w:r>
        <w:rPr>
          <w:sz w:val="24"/>
          <w:szCs w:val="24"/>
          <w:rtl w:val="0"/>
        </w:rPr>
        <w:t xml:space="preserve">. </w:t>
      </w:r>
      <w:r>
        <w:rPr>
          <w:i w:val="1"/>
          <w:iCs w:val="1"/>
          <w:sz w:val="24"/>
          <w:szCs w:val="24"/>
          <w:rtl w:val="0"/>
          <w:lang w:val="en-US"/>
        </w:rPr>
        <w:t>Encyclopaedia of educational psychology</w:t>
      </w:r>
      <w:r>
        <w:rPr>
          <w:sz w:val="24"/>
          <w:szCs w:val="24"/>
          <w:rtl w:val="0"/>
          <w:lang w:val="en-US"/>
        </w:rPr>
        <w:t>. Thousand Oaks, CA: Sage.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sz w:val="24"/>
          <w:szCs w:val="24"/>
          <w:rtl w:val="0"/>
        </w:rPr>
        <w:t xml:space="preserve">Hanrahan, David Christopher. </w:t>
      </w:r>
      <w:r>
        <w:rPr>
          <w:i w:val="1"/>
          <w:iCs w:val="1"/>
          <w:sz w:val="24"/>
          <w:szCs w:val="24"/>
          <w:rtl w:val="0"/>
          <w:lang w:val="en-US"/>
        </w:rPr>
        <w:t xml:space="preserve">The Philosopher King, the Gentleman of Leisure and the Challenge of Modernity: An Education to Serve the Needs of the State and An Education to Serve the Needs of the Individual. </w:t>
      </w:r>
      <w:r>
        <w:rPr>
          <w:sz w:val="24"/>
          <w:szCs w:val="24"/>
          <w:rtl w:val="0"/>
          <w:lang w:val="en-US"/>
        </w:rPr>
        <w:t>[A philosophical and historical analysis of two diverse educational philosophies: the Educational Principles found in Plato's "Republic" and Aristotle's "Politics", which are Based upon Serving the Needs of the State, and the Challenge that Arose to those Principles from the Modern Concept of Serving the Needs of the Individual]. Supervisor:</w:t>
      </w:r>
      <w:r>
        <w:rPr>
          <w:sz w:val="24"/>
          <w:szCs w:val="24"/>
          <w:rtl w:val="0"/>
        </w:rPr>
        <w:t> </w:t>
      </w:r>
      <w:r>
        <w:rPr>
          <w:sz w:val="24"/>
          <w:szCs w:val="24"/>
          <w:rtl w:val="0"/>
        </w:rPr>
        <w:t xml:space="preserve">Dr. Tony Hall.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sz w:val="24"/>
          <w:szCs w:val="24"/>
          <w:rtl w:val="0"/>
        </w:rPr>
        <w:t>Hall,</w:t>
      </w:r>
      <w:r>
        <w:rPr>
          <w:sz w:val="24"/>
          <w:szCs w:val="24"/>
          <w:rtl w:val="0"/>
          <w:lang w:val="en-US"/>
        </w:rPr>
        <w:t xml:space="preserve"> Tony (2013) </w:t>
      </w:r>
      <w:r>
        <w:rPr>
          <w:sz w:val="24"/>
          <w:szCs w:val="24"/>
          <w:rtl w:val="0"/>
          <w:lang w:val="en-US"/>
        </w:rPr>
        <w:t>Leadership+ Issue 77</w:t>
      </w:r>
      <w:r>
        <w:rPr>
          <w:sz w:val="24"/>
          <w:szCs w:val="24"/>
          <w:rtl w:val="0"/>
          <w:lang w:val="en-US"/>
        </w:rPr>
        <w:t xml:space="preserve"> Available at: </w:t>
      </w:r>
      <w:r>
        <w:rPr>
          <w:sz w:val="24"/>
          <w:szCs w:val="24"/>
          <w:rtl w:val="0"/>
        </w:rPr>
        <w:t xml:space="preserv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rStyle w:val="Hyperlink.0"/>
          <w:sz w:val="24"/>
          <w:szCs w:val="24"/>
          <w:rtl w:val="0"/>
        </w:rPr>
        <w:fldChar w:fldCharType="begin" w:fldLock="0"/>
      </w:r>
      <w:r>
        <w:rPr>
          <w:rStyle w:val="Hyperlink.0"/>
          <w:sz w:val="24"/>
          <w:szCs w:val="24"/>
          <w:rtl w:val="0"/>
        </w:rPr>
        <w:instrText xml:space="preserve"> HYPERLINK "https://issuu.com/ippn/docs/leadership_issue77_nov2013-final"</w:instrText>
      </w:r>
      <w:r>
        <w:rPr>
          <w:rStyle w:val="Hyperlink.0"/>
          <w:sz w:val="24"/>
          <w:szCs w:val="24"/>
          <w:rtl w:val="0"/>
        </w:rPr>
        <w:fldChar w:fldCharType="separate" w:fldLock="0"/>
      </w:r>
      <w:r>
        <w:rPr>
          <w:rStyle w:val="Hyperlink.0"/>
          <w:sz w:val="24"/>
          <w:szCs w:val="24"/>
          <w:rtl w:val="0"/>
          <w:lang w:val="en-US"/>
        </w:rPr>
        <w:t>https://issuu.com/ippn/docs/leadership_issue77_nov2013-final</w:t>
      </w:r>
      <w:r>
        <w:rPr>
          <w:sz w:val="24"/>
          <w:szCs w:val="24"/>
          <w:rtl w:val="0"/>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sz w:val="24"/>
          <w:szCs w:val="24"/>
          <w:rtl w:val="0"/>
        </w:rPr>
        <w:t xml:space="preserve">Santrock, J.W., 2009. </w:t>
      </w:r>
      <w:r>
        <w:rPr>
          <w:i w:val="1"/>
          <w:iCs w:val="1"/>
          <w:sz w:val="24"/>
          <w:szCs w:val="24"/>
          <w:rtl w:val="0"/>
          <w:lang w:val="en-US"/>
        </w:rPr>
        <w:t>Educational psychology</w:t>
      </w:r>
      <w:r>
        <w:rPr>
          <w:sz w:val="24"/>
          <w:szCs w:val="24"/>
          <w:rtl w:val="0"/>
          <w:lang w:val="en-US"/>
        </w:rPr>
        <w:t xml:space="preserve"> 4th ed., Boston: McGraw-Hill.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sz w:val="24"/>
          <w:szCs w:val="24"/>
          <w:rtl w:val="0"/>
          <w:lang w:val="de-DE"/>
        </w:rPr>
        <w:t xml:space="preserve">Schwartz, B., Wasserman, E. A., &amp; Robbins, S. J. (2002). </w:t>
      </w:r>
      <w:r>
        <w:rPr>
          <w:i w:val="1"/>
          <w:iCs w:val="1"/>
          <w:sz w:val="24"/>
          <w:szCs w:val="24"/>
          <w:rtl w:val="0"/>
          <w:lang w:val="en-US"/>
        </w:rPr>
        <w:t>Psychology of Learning and Behaviour</w:t>
      </w:r>
      <w:r>
        <w:rPr>
          <w:sz w:val="24"/>
          <w:szCs w:val="24"/>
          <w:rtl w:val="0"/>
          <w:lang w:val="en-US"/>
        </w:rPr>
        <w:t xml:space="preserve">. New York: W. W. Norton &amp; Co.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sz w:val="24"/>
          <w:szCs w:val="24"/>
          <w:rtl w:val="0"/>
        </w:rPr>
        <w:t xml:space="preserve">Long, M. (2000). </w:t>
      </w:r>
      <w:r>
        <w:rPr>
          <w:i w:val="1"/>
          <w:iCs w:val="1"/>
          <w:sz w:val="24"/>
          <w:szCs w:val="24"/>
          <w:rtl w:val="0"/>
          <w:lang w:val="en-US"/>
        </w:rPr>
        <w:t>The Psychology of Education</w:t>
      </w:r>
      <w:r>
        <w:rPr>
          <w:sz w:val="24"/>
          <w:szCs w:val="24"/>
          <w:rtl w:val="0"/>
          <w:lang w:val="en-US"/>
        </w:rPr>
        <w:t>. New York: RoutledgeFalmer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r>
        <w:rPr>
          <w:sz w:val="24"/>
          <w:szCs w:val="24"/>
          <w:rtl w:val="0"/>
          <w:lang w:val="nl-NL"/>
        </w:rPr>
        <w:t xml:space="preserve">Anita woolfolk, 2013. </w:t>
      </w:r>
      <w:r>
        <w:rPr>
          <w:i w:val="1"/>
          <w:iCs w:val="1"/>
          <w:sz w:val="24"/>
          <w:szCs w:val="24"/>
          <w:rtl w:val="0"/>
          <w:lang w:val="en-US"/>
        </w:rPr>
        <w:t>Educational psychology</w:t>
      </w:r>
      <w:r>
        <w:rPr>
          <w:sz w:val="24"/>
          <w:szCs w:val="24"/>
          <w:rtl w:val="0"/>
          <w:lang w:val="en-US"/>
        </w:rPr>
        <w:t xml:space="preserve"> 12th ed., International., Upper Saddle River, N.J.: Pearson Education., 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bidi w:val="0"/>
        <w:ind w:left="0" w:right="0" w:firstLine="0"/>
        <w:jc w:val="left"/>
        <w:rPr>
          <w:sz w:val="24"/>
          <w:szCs w:val="24"/>
          <w:rtl w:val="0"/>
        </w:rPr>
      </w:pPr>
    </w:p>
    <w:p>
      <w:pPr>
        <w:pStyle w:val="Default"/>
        <w:bidi w:val="0"/>
        <w:spacing w:after="240" w:line="300" w:lineRule="atLeast"/>
        <w:ind w:left="0" w:right="0" w:firstLine="0"/>
        <w:jc w:val="left"/>
        <w:rPr>
          <w:rtl w:val="0"/>
        </w:rPr>
      </w:pPr>
      <w:r>
        <w:rPr>
          <w:rFonts w:ascii="Times Roman" w:cs="Times Roman" w:hAnsi="Times Roman" w:eastAsia="Times Roman"/>
          <w:sz w:val="24"/>
          <w:szCs w:val="24"/>
          <w:rtl w:val="0"/>
        </w:rPr>
      </w:r>
    </w:p>
    <w:sectPr>
      <w:headerReference w:type="default" r:id="rId4"/>
      <w:footerReference w:type="default" r:id="rId5"/>
      <w:pgSz w:w="11900" w:h="16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