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spacing w:line="276" w:lineRule="auto"/>
        <w:rPr/>
      </w:pPr>
      <w:bookmarkStart w:colFirst="0" w:colLast="0" w:name="_gjdgxs" w:id="0"/>
      <w:bookmarkEnd w:id="0"/>
      <w:r w:rsidDel="00000000" w:rsidR="00000000" w:rsidRPr="00000000">
        <w:rPr>
          <w:rtl w:val="0"/>
        </w:rPr>
        <w:t xml:space="preserve">Solutions: </w:t>
      </w:r>
      <w:r w:rsidDel="00000000" w:rsidR="00000000" w:rsidRPr="00000000">
        <w:rPr>
          <w:b w:val="1"/>
          <w:color w:val="5b5ba5"/>
          <w:sz w:val="48"/>
          <w:szCs w:val="48"/>
          <w:rtl w:val="0"/>
        </w:rPr>
        <w:t xml:space="preserve">Designing a project with </w:t>
      </w:r>
      <w:r w:rsidDel="00000000" w:rsidR="00000000" w:rsidRPr="00000000">
        <w:rPr>
          <w:b w:val="1"/>
          <w:color w:val="5b5ba5"/>
          <w:sz w:val="48"/>
          <w:szCs w:val="48"/>
          <w:rtl w:val="0"/>
        </w:rPr>
        <w:t xml:space="preserve">a</w:t>
      </w:r>
      <w:r w:rsidDel="00000000" w:rsidR="00000000" w:rsidRPr="00000000">
        <w:rPr>
          <w:b w:val="1"/>
          <w:color w:val="5b5ba5"/>
          <w:sz w:val="48"/>
          <w:szCs w:val="48"/>
          <w:rtl w:val="0"/>
        </w:rPr>
        <w:t xml:space="preserve"> variable</w:t>
      </w:r>
      <w:r w:rsidDel="00000000" w:rsidR="00000000" w:rsidRPr="00000000">
        <w:rPr>
          <w:rtl w:val="0"/>
        </w:rPr>
      </w:r>
    </w:p>
    <w:p w:rsidR="00000000" w:rsidDel="00000000" w:rsidP="00000000" w:rsidRDefault="00000000" w:rsidRPr="00000000" w14:paraId="00000002">
      <w:pPr>
        <w:pageBreakBefore w:val="0"/>
        <w:spacing w:before="200" w:lineRule="auto"/>
        <w:rPr/>
      </w:pPr>
      <w:r w:rsidDel="00000000" w:rsidR="00000000" w:rsidRPr="00000000">
        <w:rPr>
          <w:rtl w:val="0"/>
        </w:rPr>
        <w:t xml:space="preserve">This page offers a possible solution to the ‘Designing a project with a variable’ activity sheet. To determine whether learners have successfully completed this activity, check whether their design matches their program. </w:t>
      </w:r>
    </w:p>
    <w:p w:rsidR="00000000" w:rsidDel="00000000" w:rsidP="00000000" w:rsidRDefault="00000000" w:rsidRPr="00000000" w14:paraId="00000003">
      <w:pPr>
        <w:pStyle w:val="Heading3"/>
        <w:pageBreakBefore w:val="0"/>
        <w:rPr>
          <w:rFonts w:ascii="Handlee" w:cs="Handlee" w:eastAsia="Handlee" w:hAnsi="Handlee"/>
        </w:rPr>
      </w:pPr>
      <w:bookmarkStart w:colFirst="0" w:colLast="0" w:name="_6quhmgwd7q1b" w:id="1"/>
      <w:bookmarkEnd w:id="1"/>
      <w:r w:rsidDel="00000000" w:rsidR="00000000" w:rsidRPr="00000000">
        <w:rPr>
          <w:rtl w:val="0"/>
        </w:rPr>
        <w:t xml:space="preserve">Task</w:t>
      </w:r>
      <w:r w:rsidDel="00000000" w:rsidR="00000000" w:rsidRPr="00000000">
        <w:rPr>
          <w:rtl w:val="0"/>
        </w:rPr>
        <w:t xml:space="preserve">:</w:t>
      </w:r>
      <w:r w:rsidDel="00000000" w:rsidR="00000000" w:rsidRPr="00000000">
        <w:rPr>
          <w:rFonts w:ascii="Handlee" w:cs="Handlee" w:eastAsia="Handlee" w:hAnsi="Handlee"/>
          <w:color w:val="000000"/>
          <w:rtl w:val="0"/>
        </w:rPr>
        <w:t xml:space="preserve"> When the cat sprite is clicked, increase the score by two. When the dog sprite is clicked, increase the score by five. When the bird sprite is clicked, decrease the score by three. </w:t>
      </w: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rtl w:val="0"/>
        </w:rPr>
      </w:r>
    </w:p>
    <w:p w:rsidR="00000000" w:rsidDel="00000000" w:rsidP="00000000" w:rsidRDefault="00000000" w:rsidRPr="00000000" w14:paraId="00000005">
      <w:pPr>
        <w:pageBreakBefore w:val="0"/>
        <w:rPr>
          <w:rFonts w:ascii="Handlee" w:cs="Handlee" w:eastAsia="Handlee" w:hAnsi="Handlee"/>
          <w:sz w:val="28"/>
          <w:szCs w:val="28"/>
        </w:rPr>
      </w:pPr>
      <w:r w:rsidDel="00000000" w:rsidR="00000000" w:rsidRPr="00000000">
        <w:rPr>
          <w:sz w:val="28"/>
          <w:szCs w:val="28"/>
          <w:rtl w:val="0"/>
        </w:rPr>
        <w:t xml:space="preserve">Variable name:</w:t>
      </w:r>
      <w:r w:rsidDel="00000000" w:rsidR="00000000" w:rsidRPr="00000000">
        <w:rPr>
          <w:rtl w:val="0"/>
        </w:rPr>
        <w:t xml:space="preserve"> </w:t>
      </w:r>
      <w:r w:rsidDel="00000000" w:rsidR="00000000" w:rsidRPr="00000000">
        <w:rPr>
          <w:rFonts w:ascii="Handlee" w:cs="Handlee" w:eastAsia="Handlee" w:hAnsi="Handlee"/>
          <w:sz w:val="28"/>
          <w:szCs w:val="28"/>
          <w:rtl w:val="0"/>
        </w:rPr>
        <w:t xml:space="preserve">Score</w:t>
      </w:r>
    </w:p>
    <w:p w:rsidR="00000000" w:rsidDel="00000000" w:rsidP="00000000" w:rsidRDefault="00000000" w:rsidRPr="00000000" w14:paraId="00000006">
      <w:pPr>
        <w:pageBreakBefore w:val="0"/>
        <w:rPr/>
      </w:pPr>
      <w:r w:rsidDel="00000000" w:rsidR="00000000" w:rsidRPr="00000000">
        <w:rPr>
          <w:rtl w:val="0"/>
        </w:rPr>
      </w:r>
    </w:p>
    <w:tbl>
      <w:tblPr>
        <w:tblStyle w:val="Table1"/>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37.5"/>
        <w:gridCol w:w="3337.5"/>
        <w:tblGridChange w:id="0">
          <w:tblGrid>
            <w:gridCol w:w="2340"/>
            <w:gridCol w:w="3337.5"/>
            <w:gridCol w:w="3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b w:val="1"/>
              </w:rPr>
            </w:pPr>
            <w:r w:rsidDel="00000000" w:rsidR="00000000" w:rsidRPr="00000000">
              <w:rPr>
                <w:b w:val="1"/>
                <w:rtl w:val="0"/>
              </w:rPr>
              <w:t xml:space="preserve">Sprite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b w:val="1"/>
              </w:rPr>
            </w:pPr>
            <w:r w:rsidDel="00000000" w:rsidR="00000000" w:rsidRPr="00000000">
              <w:rPr>
                <w:b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b w:val="1"/>
              </w:rPr>
            </w:pPr>
            <w:r w:rsidDel="00000000" w:rsidR="00000000" w:rsidRPr="00000000">
              <w:rPr>
                <w:b w:val="1"/>
                <w:rtl w:val="0"/>
              </w:rPr>
              <w:t xml:space="preserve">Change in value</w:t>
            </w:r>
          </w:p>
        </w:tc>
      </w:tr>
      <w:tr>
        <w:trPr>
          <w:cantSplit w:val="0"/>
          <w:trHeight w:val="182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Add 2</w:t>
            </w:r>
          </w:p>
        </w:tc>
      </w:tr>
      <w:tr>
        <w:trPr>
          <w:cantSplit w:val="0"/>
          <w:trHeight w:val="182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Add 5</w:t>
            </w:r>
          </w:p>
        </w:tc>
      </w:tr>
      <w:tr>
        <w:trPr>
          <w:cantSplit w:val="0"/>
          <w:trHeight w:val="182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Bird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rFonts w:ascii="Handlee" w:cs="Handlee" w:eastAsia="Handlee" w:hAnsi="Handlee"/>
                <w:sz w:val="28"/>
                <w:szCs w:val="28"/>
              </w:rPr>
            </w:pPr>
            <w:r w:rsidDel="00000000" w:rsidR="00000000" w:rsidRPr="00000000">
              <w:rPr>
                <w:rFonts w:ascii="Handlee" w:cs="Handlee" w:eastAsia="Handlee" w:hAnsi="Handlee"/>
                <w:sz w:val="28"/>
                <w:szCs w:val="28"/>
                <w:rtl w:val="0"/>
              </w:rPr>
              <w:t xml:space="preserve">Subtract 3</w:t>
            </w:r>
          </w:p>
        </w:tc>
      </w:tr>
    </w:tbl>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spacing w:line="276" w:lineRule="auto"/>
        <w:rPr>
          <w:color w:val="666666"/>
          <w:sz w:val="18"/>
          <w:szCs w:val="18"/>
        </w:rPr>
      </w:pPr>
      <w:r w:rsidDel="00000000" w:rsidR="00000000" w:rsidRPr="00000000">
        <w:rPr>
          <w:color w:val="666666"/>
          <w:sz w:val="18"/>
          <w:szCs w:val="18"/>
          <w:rtl w:val="0"/>
        </w:rPr>
        <w:t xml:space="preserve">Resources are updated regularly — the latest version is available at: </w:t>
      </w:r>
      <w:hyperlink r:id="rId6">
        <w:r w:rsidDel="00000000" w:rsidR="00000000" w:rsidRPr="00000000">
          <w:rPr>
            <w:color w:val="1155cc"/>
            <w:sz w:val="18"/>
            <w:szCs w:val="18"/>
            <w:u w:val="single"/>
            <w:rtl w:val="0"/>
          </w:rPr>
          <w:t xml:space="preserve">ncce.io/tcc</w:t>
        </w:r>
      </w:hyperlink>
      <w:r w:rsidDel="00000000" w:rsidR="00000000" w:rsidRPr="00000000">
        <w:rPr>
          <w:color w:val="666666"/>
          <w:sz w:val="18"/>
          <w:szCs w:val="18"/>
          <w:rtl w:val="0"/>
        </w:rPr>
        <w:t xml:space="preserve">.</w:t>
      </w:r>
    </w:p>
    <w:p w:rsidR="00000000" w:rsidDel="00000000" w:rsidP="00000000" w:rsidRDefault="00000000" w:rsidRPr="00000000" w14:paraId="00000015">
      <w:pPr>
        <w:spacing w:line="276" w:lineRule="auto"/>
        <w:rPr>
          <w:color w:val="666666"/>
          <w:sz w:val="18"/>
          <w:szCs w:val="18"/>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color w:val="666666"/>
          <w:sz w:val="18"/>
          <w:szCs w:val="18"/>
          <w:rtl w:val="0"/>
        </w:rPr>
        <w:t xml:space="preserve">This resource is licensed under the Open Government Licence, version 3. For more information on this licence, see </w:t>
      </w:r>
      <w:hyperlink r:id="rId7">
        <w:r w:rsidDel="00000000" w:rsidR="00000000" w:rsidRPr="00000000">
          <w:rPr>
            <w:color w:val="1155cc"/>
            <w:sz w:val="18"/>
            <w:szCs w:val="18"/>
            <w:u w:val="single"/>
            <w:rtl w:val="0"/>
          </w:rPr>
          <w:t xml:space="preserve">ncce.io/ogl</w:t>
        </w:r>
      </w:hyperlink>
      <w:r w:rsidDel="00000000" w:rsidR="00000000" w:rsidRPr="00000000">
        <w:rPr>
          <w:color w:val="666666"/>
          <w:sz w:val="18"/>
          <w:szCs w:val="18"/>
          <w:rtl w:val="0"/>
        </w:rPr>
        <w:t xml:space="preserve">.</w:t>
      </w:r>
      <w:r w:rsidDel="00000000" w:rsidR="00000000" w:rsidRPr="00000000">
        <w:rPr>
          <w:rtl w:val="0"/>
        </w:rPr>
      </w:r>
    </w:p>
    <w:sectPr>
      <w:headerReference r:id="rId8" w:type="default"/>
      <w:footerReference r:id="rId9" w:type="default"/>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 w:name="Handlee">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pageBreakBefore w:val="0"/>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 xml:space="preserve">Last updated: 07-02-22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spacing w:line="276" w:lineRule="auto"/>
      <w:ind w:left="-720" w:right="-690" w:firstLine="0"/>
      <w:rPr>
        <w:rFonts w:ascii="Arial" w:cs="Arial" w:eastAsia="Arial" w:hAnsi="Arial"/>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spacing w:line="276" w:lineRule="auto"/>
            <w:ind w:left="90" w:right="-234" w:firstLine="0"/>
            <w:rPr>
              <w:color w:val="666666"/>
              <w:sz w:val="18"/>
              <w:szCs w:val="18"/>
            </w:rPr>
          </w:pPr>
          <w:r w:rsidDel="00000000" w:rsidR="00000000" w:rsidRPr="00000000">
            <w:rPr>
              <w:color w:val="666666"/>
              <w:sz w:val="18"/>
              <w:szCs w:val="18"/>
              <w:rtl w:val="0"/>
            </w:rPr>
            <w:t xml:space="preserve">Year 6 – Variables in games </w:t>
          </w:r>
        </w:p>
        <w:p w:rsidR="00000000" w:rsidDel="00000000" w:rsidP="00000000" w:rsidRDefault="00000000" w:rsidRPr="00000000" w14:paraId="00000019">
          <w:pPr>
            <w:spacing w:line="276" w:lineRule="auto"/>
            <w:ind w:left="90" w:right="-234" w:firstLine="0"/>
            <w:rPr>
              <w:color w:val="666666"/>
              <w:sz w:val="18"/>
              <w:szCs w:val="18"/>
            </w:rPr>
          </w:pPr>
          <w:r w:rsidDel="00000000" w:rsidR="00000000" w:rsidRPr="00000000">
            <w:rPr>
              <w:color w:val="666666"/>
              <w:sz w:val="18"/>
              <w:szCs w:val="18"/>
              <w:rtl w:val="0"/>
            </w:rPr>
            <w:t xml:space="preserve">Lesson 1 – Introducing variables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ind w:right="150"/>
            <w:jc w:val="right"/>
            <w:rPr>
              <w:color w:val="666666"/>
              <w:sz w:val="18"/>
              <w:szCs w:val="18"/>
            </w:rPr>
          </w:pPr>
          <w:r w:rsidDel="00000000" w:rsidR="00000000" w:rsidRPr="00000000">
            <w:rPr>
              <w:color w:val="666666"/>
              <w:sz w:val="18"/>
              <w:szCs w:val="18"/>
              <w:rtl w:val="0"/>
            </w:rPr>
            <w:t xml:space="preserve">Solutions</w:t>
          </w:r>
        </w:p>
      </w:tc>
    </w:tr>
  </w:tbl>
  <w:p w:rsidR="00000000" w:rsidDel="00000000" w:rsidP="00000000" w:rsidRDefault="00000000" w:rsidRPr="00000000" w14:paraId="0000001B">
    <w:pPr>
      <w:spacing w:line="276" w:lineRule="auto"/>
      <w:ind w:left="-720" w:right="-690" w:firstLine="0"/>
      <w:rPr>
        <w:color w:val="666666"/>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-323849</wp:posOffset>
          </wp:positionH>
          <wp:positionV relativeFrom="paragraph">
            <wp:posOffset>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1C">
    <w:pPr>
      <w:spacing w:line="276" w:lineRule="auto"/>
      <w:ind w:left="-720" w:right="-690" w:firstLine="0"/>
      <w:rPr>
        <w:color w:val="666666"/>
        <w:sz w:val="18"/>
        <w:szCs w:val="18"/>
      </w:rPr>
    </w:pPr>
    <w:r w:rsidDel="00000000" w:rsidR="00000000" w:rsidRPr="00000000">
      <w:rPr>
        <w:rtl w:val="0"/>
      </w:rPr>
    </w:r>
  </w:p>
  <w:p w:rsidR="00000000" w:rsidDel="00000000" w:rsidP="00000000" w:rsidRDefault="00000000" w:rsidRPr="00000000" w14:paraId="0000001D">
    <w:pPr>
      <w:spacing w:line="276" w:lineRule="auto"/>
      <w:ind w:left="-720" w:right="-690" w:firstLine="0"/>
      <w:rPr>
        <w:rFonts w:ascii="Arial" w:cs="Arial" w:eastAsia="Arial" w:hAnsi="Arial"/>
        <w:color w:val="666666"/>
      </w:rPr>
    </w:pPr>
    <w:r w:rsidDel="00000000" w:rsidR="00000000" w:rsidRPr="00000000">
      <w:rPr>
        <w:rtl w:val="0"/>
      </w:rPr>
    </w:r>
  </w:p>
  <w:p w:rsidR="00000000" w:rsidDel="00000000" w:rsidP="00000000" w:rsidRDefault="00000000" w:rsidRPr="00000000" w14:paraId="0000001E">
    <w:pPr>
      <w:pageBreakBefore w:val="0"/>
      <w:spacing w:line="276" w:lineRule="auto"/>
      <w:ind w:left="0" w:right="-234.09448818897602" w:firstLine="0"/>
      <w:jc w:val="left"/>
      <w:rPr>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icksand" w:cs="Quicksand" w:eastAsia="Quicksand" w:hAnsi="Quicksand"/>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360" w:line="276" w:lineRule="auto"/>
    </w:pPr>
    <w:rPr>
      <w:rFonts w:ascii="Quicksand" w:cs="Quicksand" w:eastAsia="Quicksand" w:hAnsi="Quicksand"/>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before="400" w:line="276" w:lineRule="auto"/>
    </w:pPr>
    <w:rPr>
      <w:rFonts w:ascii="Quicksand" w:cs="Quicksand" w:eastAsia="Quicksand" w:hAnsi="Quicksand"/>
      <w:b w:val="1"/>
      <w:color w:val="5b5ba5"/>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s://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Handlee-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