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Facility Audit Talking Points — Burly Botanicals</w:t>
      </w:r>
    </w:p>
    <w:p>
      <w:r>
        <w:t>Window: 2026-04-01 -&gt; 2026-05-13 (42 days). Irrigation framing: P0/P1/P2/P3, absolute pp dryback.</w:t>
      </w:r>
    </w:p>
    <w:p>
      <w:pPr>
        <w:pStyle w:val="Heading1"/>
      </w:pPr>
      <w:r>
        <w:t>BULK-1 — bulking (vegetatively-steered)</w:t>
      </w:r>
    </w:p>
    <w:p>
      <w:r>
        <w:t>BULK-1 is vegetatively-steered this week. Overnight dryback ran 9.6 absolute pp against a bulking target band of 12-18 absolute pp; shot cadence held the P1/P2 schedule with P3 driving steering.</w:t>
      </w:r>
    </w:p>
    <w:p>
      <w:r>
        <w:t>Dryback: 9.6 absolute pp | EC stack: 1.68 mS/cm | VPD mean: 1.35 kPa</w:t>
      </w:r>
    </w:p>
    <w:p>
      <w:pPr>
        <w:pStyle w:val="Heading1"/>
      </w:pPr>
      <w:r>
        <w:t>FLOWER-2 — early_flower (generatively-steered)</w:t>
      </w:r>
    </w:p>
    <w:p>
      <w:r>
        <w:t>FLOWER-2 is generatively-steered this week. Overnight dryback ran 14.4 absolute pp against a early_flower target band of 20-30 absolute pp; shot cadence held the P1/P2 schedule with P3 driving steering.</w:t>
      </w:r>
    </w:p>
    <w:p>
      <w:r>
        <w:t>Dryback: 14.4 absolute pp | EC stack: 1.68 mS/cm | VPD mean: 1.1 kPa</w:t>
      </w:r>
    </w:p>
    <w:p>
      <w:pPr>
        <w:pStyle w:val="Heading1"/>
      </w:pPr>
      <w:r>
        <w:t>VEG-1 — veg (vegetatively-steered)</w:t>
      </w:r>
    </w:p>
    <w:p>
      <w:r>
        <w:t>VEG-1 is vegetatively-steered this week. Overnight dryback ran 6.0 absolute pp against a veg target band of 5-15 absolute pp; shot cadence held the P1/P2 schedule with P3 driving steering.</w:t>
      </w:r>
    </w:p>
    <w:p>
      <w:r>
        <w:t>Dryback: 6.0 absolute pp | EC stack: 1.68 mS/cm | VPD mean: 0.95 kPa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