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C0" w:rsidRPr="001013C0" w:rsidRDefault="001013C0" w:rsidP="00F526E7">
      <w:pPr>
        <w:pStyle w:val="Heading2"/>
        <w:spacing w:before="0" w:after="120" w:line="240" w:lineRule="auto"/>
      </w:pPr>
      <w:bookmarkStart w:id="0" w:name="_Toc32574262"/>
      <w:r>
        <w:t>GrubbD-2020 comments-</w:t>
      </w:r>
      <w:r w:rsidR="00BE18D5" w:rsidRPr="00BE18D5">
        <w:t xml:space="preserve">DEASP: Working paper: Evaluation of </w:t>
      </w:r>
      <w:proofErr w:type="spellStart"/>
      <w:r w:rsidR="00BE18D5" w:rsidRPr="00BE18D5">
        <w:t>JobPath</w:t>
      </w:r>
      <w:proofErr w:type="spellEnd"/>
      <w:r w:rsidR="00BE18D5" w:rsidRPr="00BE18D5">
        <w:t xml:space="preserve"> outcomes for Q1 2016 participants March 2019</w:t>
      </w:r>
      <w:bookmarkEnd w:id="0"/>
    </w:p>
    <w:p w:rsidR="007238CF" w:rsidRDefault="009453EB" w:rsidP="00F526E7">
      <w:pPr>
        <w:pStyle w:val="TOC2"/>
        <w:tabs>
          <w:tab w:val="right" w:leader="dot" w:pos="9016"/>
        </w:tabs>
        <w:spacing w:after="120" w:line="240" w:lineRule="auto"/>
        <w:rPr>
          <w:rFonts w:eastAsiaTheme="minorEastAsia"/>
          <w:noProof/>
          <w:lang w:eastAsia="en-GB"/>
        </w:rPr>
      </w:pPr>
      <w:r w:rsidRPr="001013C0">
        <w:fldChar w:fldCharType="begin"/>
      </w:r>
      <w:r w:rsidRPr="001013C0">
        <w:instrText xml:space="preserve"> TOC \o "1-5" \h \z \u </w:instrText>
      </w:r>
      <w:r w:rsidRPr="001013C0">
        <w:fldChar w:fldCharType="separate"/>
      </w:r>
      <w:hyperlink w:anchor="_Toc32574262" w:history="1">
        <w:r w:rsidR="007238CF" w:rsidRPr="00BD4A23">
          <w:rPr>
            <w:rStyle w:val="Hyperlink"/>
            <w:noProof/>
          </w:rPr>
          <w:t>GrubbD-2020 comments-DEASP: Working paper: Evaluation of JobPath outcomes for Q1 2016 participants March 2019</w:t>
        </w:r>
        <w:r w:rsidR="007238CF">
          <w:rPr>
            <w:noProof/>
            <w:webHidden/>
          </w:rPr>
          <w:tab/>
        </w:r>
        <w:r w:rsidR="007238CF">
          <w:rPr>
            <w:noProof/>
            <w:webHidden/>
          </w:rPr>
          <w:fldChar w:fldCharType="begin"/>
        </w:r>
        <w:r w:rsidR="007238CF">
          <w:rPr>
            <w:noProof/>
            <w:webHidden/>
          </w:rPr>
          <w:instrText xml:space="preserve"> PAGEREF _Toc32574262 \h </w:instrText>
        </w:r>
        <w:r w:rsidR="007238CF">
          <w:rPr>
            <w:noProof/>
            <w:webHidden/>
          </w:rPr>
        </w:r>
        <w:r w:rsidR="007238CF">
          <w:rPr>
            <w:noProof/>
            <w:webHidden/>
          </w:rPr>
          <w:fldChar w:fldCharType="separate"/>
        </w:r>
        <w:r w:rsidR="007238CF">
          <w:rPr>
            <w:noProof/>
            <w:webHidden/>
          </w:rPr>
          <w:t>1</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63" w:history="1">
        <w:r w:rsidR="007238CF" w:rsidRPr="00BD4A23">
          <w:rPr>
            <w:rStyle w:val="Hyperlink"/>
            <w:noProof/>
          </w:rPr>
          <w:t>General</w:t>
        </w:r>
        <w:r w:rsidR="007238CF">
          <w:rPr>
            <w:noProof/>
            <w:webHidden/>
          </w:rPr>
          <w:tab/>
        </w:r>
        <w:r w:rsidR="007238CF">
          <w:rPr>
            <w:noProof/>
            <w:webHidden/>
          </w:rPr>
          <w:fldChar w:fldCharType="begin"/>
        </w:r>
        <w:r w:rsidR="007238CF">
          <w:rPr>
            <w:noProof/>
            <w:webHidden/>
          </w:rPr>
          <w:instrText xml:space="preserve"> PAGEREF _Toc32574263 \h </w:instrText>
        </w:r>
        <w:r w:rsidR="007238CF">
          <w:rPr>
            <w:noProof/>
            <w:webHidden/>
          </w:rPr>
        </w:r>
        <w:r w:rsidR="007238CF">
          <w:rPr>
            <w:noProof/>
            <w:webHidden/>
          </w:rPr>
          <w:fldChar w:fldCharType="separate"/>
        </w:r>
        <w:r w:rsidR="007238CF">
          <w:rPr>
            <w:noProof/>
            <w:webHidden/>
          </w:rPr>
          <w:t>1</w:t>
        </w:r>
        <w:r w:rsidR="007238CF">
          <w:rPr>
            <w:noProof/>
            <w:webHidden/>
          </w:rPr>
          <w:fldChar w:fldCharType="end"/>
        </w:r>
      </w:hyperlink>
    </w:p>
    <w:p w:rsidR="007238CF" w:rsidRDefault="00EB1D4A" w:rsidP="00F526E7">
      <w:pPr>
        <w:pStyle w:val="TOC4"/>
        <w:tabs>
          <w:tab w:val="right" w:leader="dot" w:pos="9016"/>
        </w:tabs>
        <w:spacing w:after="120" w:line="240" w:lineRule="auto"/>
        <w:rPr>
          <w:rFonts w:eastAsiaTheme="minorEastAsia"/>
          <w:noProof/>
          <w:lang w:eastAsia="en-GB"/>
        </w:rPr>
      </w:pPr>
      <w:hyperlink w:anchor="_Toc32574264" w:history="1">
        <w:r w:rsidR="007238CF" w:rsidRPr="00BD4A23">
          <w:rPr>
            <w:rStyle w:val="Hyperlink"/>
            <w:noProof/>
          </w:rPr>
          <w:t>p.17 The JobPath service and Figure 11 (map showing 90 Seetec and Turas Nua provider locations).</w:t>
        </w:r>
        <w:r w:rsidR="007238CF">
          <w:rPr>
            <w:noProof/>
            <w:webHidden/>
          </w:rPr>
          <w:tab/>
        </w:r>
        <w:r w:rsidR="007238CF">
          <w:rPr>
            <w:noProof/>
            <w:webHidden/>
          </w:rPr>
          <w:fldChar w:fldCharType="begin"/>
        </w:r>
        <w:r w:rsidR="007238CF">
          <w:rPr>
            <w:noProof/>
            <w:webHidden/>
          </w:rPr>
          <w:instrText xml:space="preserve"> PAGEREF _Toc32574264 \h </w:instrText>
        </w:r>
        <w:r w:rsidR="007238CF">
          <w:rPr>
            <w:noProof/>
            <w:webHidden/>
          </w:rPr>
        </w:r>
        <w:r w:rsidR="007238CF">
          <w:rPr>
            <w:noProof/>
            <w:webHidden/>
          </w:rPr>
          <w:fldChar w:fldCharType="separate"/>
        </w:r>
        <w:r w:rsidR="007238CF">
          <w:rPr>
            <w:noProof/>
            <w:webHidden/>
          </w:rPr>
          <w:t>2</w:t>
        </w:r>
        <w:r w:rsidR="007238CF">
          <w:rPr>
            <w:noProof/>
            <w:webHidden/>
          </w:rPr>
          <w:fldChar w:fldCharType="end"/>
        </w:r>
      </w:hyperlink>
    </w:p>
    <w:p w:rsidR="007238CF" w:rsidRDefault="00EB1D4A" w:rsidP="00F526E7">
      <w:pPr>
        <w:pStyle w:val="TOC5"/>
        <w:tabs>
          <w:tab w:val="right" w:leader="dot" w:pos="9016"/>
        </w:tabs>
        <w:spacing w:after="120" w:line="240" w:lineRule="auto"/>
        <w:rPr>
          <w:rFonts w:eastAsiaTheme="minorEastAsia"/>
          <w:noProof/>
          <w:lang w:eastAsia="en-GB"/>
        </w:rPr>
      </w:pPr>
      <w:hyperlink w:anchor="_Toc32574265" w:history="1">
        <w:r w:rsidR="007238CF" w:rsidRPr="00BD4A23">
          <w:rPr>
            <w:rStyle w:val="Hyperlink"/>
            <w:noProof/>
          </w:rPr>
          <w:t>p.19 Personal progression plan</w:t>
        </w:r>
        <w:r w:rsidR="007238CF">
          <w:rPr>
            <w:noProof/>
            <w:webHidden/>
          </w:rPr>
          <w:tab/>
        </w:r>
        <w:r w:rsidR="007238CF">
          <w:rPr>
            <w:noProof/>
            <w:webHidden/>
          </w:rPr>
          <w:fldChar w:fldCharType="begin"/>
        </w:r>
        <w:r w:rsidR="007238CF">
          <w:rPr>
            <w:noProof/>
            <w:webHidden/>
          </w:rPr>
          <w:instrText xml:space="preserve"> PAGEREF _Toc32574265 \h </w:instrText>
        </w:r>
        <w:r w:rsidR="007238CF">
          <w:rPr>
            <w:noProof/>
            <w:webHidden/>
          </w:rPr>
        </w:r>
        <w:r w:rsidR="007238CF">
          <w:rPr>
            <w:noProof/>
            <w:webHidden/>
          </w:rPr>
          <w:fldChar w:fldCharType="separate"/>
        </w:r>
        <w:r w:rsidR="007238CF">
          <w:rPr>
            <w:noProof/>
            <w:webHidden/>
          </w:rPr>
          <w:t>2</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66" w:history="1">
        <w:r w:rsidR="007238CF" w:rsidRPr="00BD4A23">
          <w:rPr>
            <w:rStyle w:val="Hyperlink"/>
            <w:noProof/>
          </w:rPr>
          <w:t>p.23 IV. Literature Review</w:t>
        </w:r>
        <w:r w:rsidR="007238CF">
          <w:rPr>
            <w:noProof/>
            <w:webHidden/>
          </w:rPr>
          <w:tab/>
        </w:r>
        <w:r w:rsidR="007238CF">
          <w:rPr>
            <w:noProof/>
            <w:webHidden/>
          </w:rPr>
          <w:fldChar w:fldCharType="begin"/>
        </w:r>
        <w:r w:rsidR="007238CF">
          <w:rPr>
            <w:noProof/>
            <w:webHidden/>
          </w:rPr>
          <w:instrText xml:space="preserve"> PAGEREF _Toc32574266 \h </w:instrText>
        </w:r>
        <w:r w:rsidR="007238CF">
          <w:rPr>
            <w:noProof/>
            <w:webHidden/>
          </w:rPr>
        </w:r>
        <w:r w:rsidR="007238CF">
          <w:rPr>
            <w:noProof/>
            <w:webHidden/>
          </w:rPr>
          <w:fldChar w:fldCharType="separate"/>
        </w:r>
        <w:r w:rsidR="007238CF">
          <w:rPr>
            <w:noProof/>
            <w:webHidden/>
          </w:rPr>
          <w:t>3</w:t>
        </w:r>
        <w:r w:rsidR="007238CF">
          <w:rPr>
            <w:noProof/>
            <w:webHidden/>
          </w:rPr>
          <w:fldChar w:fldCharType="end"/>
        </w:r>
      </w:hyperlink>
    </w:p>
    <w:p w:rsidR="007238CF" w:rsidRDefault="00EB1D4A" w:rsidP="00F526E7">
      <w:pPr>
        <w:pStyle w:val="TOC4"/>
        <w:tabs>
          <w:tab w:val="right" w:leader="dot" w:pos="9016"/>
        </w:tabs>
        <w:spacing w:after="120" w:line="240" w:lineRule="auto"/>
        <w:rPr>
          <w:rFonts w:eastAsiaTheme="minorEastAsia"/>
          <w:noProof/>
          <w:lang w:eastAsia="en-GB"/>
        </w:rPr>
      </w:pPr>
      <w:hyperlink w:anchor="_Toc32574267" w:history="1">
        <w:r w:rsidR="007238CF" w:rsidRPr="00BD4A23">
          <w:rPr>
            <w:rStyle w:val="Hyperlink"/>
            <w:noProof/>
          </w:rPr>
          <w:t>p24-25 Evaluating contracted public employment services</w:t>
        </w:r>
        <w:r w:rsidR="007238CF">
          <w:rPr>
            <w:noProof/>
            <w:webHidden/>
          </w:rPr>
          <w:tab/>
        </w:r>
        <w:r w:rsidR="007238CF">
          <w:rPr>
            <w:noProof/>
            <w:webHidden/>
          </w:rPr>
          <w:fldChar w:fldCharType="begin"/>
        </w:r>
        <w:r w:rsidR="007238CF">
          <w:rPr>
            <w:noProof/>
            <w:webHidden/>
          </w:rPr>
          <w:instrText xml:space="preserve"> PAGEREF _Toc32574267 \h </w:instrText>
        </w:r>
        <w:r w:rsidR="007238CF">
          <w:rPr>
            <w:noProof/>
            <w:webHidden/>
          </w:rPr>
        </w:r>
        <w:r w:rsidR="007238CF">
          <w:rPr>
            <w:noProof/>
            <w:webHidden/>
          </w:rPr>
          <w:fldChar w:fldCharType="separate"/>
        </w:r>
        <w:r w:rsidR="007238CF">
          <w:rPr>
            <w:noProof/>
            <w:webHidden/>
          </w:rPr>
          <w:t>4</w:t>
        </w:r>
        <w:r w:rsidR="007238CF">
          <w:rPr>
            <w:noProof/>
            <w:webHidden/>
          </w:rPr>
          <w:fldChar w:fldCharType="end"/>
        </w:r>
      </w:hyperlink>
    </w:p>
    <w:p w:rsidR="007238CF" w:rsidRDefault="00EB1D4A" w:rsidP="00F526E7">
      <w:pPr>
        <w:pStyle w:val="TOC4"/>
        <w:tabs>
          <w:tab w:val="right" w:leader="dot" w:pos="9016"/>
        </w:tabs>
        <w:spacing w:after="120" w:line="240" w:lineRule="auto"/>
        <w:rPr>
          <w:rFonts w:eastAsiaTheme="minorEastAsia"/>
          <w:noProof/>
          <w:lang w:eastAsia="en-GB"/>
        </w:rPr>
      </w:pPr>
      <w:hyperlink w:anchor="_Toc32574268" w:history="1">
        <w:r w:rsidR="007238CF" w:rsidRPr="00BD4A23">
          <w:rPr>
            <w:rStyle w:val="Hyperlink"/>
            <w:noProof/>
          </w:rPr>
          <w:t>p26-28 Evaluations in a dynamic treatment environment</w:t>
        </w:r>
        <w:r w:rsidR="007238CF">
          <w:rPr>
            <w:noProof/>
            <w:webHidden/>
          </w:rPr>
          <w:tab/>
        </w:r>
        <w:r w:rsidR="007238CF">
          <w:rPr>
            <w:noProof/>
            <w:webHidden/>
          </w:rPr>
          <w:fldChar w:fldCharType="begin"/>
        </w:r>
        <w:r w:rsidR="007238CF">
          <w:rPr>
            <w:noProof/>
            <w:webHidden/>
          </w:rPr>
          <w:instrText xml:space="preserve"> PAGEREF _Toc32574268 \h </w:instrText>
        </w:r>
        <w:r w:rsidR="007238CF">
          <w:rPr>
            <w:noProof/>
            <w:webHidden/>
          </w:rPr>
        </w:r>
        <w:r w:rsidR="007238CF">
          <w:rPr>
            <w:noProof/>
            <w:webHidden/>
          </w:rPr>
          <w:fldChar w:fldCharType="separate"/>
        </w:r>
        <w:r w:rsidR="007238CF">
          <w:rPr>
            <w:noProof/>
            <w:webHidden/>
          </w:rPr>
          <w:t>4</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69" w:history="1">
        <w:r w:rsidR="007238CF" w:rsidRPr="00BD4A23">
          <w:rPr>
            <w:rStyle w:val="Hyperlink"/>
            <w:noProof/>
          </w:rPr>
          <w:t>p29 V. Data and Description</w:t>
        </w:r>
        <w:r w:rsidR="007238CF">
          <w:rPr>
            <w:noProof/>
            <w:webHidden/>
          </w:rPr>
          <w:tab/>
        </w:r>
        <w:r w:rsidR="007238CF">
          <w:rPr>
            <w:noProof/>
            <w:webHidden/>
          </w:rPr>
          <w:fldChar w:fldCharType="begin"/>
        </w:r>
        <w:r w:rsidR="007238CF">
          <w:rPr>
            <w:noProof/>
            <w:webHidden/>
          </w:rPr>
          <w:instrText xml:space="preserve"> PAGEREF _Toc32574269 \h </w:instrText>
        </w:r>
        <w:r w:rsidR="007238CF">
          <w:rPr>
            <w:noProof/>
            <w:webHidden/>
          </w:rPr>
        </w:r>
        <w:r w:rsidR="007238CF">
          <w:rPr>
            <w:noProof/>
            <w:webHidden/>
          </w:rPr>
          <w:fldChar w:fldCharType="separate"/>
        </w:r>
        <w:r w:rsidR="007238CF">
          <w:rPr>
            <w:noProof/>
            <w:webHidden/>
          </w:rPr>
          <w:t>5</w:t>
        </w:r>
        <w:r w:rsidR="007238CF">
          <w:rPr>
            <w:noProof/>
            <w:webHidden/>
          </w:rPr>
          <w:fldChar w:fldCharType="end"/>
        </w:r>
      </w:hyperlink>
    </w:p>
    <w:p w:rsidR="007238CF" w:rsidRDefault="00EB1D4A" w:rsidP="00F526E7">
      <w:pPr>
        <w:pStyle w:val="TOC5"/>
        <w:tabs>
          <w:tab w:val="right" w:leader="dot" w:pos="9016"/>
        </w:tabs>
        <w:spacing w:after="120" w:line="240" w:lineRule="auto"/>
        <w:rPr>
          <w:rFonts w:eastAsiaTheme="minorEastAsia"/>
          <w:noProof/>
          <w:lang w:eastAsia="en-GB"/>
        </w:rPr>
      </w:pPr>
      <w:hyperlink w:anchor="_Toc32574270" w:history="1">
        <w:r w:rsidR="007238CF" w:rsidRPr="00BD4A23">
          <w:rPr>
            <w:rStyle w:val="Hyperlink"/>
            <w:noProof/>
          </w:rPr>
          <w:t>p.41 Persistent longer durations</w:t>
        </w:r>
        <w:r w:rsidR="007238CF">
          <w:rPr>
            <w:noProof/>
            <w:webHidden/>
          </w:rPr>
          <w:tab/>
        </w:r>
        <w:r w:rsidR="007238CF">
          <w:rPr>
            <w:noProof/>
            <w:webHidden/>
          </w:rPr>
          <w:fldChar w:fldCharType="begin"/>
        </w:r>
        <w:r w:rsidR="007238CF">
          <w:rPr>
            <w:noProof/>
            <w:webHidden/>
          </w:rPr>
          <w:instrText xml:space="preserve"> PAGEREF _Toc32574270 \h </w:instrText>
        </w:r>
        <w:r w:rsidR="007238CF">
          <w:rPr>
            <w:noProof/>
            <w:webHidden/>
          </w:rPr>
        </w:r>
        <w:r w:rsidR="007238CF">
          <w:rPr>
            <w:noProof/>
            <w:webHidden/>
          </w:rPr>
          <w:fldChar w:fldCharType="separate"/>
        </w:r>
        <w:r w:rsidR="007238CF">
          <w:rPr>
            <w:noProof/>
            <w:webHidden/>
          </w:rPr>
          <w:t>7</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71" w:history="1">
        <w:r w:rsidR="007238CF" w:rsidRPr="00BD4A23">
          <w:rPr>
            <w:rStyle w:val="Hyperlink"/>
            <w:noProof/>
          </w:rPr>
          <w:t>p44 VI Evaluation Approach</w:t>
        </w:r>
        <w:r w:rsidR="007238CF">
          <w:rPr>
            <w:noProof/>
            <w:webHidden/>
          </w:rPr>
          <w:tab/>
        </w:r>
        <w:r w:rsidR="007238CF">
          <w:rPr>
            <w:noProof/>
            <w:webHidden/>
          </w:rPr>
          <w:fldChar w:fldCharType="begin"/>
        </w:r>
        <w:r w:rsidR="007238CF">
          <w:rPr>
            <w:noProof/>
            <w:webHidden/>
          </w:rPr>
          <w:instrText xml:space="preserve"> PAGEREF _Toc32574271 \h </w:instrText>
        </w:r>
        <w:r w:rsidR="007238CF">
          <w:rPr>
            <w:noProof/>
            <w:webHidden/>
          </w:rPr>
        </w:r>
        <w:r w:rsidR="007238CF">
          <w:rPr>
            <w:noProof/>
            <w:webHidden/>
          </w:rPr>
          <w:fldChar w:fldCharType="separate"/>
        </w:r>
        <w:r w:rsidR="007238CF">
          <w:rPr>
            <w:noProof/>
            <w:webHidden/>
          </w:rPr>
          <w:t>7</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72" w:history="1">
        <w:r w:rsidR="007238CF" w:rsidRPr="00BD4A23">
          <w:rPr>
            <w:rStyle w:val="Hyperlink"/>
            <w:noProof/>
          </w:rPr>
          <w:t>p52 VII. Results: labour market outcomes</w:t>
        </w:r>
        <w:r w:rsidR="007238CF">
          <w:rPr>
            <w:noProof/>
            <w:webHidden/>
          </w:rPr>
          <w:tab/>
        </w:r>
        <w:r w:rsidR="007238CF">
          <w:rPr>
            <w:noProof/>
            <w:webHidden/>
          </w:rPr>
          <w:fldChar w:fldCharType="begin"/>
        </w:r>
        <w:r w:rsidR="007238CF">
          <w:rPr>
            <w:noProof/>
            <w:webHidden/>
          </w:rPr>
          <w:instrText xml:space="preserve"> PAGEREF _Toc32574272 \h </w:instrText>
        </w:r>
        <w:r w:rsidR="007238CF">
          <w:rPr>
            <w:noProof/>
            <w:webHidden/>
          </w:rPr>
        </w:r>
        <w:r w:rsidR="007238CF">
          <w:rPr>
            <w:noProof/>
            <w:webHidden/>
          </w:rPr>
          <w:fldChar w:fldCharType="separate"/>
        </w:r>
        <w:r w:rsidR="007238CF">
          <w:rPr>
            <w:noProof/>
            <w:webHidden/>
          </w:rPr>
          <w:t>7</w:t>
        </w:r>
        <w:r w:rsidR="007238CF">
          <w:rPr>
            <w:noProof/>
            <w:webHidden/>
          </w:rPr>
          <w:fldChar w:fldCharType="end"/>
        </w:r>
      </w:hyperlink>
    </w:p>
    <w:p w:rsidR="007238CF" w:rsidRDefault="00EB1D4A" w:rsidP="00F526E7">
      <w:pPr>
        <w:pStyle w:val="TOC3"/>
        <w:tabs>
          <w:tab w:val="right" w:leader="dot" w:pos="9016"/>
        </w:tabs>
        <w:spacing w:after="120" w:line="240" w:lineRule="auto"/>
        <w:rPr>
          <w:rFonts w:eastAsiaTheme="minorEastAsia"/>
          <w:noProof/>
          <w:lang w:eastAsia="en-GB"/>
        </w:rPr>
      </w:pPr>
      <w:hyperlink w:anchor="_Toc32574273" w:history="1">
        <w:r w:rsidR="007238CF" w:rsidRPr="00BD4A23">
          <w:rPr>
            <w:rStyle w:val="Hyperlink"/>
            <w:noProof/>
          </w:rPr>
          <w:t>p56 VIII. Discussion</w:t>
        </w:r>
        <w:r w:rsidR="007238CF">
          <w:rPr>
            <w:noProof/>
            <w:webHidden/>
          </w:rPr>
          <w:tab/>
        </w:r>
        <w:r w:rsidR="007238CF">
          <w:rPr>
            <w:noProof/>
            <w:webHidden/>
          </w:rPr>
          <w:fldChar w:fldCharType="begin"/>
        </w:r>
        <w:r w:rsidR="007238CF">
          <w:rPr>
            <w:noProof/>
            <w:webHidden/>
          </w:rPr>
          <w:instrText xml:space="preserve"> PAGEREF _Toc32574273 \h </w:instrText>
        </w:r>
        <w:r w:rsidR="007238CF">
          <w:rPr>
            <w:noProof/>
            <w:webHidden/>
          </w:rPr>
        </w:r>
        <w:r w:rsidR="007238CF">
          <w:rPr>
            <w:noProof/>
            <w:webHidden/>
          </w:rPr>
          <w:fldChar w:fldCharType="separate"/>
        </w:r>
        <w:r w:rsidR="007238CF">
          <w:rPr>
            <w:noProof/>
            <w:webHidden/>
          </w:rPr>
          <w:t>8</w:t>
        </w:r>
        <w:r w:rsidR="007238CF">
          <w:rPr>
            <w:noProof/>
            <w:webHidden/>
          </w:rPr>
          <w:fldChar w:fldCharType="end"/>
        </w:r>
      </w:hyperlink>
    </w:p>
    <w:p w:rsidR="00BE18D5" w:rsidRDefault="009453EB" w:rsidP="00F526E7">
      <w:pPr>
        <w:pStyle w:val="Heading3"/>
        <w:spacing w:before="0" w:after="120" w:line="240" w:lineRule="auto"/>
      </w:pPr>
      <w:r w:rsidRPr="001013C0">
        <w:fldChar w:fldCharType="end"/>
      </w:r>
      <w:bookmarkStart w:id="1" w:name="_Toc32574263"/>
      <w:r w:rsidR="00BE18D5">
        <w:t>General</w:t>
      </w:r>
      <w:bookmarkEnd w:id="1"/>
    </w:p>
    <w:p w:rsidR="000837B5" w:rsidRDefault="00257628" w:rsidP="00F526E7">
      <w:pPr>
        <w:spacing w:after="120" w:line="240" w:lineRule="auto"/>
      </w:pPr>
      <w:r w:rsidRPr="001013C0">
        <w:t xml:space="preserve">This evaluation report </w:t>
      </w:r>
      <w:r w:rsidR="00524BBE" w:rsidRPr="001013C0">
        <w:t xml:space="preserve">nicely summarises </w:t>
      </w:r>
      <w:r w:rsidR="00BE18D5">
        <w:t xml:space="preserve">some background to Ireland’s “Labour Activation” policies, and </w:t>
      </w:r>
      <w:r w:rsidRPr="001013C0">
        <w:t xml:space="preserve">how referrals to </w:t>
      </w:r>
      <w:proofErr w:type="spellStart"/>
      <w:r w:rsidRPr="001013C0">
        <w:t>JobPath</w:t>
      </w:r>
      <w:proofErr w:type="spellEnd"/>
      <w:r w:rsidR="00524BBE" w:rsidRPr="001013C0">
        <w:t xml:space="preserve"> are made by </w:t>
      </w:r>
      <w:r w:rsidR="00F526E7">
        <w:t xml:space="preserve">quasi-random assignment and </w:t>
      </w:r>
      <w:r w:rsidR="00524BBE" w:rsidRPr="001013C0">
        <w:t>data are analysed to</w:t>
      </w:r>
      <w:r w:rsidR="00BE18D5">
        <w:t xml:space="preserve"> estimate the impact of </w:t>
      </w:r>
      <w:proofErr w:type="spellStart"/>
      <w:r w:rsidR="00BE18D5">
        <w:t>JobPath</w:t>
      </w:r>
      <w:proofErr w:type="spellEnd"/>
      <w:r w:rsidR="00BE18D5">
        <w:t>.</w:t>
      </w:r>
    </w:p>
    <w:p w:rsidR="00257628" w:rsidRDefault="000837B5" w:rsidP="00F526E7">
      <w:pPr>
        <w:spacing w:after="120" w:line="240" w:lineRule="auto"/>
      </w:pPr>
      <w:r w:rsidRPr="001013C0">
        <w:t xml:space="preserve">It gives little </w:t>
      </w:r>
      <w:r w:rsidR="00257628" w:rsidRPr="001013C0">
        <w:t xml:space="preserve">information about </w:t>
      </w:r>
      <w:r w:rsidRPr="001013C0">
        <w:t xml:space="preserve">the </w:t>
      </w:r>
      <w:proofErr w:type="spellStart"/>
      <w:r w:rsidR="00257628" w:rsidRPr="001013C0">
        <w:t>Jobpath</w:t>
      </w:r>
      <w:proofErr w:type="spellEnd"/>
      <w:r w:rsidR="00257628" w:rsidRPr="001013C0">
        <w:t xml:space="preserve"> services </w:t>
      </w:r>
      <w:r w:rsidRPr="001013C0">
        <w:t>themselves</w:t>
      </w:r>
      <w:r w:rsidR="00524BBE" w:rsidRPr="001013C0">
        <w:t xml:space="preserve">: </w:t>
      </w:r>
      <w:proofErr w:type="spellStart"/>
      <w:r w:rsidR="00257628" w:rsidRPr="001013C0">
        <w:t>Jobpath</w:t>
      </w:r>
      <w:proofErr w:type="spellEnd"/>
      <w:r w:rsidR="00257628" w:rsidRPr="001013C0">
        <w:t xml:space="preserve"> </w:t>
      </w:r>
      <w:r w:rsidRPr="001013C0">
        <w:t>office</w:t>
      </w:r>
      <w:r w:rsidR="00257628" w:rsidRPr="001013C0">
        <w:t xml:space="preserve"> assessment int</w:t>
      </w:r>
      <w:r w:rsidRPr="001013C0">
        <w:t xml:space="preserve">erviews and </w:t>
      </w:r>
      <w:r w:rsidR="00257628" w:rsidRPr="001013C0">
        <w:t>follow-up interviews</w:t>
      </w:r>
      <w:r w:rsidRPr="001013C0">
        <w:t xml:space="preserve"> with clients</w:t>
      </w:r>
      <w:r w:rsidR="00524BBE" w:rsidRPr="001013C0">
        <w:t xml:space="preserve">; </w:t>
      </w:r>
      <w:r w:rsidRPr="001013C0">
        <w:t>the acquisition of local vacancies</w:t>
      </w:r>
      <w:r w:rsidR="00257628" w:rsidRPr="001013C0">
        <w:t xml:space="preserve"> and other pla</w:t>
      </w:r>
      <w:r w:rsidR="00524BBE" w:rsidRPr="001013C0">
        <w:t xml:space="preserve">cement resources; the staff profile; the </w:t>
      </w:r>
      <w:r w:rsidRPr="001013C0">
        <w:t>ability to sanction</w:t>
      </w:r>
      <w:r w:rsidR="00524BBE" w:rsidRPr="001013C0">
        <w:t xml:space="preserve"> for non-attendance or refusal of </w:t>
      </w:r>
      <w:proofErr w:type="spellStart"/>
      <w:r w:rsidR="00524BBE" w:rsidRPr="001013C0">
        <w:t>jobn</w:t>
      </w:r>
      <w:proofErr w:type="spellEnd"/>
      <w:r w:rsidR="00524BBE" w:rsidRPr="001013C0">
        <w:t xml:space="preserve"> offers; </w:t>
      </w:r>
      <w:proofErr w:type="spellStart"/>
      <w:r w:rsidRPr="001013C0">
        <w:t>Intreo</w:t>
      </w:r>
      <w:proofErr w:type="spellEnd"/>
      <w:r w:rsidRPr="001013C0">
        <w:t xml:space="preserve"> and </w:t>
      </w:r>
      <w:proofErr w:type="spellStart"/>
      <w:r w:rsidRPr="001013C0">
        <w:t>Jobpath</w:t>
      </w:r>
      <w:proofErr w:type="spellEnd"/>
      <w:r w:rsidRPr="001013C0">
        <w:t xml:space="preserve"> contractors’ contacts with each other (for sanctio</w:t>
      </w:r>
      <w:r w:rsidR="00524BBE" w:rsidRPr="001013C0">
        <w:t xml:space="preserve">n-related or other reasons) and </w:t>
      </w:r>
      <w:r w:rsidRPr="001013C0">
        <w:t>overlappin</w:t>
      </w:r>
      <w:r w:rsidR="00524BBE" w:rsidRPr="001013C0">
        <w:t xml:space="preserve">g contacts with </w:t>
      </w:r>
      <w:r w:rsidRPr="001013C0">
        <w:t>client</w:t>
      </w:r>
      <w:r w:rsidR="00524BBE" w:rsidRPr="001013C0">
        <w:t xml:space="preserve">s; </w:t>
      </w:r>
      <w:proofErr w:type="spellStart"/>
      <w:r w:rsidR="00524BBE" w:rsidRPr="001013C0">
        <w:t>Jobpath</w:t>
      </w:r>
      <w:proofErr w:type="spellEnd"/>
      <w:r w:rsidR="00524BBE" w:rsidRPr="001013C0">
        <w:t xml:space="preserve"> management structures;</w:t>
      </w:r>
      <w:r w:rsidRPr="001013C0">
        <w:t xml:space="preserve"> the two </w:t>
      </w:r>
      <w:proofErr w:type="spellStart"/>
      <w:r w:rsidR="00524BBE" w:rsidRPr="001013C0">
        <w:t>JobPath</w:t>
      </w:r>
      <w:proofErr w:type="spellEnd"/>
      <w:r w:rsidR="00524BBE" w:rsidRPr="001013C0">
        <w:t xml:space="preserve"> </w:t>
      </w:r>
      <w:r w:rsidRPr="001013C0">
        <w:t xml:space="preserve">contractors’ strategies </w:t>
      </w:r>
      <w:r w:rsidR="00524BBE" w:rsidRPr="001013C0">
        <w:t xml:space="preserve">and how they </w:t>
      </w:r>
      <w:r w:rsidRPr="001013C0">
        <w:t>have evolved, etc.</w:t>
      </w:r>
      <w:r w:rsidR="00E712DE" w:rsidRPr="001013C0">
        <w:t xml:space="preserve"> That could be a different </w:t>
      </w:r>
      <w:r w:rsidR="00F526E7">
        <w:t xml:space="preserve">and </w:t>
      </w:r>
      <w:r w:rsidRPr="001013C0">
        <w:t>interesting piece of resear</w:t>
      </w:r>
      <w:r w:rsidR="00E712DE" w:rsidRPr="001013C0">
        <w:t xml:space="preserve">ch </w:t>
      </w:r>
      <w:r w:rsidR="00524BBE" w:rsidRPr="001013C0">
        <w:t xml:space="preserve">with </w:t>
      </w:r>
      <w:r w:rsidR="00E712DE" w:rsidRPr="001013C0">
        <w:t xml:space="preserve">policy </w:t>
      </w:r>
      <w:r w:rsidR="00F526E7">
        <w:t xml:space="preserve">implications, </w:t>
      </w:r>
      <w:r w:rsidR="00E712DE" w:rsidRPr="001013C0">
        <w:t xml:space="preserve">e.g. if </w:t>
      </w:r>
      <w:proofErr w:type="spellStart"/>
      <w:r w:rsidR="00E712DE" w:rsidRPr="001013C0">
        <w:t>Jobpath</w:t>
      </w:r>
      <w:proofErr w:type="spellEnd"/>
      <w:r w:rsidR="00E712DE" w:rsidRPr="001013C0">
        <w:t xml:space="preserve"> local office performance seems to depend o</w:t>
      </w:r>
      <w:r w:rsidR="00F526E7">
        <w:t xml:space="preserve">n </w:t>
      </w:r>
      <w:proofErr w:type="spellStart"/>
      <w:r w:rsidR="00F526E7">
        <w:t>Intreo</w:t>
      </w:r>
      <w:proofErr w:type="spellEnd"/>
      <w:r w:rsidR="00F526E7">
        <w:t xml:space="preserve"> local office behaviour sanctioning nonattendance which has been an issue in Australia.</w:t>
      </w:r>
    </w:p>
    <w:p w:rsidR="00BE18D5" w:rsidRDefault="00BE18D5" w:rsidP="00F526E7">
      <w:pPr>
        <w:spacing w:after="120" w:line="240" w:lineRule="auto"/>
      </w:pPr>
      <w:r>
        <w:t xml:space="preserve">Given the discussion of the </w:t>
      </w:r>
      <w:r w:rsidRPr="001013C0">
        <w:t xml:space="preserve">various biases that arise </w:t>
      </w:r>
      <w:r>
        <w:t xml:space="preserve">in estimating impacts </w:t>
      </w:r>
      <w:r w:rsidRPr="001013C0">
        <w:t xml:space="preserve">despite random assignment at the time of referral, </w:t>
      </w:r>
      <w:r>
        <w:t xml:space="preserve">and the </w:t>
      </w:r>
      <w:r w:rsidRPr="001013C0">
        <w:t>authors</w:t>
      </w:r>
      <w:r>
        <w:t>’</w:t>
      </w:r>
      <w:r w:rsidRPr="001013C0">
        <w:t xml:space="preserve"> aware</w:t>
      </w:r>
      <w:r>
        <w:t>ness</w:t>
      </w:r>
      <w:r w:rsidRPr="001013C0">
        <w:t xml:space="preserve"> of these biases and </w:t>
      </w:r>
      <w:r>
        <w:t xml:space="preserve">their efforts </w:t>
      </w:r>
      <w:r w:rsidRPr="001013C0">
        <w:t xml:space="preserve">to minimise them, </w:t>
      </w:r>
      <w:r>
        <w:t xml:space="preserve">it is plausible that the remaining biases </w:t>
      </w:r>
      <w:r w:rsidRPr="001013C0">
        <w:t xml:space="preserve">do not </w:t>
      </w:r>
      <w:r>
        <w:t>greatly u</w:t>
      </w:r>
      <w:r w:rsidRPr="001013C0">
        <w:t xml:space="preserve">ndermine the operational </w:t>
      </w:r>
      <w:proofErr w:type="gramStart"/>
      <w:r w:rsidRPr="001013C0">
        <w:t>usefulness</w:t>
      </w:r>
      <w:proofErr w:type="gramEnd"/>
      <w:r w:rsidRPr="001013C0">
        <w:t xml:space="preserve"> of the impact estimates. Ireland has hit on a neat way of using random assignment as an operational tool for individual jobseeker referrals and </w:t>
      </w:r>
      <w:r w:rsidR="00F526E7">
        <w:t xml:space="preserve">at the same time </w:t>
      </w:r>
      <w:r w:rsidRPr="001013C0">
        <w:t xml:space="preserve">generating impact estimates </w:t>
      </w:r>
      <w:r w:rsidR="00F526E7">
        <w:t>differentiated by cluster, or for various other subgroups of the total.</w:t>
      </w:r>
    </w:p>
    <w:p w:rsidR="00BE18D5" w:rsidRDefault="00064629" w:rsidP="00F526E7">
      <w:pPr>
        <w:spacing w:after="120" w:line="240" w:lineRule="auto"/>
      </w:pPr>
      <w:r>
        <w:t xml:space="preserve">This framework can </w:t>
      </w:r>
      <w:r w:rsidR="00BE18D5">
        <w:t>easily be adapted to generate impact estimates</w:t>
      </w:r>
      <w:r w:rsidR="00BE18D5" w:rsidRPr="001013C0">
        <w:t xml:space="preserve"> also by </w:t>
      </w:r>
      <w:proofErr w:type="spellStart"/>
      <w:r w:rsidR="00BE18D5" w:rsidRPr="001013C0">
        <w:t>Jobpath</w:t>
      </w:r>
      <w:proofErr w:type="spellEnd"/>
      <w:r w:rsidR="00BE18D5" w:rsidRPr="001013C0">
        <w:t xml:space="preserve"> </w:t>
      </w:r>
      <w:r w:rsidR="00BE18D5">
        <w:t xml:space="preserve">local office. </w:t>
      </w:r>
      <w:proofErr w:type="spellStart"/>
      <w:r w:rsidR="00BE18D5">
        <w:t>R</w:t>
      </w:r>
      <w:r w:rsidR="00BE18D5" w:rsidRPr="001013C0">
        <w:t>econtracting</w:t>
      </w:r>
      <w:proofErr w:type="spellEnd"/>
      <w:r w:rsidR="00BE18D5" w:rsidRPr="001013C0">
        <w:t xml:space="preserve"> with providers based on their estimated impact is a far better management strategy than </w:t>
      </w:r>
      <w:r>
        <w:t xml:space="preserve">only </w:t>
      </w:r>
      <w:r w:rsidR="00BE18D5">
        <w:t xml:space="preserve">contracting for </w:t>
      </w:r>
      <w:r w:rsidR="00BE18D5" w:rsidRPr="001013C0">
        <w:t>“payment by results”</w:t>
      </w:r>
      <w:r w:rsidR="00BE18D5">
        <w:t>. In a larger country with several “prime provider”</w:t>
      </w:r>
      <w:r>
        <w:t xml:space="preserve"> organisations, it could be used to reallocate business in an underperforming local office area to a different prime provider (i.e. the p</w:t>
      </w:r>
      <w:r w:rsidR="007238CF">
        <w:t xml:space="preserve">rinciple applied in Australia, based on probably more accurate estimates of impact than Australia uses). If the contracted </w:t>
      </w:r>
      <w:r>
        <w:t xml:space="preserve">services supplement </w:t>
      </w:r>
      <w:r w:rsidR="007238CF">
        <w:t xml:space="preserve">(rather than entirely replace) </w:t>
      </w:r>
      <w:r>
        <w:t xml:space="preserve">public services, in a larger country it would also be possible to introduce the </w:t>
      </w:r>
      <w:r w:rsidR="007238CF">
        <w:t xml:space="preserve">contracted </w:t>
      </w:r>
      <w:r>
        <w:t xml:space="preserve">services progressively (e.g. in one wave </w:t>
      </w:r>
      <w:r w:rsidR="007238CF">
        <w:t xml:space="preserve">introducing private services </w:t>
      </w:r>
      <w:r>
        <w:t xml:space="preserve">in </w:t>
      </w:r>
      <w:r w:rsidR="007238CF">
        <w:t xml:space="preserve">half the regions of the country, </w:t>
      </w:r>
      <w:r>
        <w:t>and a second wave two years later</w:t>
      </w:r>
      <w:r w:rsidR="007238CF">
        <w:t xml:space="preserve">): giving </w:t>
      </w:r>
      <w:r>
        <w:t xml:space="preserve">additional insights into the impact of the </w:t>
      </w:r>
      <w:r w:rsidR="007238CF">
        <w:lastRenderedPageBreak/>
        <w:t xml:space="preserve">contracted </w:t>
      </w:r>
      <w:r>
        <w:t xml:space="preserve">services including </w:t>
      </w:r>
      <w:r w:rsidR="007238CF">
        <w:t xml:space="preserve">the </w:t>
      </w:r>
      <w:r>
        <w:t xml:space="preserve">threat effects and local </w:t>
      </w:r>
      <w:r w:rsidR="007238CF">
        <w:t xml:space="preserve">labour market </w:t>
      </w:r>
      <w:r>
        <w:t>displacement effects</w:t>
      </w:r>
      <w:r w:rsidR="007238CF">
        <w:t>, as well as the cos</w:t>
      </w:r>
      <w:r w:rsidR="00F526E7">
        <w:t>ts involved for public services</w:t>
      </w:r>
      <w:r w:rsidR="007238CF">
        <w:t xml:space="preserve"> additional to the payments to contractors.</w:t>
      </w:r>
    </w:p>
    <w:p w:rsidR="007238CF" w:rsidRPr="001013C0" w:rsidRDefault="00622312" w:rsidP="00F526E7">
      <w:pPr>
        <w:spacing w:after="120" w:line="240" w:lineRule="auto"/>
      </w:pPr>
      <w:r>
        <w:t xml:space="preserve">This DEASP working </w:t>
      </w:r>
      <w:r w:rsidR="007238CF">
        <w:t xml:space="preserve">paper has not been carefully reviewed </w:t>
      </w:r>
      <w:r>
        <w:t xml:space="preserve">and edited </w:t>
      </w:r>
      <w:r w:rsidR="007238CF">
        <w:t>for publication</w:t>
      </w:r>
      <w:r>
        <w:t>. Th</w:t>
      </w:r>
      <w:r w:rsidR="007238CF">
        <w:t>e comments here pass over some typo</w:t>
      </w:r>
      <w:r>
        <w:t>s and similar. The comments here do note certain possible errors in the table or figure titles (i.e. where the title and/or a footnote may be giving false or inconsistent information about the definition/coverage of the data presented).</w:t>
      </w:r>
    </w:p>
    <w:p w:rsidR="000837B5" w:rsidRPr="001013C0" w:rsidRDefault="008079C7" w:rsidP="00F526E7">
      <w:pPr>
        <w:pStyle w:val="Heading4"/>
        <w:spacing w:before="0" w:after="120" w:line="240" w:lineRule="auto"/>
        <w:rPr>
          <w:color w:val="auto"/>
        </w:rPr>
      </w:pPr>
      <w:bookmarkStart w:id="2" w:name="_Toc32574264"/>
      <w:proofErr w:type="gramStart"/>
      <w:r w:rsidRPr="001013C0">
        <w:rPr>
          <w:color w:val="auto"/>
        </w:rPr>
        <w:t>p.17</w:t>
      </w:r>
      <w:proofErr w:type="gramEnd"/>
      <w:r w:rsidRPr="001013C0">
        <w:rPr>
          <w:color w:val="auto"/>
        </w:rPr>
        <w:t xml:space="preserve"> </w:t>
      </w:r>
      <w:r w:rsidR="000837B5" w:rsidRPr="001013C0">
        <w:rPr>
          <w:color w:val="auto"/>
        </w:rPr>
        <w:t xml:space="preserve">The </w:t>
      </w:r>
      <w:proofErr w:type="spellStart"/>
      <w:r w:rsidR="000837B5" w:rsidRPr="001013C0">
        <w:rPr>
          <w:color w:val="auto"/>
        </w:rPr>
        <w:t>JobPath</w:t>
      </w:r>
      <w:proofErr w:type="spellEnd"/>
      <w:r w:rsidR="000837B5" w:rsidRPr="001013C0">
        <w:rPr>
          <w:color w:val="auto"/>
        </w:rPr>
        <w:t xml:space="preserve"> service and Figure 11 (map showing 90 </w:t>
      </w:r>
      <w:proofErr w:type="spellStart"/>
      <w:r w:rsidR="000837B5" w:rsidRPr="001013C0">
        <w:rPr>
          <w:color w:val="auto"/>
        </w:rPr>
        <w:t>Seetec</w:t>
      </w:r>
      <w:proofErr w:type="spellEnd"/>
      <w:r w:rsidR="000837B5" w:rsidRPr="001013C0">
        <w:rPr>
          <w:color w:val="auto"/>
        </w:rPr>
        <w:t xml:space="preserve"> and </w:t>
      </w:r>
      <w:proofErr w:type="spellStart"/>
      <w:r w:rsidR="000837B5" w:rsidRPr="001013C0">
        <w:rPr>
          <w:color w:val="auto"/>
        </w:rPr>
        <w:t>Turas</w:t>
      </w:r>
      <w:proofErr w:type="spellEnd"/>
      <w:r w:rsidR="000837B5" w:rsidRPr="001013C0">
        <w:rPr>
          <w:color w:val="auto"/>
        </w:rPr>
        <w:t xml:space="preserve"> </w:t>
      </w:r>
      <w:proofErr w:type="spellStart"/>
      <w:r w:rsidR="000837B5" w:rsidRPr="001013C0">
        <w:rPr>
          <w:color w:val="auto"/>
        </w:rPr>
        <w:t>Nua</w:t>
      </w:r>
      <w:proofErr w:type="spellEnd"/>
      <w:r w:rsidR="000837B5" w:rsidRPr="001013C0">
        <w:rPr>
          <w:color w:val="auto"/>
        </w:rPr>
        <w:t xml:space="preserve"> provider locations).</w:t>
      </w:r>
      <w:bookmarkEnd w:id="2"/>
      <w:r w:rsidR="000837B5" w:rsidRPr="001013C0">
        <w:rPr>
          <w:color w:val="auto"/>
        </w:rPr>
        <w:t xml:space="preserve"> </w:t>
      </w:r>
    </w:p>
    <w:p w:rsidR="000837B5" w:rsidRPr="001013C0" w:rsidRDefault="000837B5" w:rsidP="00F526E7">
      <w:pPr>
        <w:spacing w:after="120" w:line="240" w:lineRule="auto"/>
      </w:pPr>
      <w:r w:rsidRPr="001013C0">
        <w:t xml:space="preserve">The </w:t>
      </w:r>
      <w:r w:rsidR="00B872A3" w:rsidRPr="001013C0">
        <w:t xml:space="preserve">current paper reports </w:t>
      </w:r>
      <w:r w:rsidRPr="001013C0">
        <w:t xml:space="preserve">impact </w:t>
      </w:r>
      <w:r w:rsidR="00B872A3" w:rsidRPr="001013C0">
        <w:t xml:space="preserve">estimates by cluster, but the same methodology can, subject to sample sizes, generate impact estimates by provider and provider detailed location. The local office structure might imply aggregation of part-time and Outreach offices with their parent offices’ data (e.g. if that reflects management structure or if clients can opt for one or the other type of office). The </w:t>
      </w:r>
      <w:r w:rsidR="006F33F7" w:rsidRPr="001013C0">
        <w:t>JLD already allows estimation of</w:t>
      </w:r>
      <w:r w:rsidR="00B872A3" w:rsidRPr="001013C0">
        <w:t xml:space="preserve"> local offices’ impact</w:t>
      </w:r>
      <w:r w:rsidR="006F33F7" w:rsidRPr="001013C0">
        <w:t xml:space="preserve"> controlling for </w:t>
      </w:r>
      <w:r w:rsidR="00B872A3" w:rsidRPr="001013C0">
        <w:t>the cluster profile of the caseload</w:t>
      </w:r>
      <w:r w:rsidR="006F33F7" w:rsidRPr="001013C0">
        <w:t xml:space="preserve"> (or the underlying raw client data). I</w:t>
      </w:r>
      <w:r w:rsidR="00B872A3" w:rsidRPr="001013C0">
        <w:t xml:space="preserve">t </w:t>
      </w:r>
      <w:r w:rsidR="006F33F7" w:rsidRPr="001013C0">
        <w:t xml:space="preserve">could be feasible to add descriptors of local offices’ </w:t>
      </w:r>
      <w:r w:rsidR="00B872A3" w:rsidRPr="001013C0">
        <w:t>catchment a</w:t>
      </w:r>
      <w:r w:rsidR="006F33F7" w:rsidRPr="001013C0">
        <w:t xml:space="preserve">reas (e.g. rural/urban, local age profile &amp; industry structure, average commuting times of local people in salaried employment), i.e. if the first estimate of office impacts shows a significant relationship with a catchment area variables, allowance for that could be made. The office-level impact estimates could be fed back to </w:t>
      </w:r>
      <w:proofErr w:type="spellStart"/>
      <w:r w:rsidR="006F33F7" w:rsidRPr="001013C0">
        <w:t>Seetec</w:t>
      </w:r>
      <w:proofErr w:type="spellEnd"/>
      <w:r w:rsidR="006F33F7" w:rsidRPr="001013C0">
        <w:t xml:space="preserve"> and </w:t>
      </w:r>
      <w:proofErr w:type="spellStart"/>
      <w:r w:rsidR="006F33F7" w:rsidRPr="001013C0">
        <w:t>Turas</w:t>
      </w:r>
      <w:proofErr w:type="spellEnd"/>
      <w:r w:rsidR="006F33F7" w:rsidRPr="001013C0">
        <w:t xml:space="preserve"> </w:t>
      </w:r>
      <w:proofErr w:type="spellStart"/>
      <w:r w:rsidR="006F33F7" w:rsidRPr="001013C0">
        <w:t>Nua</w:t>
      </w:r>
      <w:proofErr w:type="spellEnd"/>
      <w:r w:rsidR="006F33F7" w:rsidRPr="001013C0">
        <w:t xml:space="preserve"> management and any major difference in the aggregate performance of </w:t>
      </w:r>
      <w:proofErr w:type="spellStart"/>
      <w:r w:rsidR="006F33F7" w:rsidRPr="001013C0">
        <w:t>Seetec</w:t>
      </w:r>
      <w:proofErr w:type="spellEnd"/>
      <w:r w:rsidR="006F33F7" w:rsidRPr="001013C0">
        <w:t xml:space="preserve"> vs. </w:t>
      </w:r>
      <w:proofErr w:type="spellStart"/>
      <w:r w:rsidR="006F33F7" w:rsidRPr="001013C0">
        <w:t>Turas</w:t>
      </w:r>
      <w:proofErr w:type="spellEnd"/>
      <w:r w:rsidR="006F33F7" w:rsidRPr="001013C0">
        <w:t xml:space="preserve"> </w:t>
      </w:r>
      <w:proofErr w:type="spellStart"/>
      <w:r w:rsidR="006F33F7" w:rsidRPr="001013C0">
        <w:t>Nua</w:t>
      </w:r>
      <w:proofErr w:type="spellEnd"/>
      <w:r w:rsidR="006F33F7" w:rsidRPr="001013C0">
        <w:t xml:space="preserve"> could be </w:t>
      </w:r>
      <w:r w:rsidR="005658AA" w:rsidRPr="001013C0">
        <w:t>observed and used as input to contract renewal decisions (along the lines of Australia’s Job Net</w:t>
      </w:r>
      <w:r w:rsidR="00E712DE" w:rsidRPr="001013C0">
        <w:t xml:space="preserve">work and later iterations of it)(although in Australia, </w:t>
      </w:r>
      <w:r w:rsidR="005658AA" w:rsidRPr="001013C0">
        <w:t>central government reassign</w:t>
      </w:r>
      <w:r w:rsidR="00E712DE" w:rsidRPr="001013C0">
        <w:t>s</w:t>
      </w:r>
      <w:r w:rsidR="005658AA" w:rsidRPr="001013C0">
        <w:t xml:space="preserve"> </w:t>
      </w:r>
      <w:r w:rsidR="00E712DE" w:rsidRPr="001013C0">
        <w:t xml:space="preserve">detailed locations in which </w:t>
      </w:r>
      <w:r w:rsidR="005658AA" w:rsidRPr="001013C0">
        <w:t xml:space="preserve">the current local office is underperforming </w:t>
      </w:r>
      <w:r w:rsidR="00E712DE" w:rsidRPr="001013C0">
        <w:t xml:space="preserve">to </w:t>
      </w:r>
      <w:r w:rsidR="005658AA" w:rsidRPr="001013C0">
        <w:t>one of the other organisa</w:t>
      </w:r>
      <w:r w:rsidR="00E712DE" w:rsidRPr="001013C0">
        <w:t xml:space="preserve">tions - </w:t>
      </w:r>
      <w:r w:rsidR="005658AA" w:rsidRPr="001013C0">
        <w:t>in Ireland that wouldn’t be possible consistent with the north-south split of offices).</w:t>
      </w:r>
    </w:p>
    <w:p w:rsidR="008079C7" w:rsidRPr="001013C0" w:rsidRDefault="008079C7" w:rsidP="00F526E7">
      <w:pPr>
        <w:pStyle w:val="Heading5"/>
        <w:spacing w:before="0" w:after="120" w:line="240" w:lineRule="auto"/>
        <w:rPr>
          <w:color w:val="auto"/>
        </w:rPr>
      </w:pPr>
      <w:bookmarkStart w:id="3" w:name="_Toc32574265"/>
      <w:proofErr w:type="gramStart"/>
      <w:r w:rsidRPr="001013C0">
        <w:rPr>
          <w:color w:val="auto"/>
        </w:rPr>
        <w:t>p.19</w:t>
      </w:r>
      <w:proofErr w:type="gramEnd"/>
      <w:r w:rsidRPr="001013C0">
        <w:rPr>
          <w:color w:val="auto"/>
        </w:rPr>
        <w:t xml:space="preserve"> Personal progression plan</w:t>
      </w:r>
      <w:bookmarkEnd w:id="3"/>
    </w:p>
    <w:p w:rsidR="008079C7" w:rsidRPr="001013C0" w:rsidRDefault="008079C7" w:rsidP="00F526E7">
      <w:pPr>
        <w:spacing w:after="120" w:line="240" w:lineRule="auto"/>
      </w:pPr>
      <w:r w:rsidRPr="001013C0">
        <w:t>This includes</w:t>
      </w:r>
    </w:p>
    <w:p w:rsidR="008079C7" w:rsidRPr="001013C0" w:rsidRDefault="008079C7" w:rsidP="00F526E7">
      <w:pPr>
        <w:pStyle w:val="ListParagraph"/>
        <w:numPr>
          <w:ilvl w:val="0"/>
          <w:numId w:val="1"/>
        </w:numPr>
        <w:spacing w:after="120" w:line="240" w:lineRule="auto"/>
      </w:pPr>
      <w:r w:rsidRPr="001013C0">
        <w:t xml:space="preserve">An agreed set of skills training, education, and development goals and actions, </w:t>
      </w:r>
    </w:p>
    <w:p w:rsidR="008079C7" w:rsidRPr="001013C0" w:rsidRDefault="008079C7" w:rsidP="00F526E7">
      <w:pPr>
        <w:pStyle w:val="ListParagraph"/>
        <w:numPr>
          <w:ilvl w:val="0"/>
          <w:numId w:val="1"/>
        </w:numPr>
        <w:spacing w:after="120" w:line="240" w:lineRule="auto"/>
      </w:pPr>
      <w:r w:rsidRPr="001013C0">
        <w:t>An agreed set of potential employment related experience interventions,</w:t>
      </w:r>
    </w:p>
    <w:p w:rsidR="008079C7" w:rsidRPr="001013C0" w:rsidRDefault="008079C7" w:rsidP="00F526E7">
      <w:pPr>
        <w:spacing w:after="120" w:line="240" w:lineRule="auto"/>
      </w:pPr>
      <w:r w:rsidRPr="001013C0">
        <w:t>One might guess that potential referrals are to publicly-funded (SOLAS) skills training and education, “employment-related experience interventions” might (or might not) be referrals to a local Community Employment scheme, etc.</w:t>
      </w:r>
      <w:r w:rsidR="00F526E7">
        <w:t xml:space="preserve">  T</w:t>
      </w:r>
      <w:r w:rsidR="00FD4474" w:rsidRPr="001013C0">
        <w:t xml:space="preserve">his part of the Personal Progression Plans could </w:t>
      </w:r>
      <w:r w:rsidR="00F526E7">
        <w:t xml:space="preserve">be constrained by depending </w:t>
      </w:r>
      <w:r w:rsidR="00FD4474" w:rsidRPr="001013C0">
        <w:t>on 3</w:t>
      </w:r>
      <w:r w:rsidR="00FD4474" w:rsidRPr="001013C0">
        <w:rPr>
          <w:vertAlign w:val="superscript"/>
        </w:rPr>
        <w:t>rd</w:t>
      </w:r>
      <w:r w:rsidR="00FD4474" w:rsidRPr="001013C0">
        <w:t xml:space="preserve"> party funding and organisation of </w:t>
      </w:r>
      <w:r w:rsidR="00F526E7">
        <w:t xml:space="preserve">the </w:t>
      </w:r>
      <w:r w:rsidR="00FD4474" w:rsidRPr="001013C0">
        <w:t xml:space="preserve">training, employment-related experience, etc. </w:t>
      </w:r>
    </w:p>
    <w:p w:rsidR="00FD4474" w:rsidRPr="001013C0" w:rsidRDefault="00FD4474" w:rsidP="00F526E7">
      <w:pPr>
        <w:spacing w:after="120" w:line="240" w:lineRule="auto"/>
      </w:pPr>
      <w:proofErr w:type="gramStart"/>
      <w:r w:rsidRPr="001013C0">
        <w:t>p.19</w:t>
      </w:r>
      <w:proofErr w:type="gramEnd"/>
      <w:r w:rsidRPr="001013C0">
        <w:t xml:space="preserve"> Tab</w:t>
      </w:r>
      <w:r w:rsidR="00842D55" w:rsidRPr="001013C0">
        <w:t xml:space="preserve">le 7. The </w:t>
      </w:r>
      <w:r w:rsidRPr="001013C0">
        <w:t>LR 2-3 years total</w:t>
      </w:r>
      <w:r w:rsidR="00842D55" w:rsidRPr="001013C0">
        <w:t xml:space="preserve"> seems low compared with the LR &gt; 3 years total: if these were stocks of unemployed by duration the data would imply only 17</w:t>
      </w:r>
      <w:r w:rsidRPr="001013C0">
        <w:t xml:space="preserve">% of the stock </w:t>
      </w:r>
      <w:r w:rsidR="00842D55" w:rsidRPr="001013C0">
        <w:t>with duration &gt; 2 years leaves</w:t>
      </w:r>
      <w:r w:rsidRPr="001013C0">
        <w:t xml:space="preserve"> </w:t>
      </w:r>
      <w:r w:rsidR="00842D55" w:rsidRPr="001013C0">
        <w:t xml:space="preserve">the LR each year </w:t>
      </w:r>
      <w:r w:rsidRPr="001013C0">
        <w:t>(</w:t>
      </w:r>
      <w:r w:rsidR="00842D55" w:rsidRPr="001013C0">
        <w:t xml:space="preserve">LR 3-4 years = 25625*0.87; </w:t>
      </w:r>
      <w:r w:rsidRPr="001013C0">
        <w:t xml:space="preserve">LR </w:t>
      </w:r>
      <w:r w:rsidR="00842D55" w:rsidRPr="001013C0">
        <w:t xml:space="preserve">4-5 years = 25625*0.87^2; etc. adds up to about 125,000 LR &gt; 3 years). </w:t>
      </w:r>
      <w:r w:rsidR="00F526E7">
        <w:t xml:space="preserve">Perhaps by 2018 people on the LR 2-3 years have quite often </w:t>
      </w:r>
      <w:r w:rsidR="005B70E6" w:rsidRPr="001013C0">
        <w:t xml:space="preserve">recently finished a 12 month </w:t>
      </w:r>
      <w:proofErr w:type="spellStart"/>
      <w:r w:rsidR="005B70E6" w:rsidRPr="001013C0">
        <w:t>JobPath</w:t>
      </w:r>
      <w:proofErr w:type="spellEnd"/>
      <w:r w:rsidR="005B70E6" w:rsidRPr="001013C0">
        <w:t xml:space="preserve"> phase and therefore </w:t>
      </w:r>
      <w:r w:rsidR="00F526E7">
        <w:t xml:space="preserve">are less likely to </w:t>
      </w:r>
      <w:proofErr w:type="gramStart"/>
      <w:r w:rsidR="00F526E7">
        <w:t>referred</w:t>
      </w:r>
      <w:proofErr w:type="gramEnd"/>
      <w:r w:rsidR="00F526E7">
        <w:t>.</w:t>
      </w:r>
    </w:p>
    <w:p w:rsidR="00267805" w:rsidRPr="001013C0" w:rsidRDefault="00267805" w:rsidP="00F526E7">
      <w:pPr>
        <w:spacing w:after="120" w:line="240" w:lineRule="auto"/>
      </w:pPr>
      <w:r w:rsidRPr="001013C0">
        <w:t>P20/Figure 12 2016 Time Lag betw</w:t>
      </w:r>
      <w:r w:rsidR="00F526E7">
        <w:t xml:space="preserve">een Referral and Start Date. After a first peak around day 9, the </w:t>
      </w:r>
      <w:r w:rsidRPr="001013C0">
        <w:t>echo</w:t>
      </w:r>
      <w:r w:rsidR="00F526E7">
        <w:t>es</w:t>
      </w:r>
      <w:r w:rsidRPr="001013C0">
        <w:t xml:space="preserve"> around day 16 and 25 may reflect attendance at a 2</w:t>
      </w:r>
      <w:r w:rsidRPr="001013C0">
        <w:rPr>
          <w:vertAlign w:val="superscript"/>
        </w:rPr>
        <w:t>nd</w:t>
      </w:r>
      <w:r w:rsidRPr="001013C0">
        <w:t xml:space="preserve"> or 3</w:t>
      </w:r>
      <w:r w:rsidRPr="001013C0">
        <w:rPr>
          <w:vertAlign w:val="superscript"/>
        </w:rPr>
        <w:t>rd</w:t>
      </w:r>
      <w:r w:rsidR="00F526E7">
        <w:t xml:space="preserve"> scheduled interview, </w:t>
      </w:r>
      <w:r w:rsidRPr="001013C0">
        <w:t xml:space="preserve">after missing the first or second one. It would be helpful to have some description of the </w:t>
      </w:r>
      <w:r w:rsidR="00F526E7">
        <w:t xml:space="preserve">procedures and </w:t>
      </w:r>
      <w:r w:rsidRPr="001013C0">
        <w:t>warnings and sanctions for persistent nonattendance (</w:t>
      </w:r>
      <w:proofErr w:type="spellStart"/>
      <w:r w:rsidRPr="001013C0">
        <w:t>JobPath</w:t>
      </w:r>
      <w:proofErr w:type="spellEnd"/>
      <w:r w:rsidRPr="001013C0">
        <w:t xml:space="preserve"> providers would need to notify </w:t>
      </w:r>
      <w:proofErr w:type="spellStart"/>
      <w:r w:rsidRPr="001013C0">
        <w:t>Intreo</w:t>
      </w:r>
      <w:proofErr w:type="spellEnd"/>
      <w:r w:rsidRPr="001013C0">
        <w:t xml:space="preserve"> a</w:t>
      </w:r>
      <w:r w:rsidR="00F526E7">
        <w:t xml:space="preserve">t some point; </w:t>
      </w:r>
      <w:r w:rsidR="00CE5D1A" w:rsidRPr="001013C0">
        <w:t xml:space="preserve">it might be </w:t>
      </w:r>
      <w:proofErr w:type="spellStart"/>
      <w:r w:rsidR="00CE5D1A" w:rsidRPr="001013C0">
        <w:t>Intreo</w:t>
      </w:r>
      <w:proofErr w:type="spellEnd"/>
      <w:r w:rsidR="00CE5D1A" w:rsidRPr="001013C0">
        <w:t xml:space="preserve"> rather than </w:t>
      </w:r>
      <w:proofErr w:type="spellStart"/>
      <w:r w:rsidR="00CE5D1A" w:rsidRPr="001013C0">
        <w:t>JobPath</w:t>
      </w:r>
      <w:proofErr w:type="spellEnd"/>
      <w:r w:rsidR="00CE5D1A" w:rsidRPr="001013C0">
        <w:t xml:space="preserve"> that issues </w:t>
      </w:r>
      <w:proofErr w:type="spellStart"/>
      <w:r w:rsidR="00F526E7">
        <w:t>a</w:t>
      </w:r>
      <w:proofErr w:type="spellEnd"/>
      <w:r w:rsidR="00F526E7">
        <w:t xml:space="preserve"> </w:t>
      </w:r>
      <w:r w:rsidR="00CE5D1A" w:rsidRPr="001013C0">
        <w:t>warning about loss of welfare payments, etc.).</w:t>
      </w:r>
    </w:p>
    <w:p w:rsidR="00631C5B" w:rsidRPr="001013C0" w:rsidRDefault="005B70E6" w:rsidP="00F526E7">
      <w:pPr>
        <w:spacing w:after="120" w:line="240" w:lineRule="auto"/>
      </w:pPr>
      <w:proofErr w:type="gramStart"/>
      <w:r w:rsidRPr="001013C0">
        <w:t>p.20</w:t>
      </w:r>
      <w:r w:rsidR="00267805" w:rsidRPr="001013C0">
        <w:t>ff</w:t>
      </w:r>
      <w:r w:rsidRPr="001013C0">
        <w:t>/Figures</w:t>
      </w:r>
      <w:proofErr w:type="gramEnd"/>
      <w:r w:rsidRPr="001013C0">
        <w:t xml:space="preserve"> 13, 14 </w:t>
      </w:r>
      <w:r w:rsidR="00631C5B" w:rsidRPr="001013C0">
        <w:t xml:space="preserve">The reader is not informed at what </w:t>
      </w:r>
      <w:r w:rsidRPr="001013C0">
        <w:t>point in time</w:t>
      </w:r>
      <w:r w:rsidR="00631C5B" w:rsidRPr="001013C0">
        <w:t xml:space="preserve"> </w:t>
      </w:r>
      <w:r w:rsidR="0048398D" w:rsidRPr="001013C0">
        <w:t xml:space="preserve">the outcome </w:t>
      </w:r>
      <w:r w:rsidR="00631C5B" w:rsidRPr="001013C0">
        <w:t>status (</w:t>
      </w:r>
      <w:r w:rsidRPr="001013C0">
        <w:t>i.e. “Cancelled after starting”, “Completed” or “Started (but not yet completed)”</w:t>
      </w:r>
      <w:r w:rsidR="00631C5B" w:rsidRPr="001013C0">
        <w:t xml:space="preserve">) </w:t>
      </w:r>
      <w:r w:rsidRPr="001013C0">
        <w:t xml:space="preserve">is </w:t>
      </w:r>
      <w:r w:rsidR="00631C5B" w:rsidRPr="001013C0">
        <w:t xml:space="preserve">recorded. Referring to the central para of p.20: </w:t>
      </w:r>
    </w:p>
    <w:p w:rsidR="00631C5B" w:rsidRPr="001013C0" w:rsidRDefault="0048398D" w:rsidP="00F526E7">
      <w:pPr>
        <w:pStyle w:val="ListParagraph"/>
        <w:numPr>
          <w:ilvl w:val="0"/>
          <w:numId w:val="4"/>
        </w:numPr>
        <w:spacing w:after="120" w:line="240" w:lineRule="auto"/>
      </w:pPr>
      <w:r w:rsidRPr="001013C0">
        <w:lastRenderedPageBreak/>
        <w:t xml:space="preserve">Outcomes </w:t>
      </w:r>
      <w:r w:rsidR="00631C5B" w:rsidRPr="001013C0">
        <w:t xml:space="preserve">must be recorded </w:t>
      </w:r>
      <w:r w:rsidR="002A69E4" w:rsidRPr="001013C0">
        <w:t xml:space="preserve">at least 12 months after the start date (2016 Q1) (if </w:t>
      </w:r>
      <w:r w:rsidR="00F526E7">
        <w:t xml:space="preserve">it </w:t>
      </w:r>
      <w:r w:rsidR="00631C5B" w:rsidRPr="001013C0">
        <w:t xml:space="preserve">were sooner, </w:t>
      </w:r>
      <w:r w:rsidR="002A69E4" w:rsidRPr="001013C0">
        <w:t xml:space="preserve">the number with status “Completed” </w:t>
      </w:r>
      <w:r w:rsidR="00631C5B" w:rsidRPr="001013C0">
        <w:t>after 12 months on the LR would be zero).</w:t>
      </w:r>
    </w:p>
    <w:p w:rsidR="00631C5B" w:rsidRPr="001013C0" w:rsidRDefault="0048398D" w:rsidP="00F526E7">
      <w:pPr>
        <w:pStyle w:val="ListParagraph"/>
        <w:numPr>
          <w:ilvl w:val="0"/>
          <w:numId w:val="4"/>
        </w:numPr>
        <w:spacing w:after="120" w:line="240" w:lineRule="auto"/>
      </w:pPr>
      <w:r w:rsidRPr="001013C0">
        <w:t xml:space="preserve">Outcomes </w:t>
      </w:r>
      <w:r w:rsidR="00964B34" w:rsidRPr="001013C0">
        <w:t xml:space="preserve">must be </w:t>
      </w:r>
      <w:r w:rsidR="00631C5B" w:rsidRPr="001013C0">
        <w:t xml:space="preserve">recorded </w:t>
      </w:r>
      <w:r w:rsidRPr="001013C0">
        <w:t xml:space="preserve">even somewhat </w:t>
      </w:r>
      <w:r w:rsidR="00631C5B" w:rsidRPr="001013C0">
        <w:t>more than 12 months</w:t>
      </w:r>
      <w:r w:rsidRPr="001013C0">
        <w:t xml:space="preserve"> after the start date. I</w:t>
      </w:r>
      <w:r w:rsidR="00F526E7">
        <w:t>f it</w:t>
      </w:r>
      <w:r w:rsidRPr="001013C0">
        <w:t xml:space="preserve"> is </w:t>
      </w:r>
      <w:r w:rsidR="00631C5B" w:rsidRPr="001013C0">
        <w:t xml:space="preserve">13 months after the start date, the </w:t>
      </w:r>
      <w:r w:rsidR="00964B34" w:rsidRPr="001013C0">
        <w:t>second group with status “Completed”</w:t>
      </w:r>
      <w:r w:rsidR="00631C5B" w:rsidRPr="001013C0">
        <w:t xml:space="preserve"> i.e. </w:t>
      </w:r>
      <w:r w:rsidR="00964B34" w:rsidRPr="001013C0">
        <w:t xml:space="preserve">those “who secure employment after working with the provider” and “have completed phase 2 of </w:t>
      </w:r>
      <w:proofErr w:type="spellStart"/>
      <w:r w:rsidR="00964B34" w:rsidRPr="001013C0">
        <w:t>JobPath</w:t>
      </w:r>
      <w:proofErr w:type="spellEnd"/>
      <w:r w:rsidR="00964B34" w:rsidRPr="001013C0">
        <w:t xml:space="preserve">” </w:t>
      </w:r>
      <w:r w:rsidRPr="001013C0">
        <w:t>will include</w:t>
      </w:r>
      <w:r w:rsidR="00631C5B" w:rsidRPr="001013C0">
        <w:t xml:space="preserve"> only people who secured employment in </w:t>
      </w:r>
      <w:r w:rsidR="00F526E7">
        <w:t xml:space="preserve">their first month on </w:t>
      </w:r>
      <w:proofErr w:type="spellStart"/>
      <w:r w:rsidR="00F526E7">
        <w:t>JobPath</w:t>
      </w:r>
      <w:proofErr w:type="spellEnd"/>
      <w:r w:rsidR="00F526E7">
        <w:t>.</w:t>
      </w:r>
    </w:p>
    <w:p w:rsidR="005B70E6" w:rsidRPr="001013C0" w:rsidRDefault="0048398D" w:rsidP="00F526E7">
      <w:pPr>
        <w:pStyle w:val="ListParagraph"/>
        <w:numPr>
          <w:ilvl w:val="0"/>
          <w:numId w:val="4"/>
        </w:numPr>
        <w:spacing w:after="120" w:line="240" w:lineRule="auto"/>
      </w:pPr>
      <w:r w:rsidRPr="001013C0">
        <w:t xml:space="preserve">But outcomes must be recorded </w:t>
      </w:r>
      <w:r w:rsidR="002A69E4" w:rsidRPr="001013C0">
        <w:t xml:space="preserve">less than 24 months after the start date (2016 Q1): by month 24, all people who entered employment before month 12 will have completed phase </w:t>
      </w:r>
      <w:r w:rsidR="00631C5B" w:rsidRPr="001013C0">
        <w:t xml:space="preserve">2 so </w:t>
      </w:r>
      <w:r w:rsidR="002A69E4" w:rsidRPr="001013C0">
        <w:t xml:space="preserve">no-one </w:t>
      </w:r>
      <w:r w:rsidR="00F526E7">
        <w:t xml:space="preserve">will have </w:t>
      </w:r>
      <w:r w:rsidR="00964B34" w:rsidRPr="001013C0">
        <w:t xml:space="preserve">the status </w:t>
      </w:r>
      <w:r w:rsidR="002A69E4" w:rsidRPr="001013C0">
        <w:t xml:space="preserve">“completed phase 1 of </w:t>
      </w:r>
      <w:proofErr w:type="spellStart"/>
      <w:r w:rsidR="002A69E4" w:rsidRPr="001013C0">
        <w:t>JobPath</w:t>
      </w:r>
      <w:proofErr w:type="spellEnd"/>
      <w:r w:rsidR="002A69E4" w:rsidRPr="001013C0">
        <w:t xml:space="preserve"> and are in employment and still in phase 2</w:t>
      </w:r>
      <w:r w:rsidRPr="001013C0">
        <w:t>”.</w:t>
      </w:r>
    </w:p>
    <w:p w:rsidR="0048398D" w:rsidRPr="001013C0" w:rsidRDefault="0048398D" w:rsidP="00F526E7">
      <w:pPr>
        <w:spacing w:after="120" w:line="240" w:lineRule="auto"/>
      </w:pPr>
      <w:r w:rsidRPr="001013C0">
        <w:t xml:space="preserve">The number reported as “Started (but not </w:t>
      </w:r>
      <w:r w:rsidR="00F526E7">
        <w:t>yet completed)” actually depend</w:t>
      </w:r>
      <w:r w:rsidRPr="001013C0">
        <w:t xml:space="preserve"> entirely on when the outcomes are recorded, </w:t>
      </w:r>
      <w:r w:rsidR="00F526E7">
        <w:t xml:space="preserve">but the reader is never given that </w:t>
      </w:r>
      <w:r w:rsidRPr="001013C0">
        <w:t xml:space="preserve">information! </w:t>
      </w:r>
      <w:proofErr w:type="gramStart"/>
      <w:r w:rsidRPr="001013C0">
        <w:t>p.21</w:t>
      </w:r>
      <w:proofErr w:type="gramEnd"/>
      <w:r w:rsidRPr="001013C0">
        <w:t xml:space="preserve"> informs the reader that “11,609 people in 2016 started on </w:t>
      </w:r>
      <w:proofErr w:type="spellStart"/>
      <w:r w:rsidRPr="001013C0">
        <w:t>JobPath</w:t>
      </w:r>
      <w:proofErr w:type="spellEnd"/>
      <w:r w:rsidRPr="001013C0">
        <w:t>, but had yet to complete it by year end”</w:t>
      </w:r>
      <w:r w:rsidR="00E5069B" w:rsidRPr="001013C0">
        <w:t xml:space="preserve">. Possibly this </w:t>
      </w:r>
      <w:r w:rsidRPr="001013C0">
        <w:t xml:space="preserve">means that </w:t>
      </w:r>
      <w:r w:rsidR="00E5069B" w:rsidRPr="001013C0">
        <w:t xml:space="preserve">reported </w:t>
      </w:r>
      <w:r w:rsidRPr="001013C0">
        <w:t xml:space="preserve">outcomes </w:t>
      </w:r>
      <w:r w:rsidR="00E5069B" w:rsidRPr="001013C0">
        <w:t xml:space="preserve">refer to </w:t>
      </w:r>
      <w:r w:rsidRPr="001013C0">
        <w:t>status at year-end</w:t>
      </w:r>
      <w:r w:rsidR="00F526E7">
        <w:t xml:space="preserve">? </w:t>
      </w:r>
      <w:proofErr w:type="gramStart"/>
      <w:r w:rsidR="00E5069B" w:rsidRPr="001013C0">
        <w:t>but</w:t>
      </w:r>
      <w:proofErr w:type="gramEnd"/>
      <w:r w:rsidR="00E5069B" w:rsidRPr="001013C0">
        <w:t xml:space="preserve"> at year-end no-one who started during 2016 Q1 </w:t>
      </w:r>
      <w:r w:rsidR="00F526E7">
        <w:t xml:space="preserve">would have </w:t>
      </w:r>
      <w:r w:rsidR="00E5069B" w:rsidRPr="001013C0">
        <w:t xml:space="preserve">literally completed 12 months in phase 1. The description on p.20-21 </w:t>
      </w:r>
      <w:r w:rsidR="00612272" w:rsidRPr="001013C0">
        <w:t xml:space="preserve">of these statistics in Figures 13 and 14 </w:t>
      </w:r>
      <w:r w:rsidR="00E5069B" w:rsidRPr="001013C0">
        <w:t xml:space="preserve">should be </w:t>
      </w:r>
      <w:r w:rsidR="00F526E7">
        <w:t xml:space="preserve">extensively </w:t>
      </w:r>
      <w:r w:rsidR="00E5069B" w:rsidRPr="001013C0">
        <w:t xml:space="preserve">rewritten </w:t>
      </w:r>
      <w:r w:rsidR="00612272" w:rsidRPr="001013C0">
        <w:t xml:space="preserve">for clarity </w:t>
      </w:r>
      <w:r w:rsidR="00F526E7">
        <w:t xml:space="preserve">- </w:t>
      </w:r>
      <w:r w:rsidR="00612272" w:rsidRPr="001013C0">
        <w:t xml:space="preserve">also </w:t>
      </w:r>
      <w:r w:rsidR="00E5069B" w:rsidRPr="001013C0">
        <w:t xml:space="preserve">cross-checking </w:t>
      </w:r>
      <w:r w:rsidR="00612272" w:rsidRPr="001013C0">
        <w:t xml:space="preserve">that the (clear) </w:t>
      </w:r>
      <w:r w:rsidR="00E5069B" w:rsidRPr="001013C0">
        <w:t xml:space="preserve">information in one sentence does not contradict </w:t>
      </w:r>
      <w:r w:rsidR="00612272" w:rsidRPr="001013C0">
        <w:t xml:space="preserve">the (clear) </w:t>
      </w:r>
      <w:r w:rsidR="00E5069B" w:rsidRPr="001013C0">
        <w:t>in</w:t>
      </w:r>
      <w:r w:rsidR="00612272" w:rsidRPr="001013C0">
        <w:t>f</w:t>
      </w:r>
      <w:r w:rsidR="00E5069B" w:rsidRPr="001013C0">
        <w:t>ormat</w:t>
      </w:r>
      <w:r w:rsidR="00612272" w:rsidRPr="001013C0">
        <w:t xml:space="preserve">ion </w:t>
      </w:r>
      <w:r w:rsidR="00E5069B" w:rsidRPr="001013C0">
        <w:t xml:space="preserve">in another </w:t>
      </w:r>
      <w:r w:rsidR="00F526E7">
        <w:t>sentence.</w:t>
      </w:r>
    </w:p>
    <w:p w:rsidR="0029520D" w:rsidRPr="001013C0" w:rsidRDefault="009453EB" w:rsidP="00F526E7">
      <w:pPr>
        <w:pStyle w:val="Heading3"/>
        <w:spacing w:before="0" w:after="120" w:line="240" w:lineRule="auto"/>
        <w:rPr>
          <w:color w:val="auto"/>
        </w:rPr>
      </w:pPr>
      <w:bookmarkStart w:id="4" w:name="_Toc32574266"/>
      <w:proofErr w:type="gramStart"/>
      <w:r w:rsidRPr="001013C0">
        <w:rPr>
          <w:color w:val="auto"/>
        </w:rPr>
        <w:t>p.23</w:t>
      </w:r>
      <w:proofErr w:type="gramEnd"/>
      <w:r w:rsidRPr="001013C0">
        <w:rPr>
          <w:color w:val="auto"/>
        </w:rPr>
        <w:t xml:space="preserve"> IV. Literature Review</w:t>
      </w:r>
      <w:bookmarkEnd w:id="4"/>
    </w:p>
    <w:p w:rsidR="00267805" w:rsidRPr="001013C0" w:rsidRDefault="0029520D" w:rsidP="00F526E7">
      <w:pPr>
        <w:spacing w:after="120" w:line="240" w:lineRule="auto"/>
      </w:pPr>
      <w:r w:rsidRPr="001013C0">
        <w:t xml:space="preserve">The literature review nowhere mentions threat and anticipation effects. </w:t>
      </w:r>
      <w:r w:rsidR="008D416A" w:rsidRPr="001013C0">
        <w:t>The reported data show that i</w:t>
      </w:r>
      <w:r w:rsidRPr="001013C0">
        <w:t xml:space="preserve">ndividuals with recent employment experience (even though they are long-term on the LR) often drop their claim (or risk having it cancelled) </w:t>
      </w:r>
      <w:r w:rsidR="008D416A" w:rsidRPr="001013C0">
        <w:t xml:space="preserve">in the approximately 10-day period between </w:t>
      </w:r>
      <w:r w:rsidRPr="001013C0">
        <w:t xml:space="preserve">referral to </w:t>
      </w:r>
      <w:proofErr w:type="spellStart"/>
      <w:r w:rsidRPr="001013C0">
        <w:t>JobPath</w:t>
      </w:r>
      <w:proofErr w:type="spellEnd"/>
      <w:r w:rsidRPr="001013C0">
        <w:t xml:space="preserve"> and </w:t>
      </w:r>
      <w:r w:rsidR="008D416A" w:rsidRPr="001013C0">
        <w:t xml:space="preserve">their scheduled </w:t>
      </w:r>
      <w:r w:rsidRPr="001013C0">
        <w:t>first interview (</w:t>
      </w:r>
      <w:r w:rsidR="008D416A" w:rsidRPr="001013C0">
        <w:t xml:space="preserve">see Table 11, Figure 12). However at the same time, the existence of </w:t>
      </w:r>
      <w:proofErr w:type="spellStart"/>
      <w:r w:rsidR="008D416A" w:rsidRPr="001013C0">
        <w:t>JobPath</w:t>
      </w:r>
      <w:proofErr w:type="spellEnd"/>
      <w:r w:rsidR="008D416A" w:rsidRPr="001013C0">
        <w:t xml:space="preserve"> will tend to increase the employment hazard of individuals who pass 12 months on the LR (cf. the headings in Table 7), since </w:t>
      </w:r>
      <w:r w:rsidR="00F526E7">
        <w:t>from their 13</w:t>
      </w:r>
      <w:r w:rsidR="00F526E7" w:rsidRPr="00F526E7">
        <w:rPr>
          <w:vertAlign w:val="superscript"/>
        </w:rPr>
        <w:t>th</w:t>
      </w:r>
      <w:r w:rsidR="00F526E7">
        <w:t xml:space="preserve"> month on the LR they face an increased </w:t>
      </w:r>
      <w:r w:rsidR="008D416A" w:rsidRPr="001013C0">
        <w:t xml:space="preserve">risk that they will have to participate in employment services and programmes at short notice (or find a job at short notice). </w:t>
      </w:r>
      <w:r w:rsidR="00267805" w:rsidRPr="001013C0">
        <w:t>E</w:t>
      </w:r>
      <w:r w:rsidR="008D416A" w:rsidRPr="001013C0">
        <w:t xml:space="preserve">xamples from the literature </w:t>
      </w:r>
      <w:r w:rsidR="00267805" w:rsidRPr="001013C0">
        <w:t>would usefully highlight the potential significance of this effect, which is additional to the type of impact studied and documented in the rest of this paper.</w:t>
      </w:r>
    </w:p>
    <w:p w:rsidR="001D1ADE" w:rsidRPr="001013C0" w:rsidRDefault="00612272" w:rsidP="00F526E7">
      <w:pPr>
        <w:spacing w:after="120" w:line="240" w:lineRule="auto"/>
      </w:pPr>
      <w:r w:rsidRPr="001013C0">
        <w:t xml:space="preserve">p.24 </w:t>
      </w:r>
      <w:r w:rsidR="00F526E7">
        <w:t>“</w:t>
      </w:r>
      <w:r w:rsidR="001D1ADE" w:rsidRPr="001013C0">
        <w:t>Hamilton</w:t>
      </w:r>
      <w:r w:rsidR="00524BBE" w:rsidRPr="001013C0">
        <w:t xml:space="preserve"> </w:t>
      </w:r>
      <w:r w:rsidR="001D1ADE" w:rsidRPr="001013C0">
        <w:t>(2002)</w:t>
      </w:r>
      <w:r w:rsidR="00524BBE" w:rsidRPr="001013C0">
        <w:t xml:space="preserve"> </w:t>
      </w:r>
      <w:r w:rsidR="001D1ADE" w:rsidRPr="001013C0">
        <w:t>exploits</w:t>
      </w:r>
      <w:r w:rsidR="00524BBE" w:rsidRPr="001013C0">
        <w:t xml:space="preserve"> </w:t>
      </w:r>
      <w:r w:rsidR="001D1ADE" w:rsidRPr="001013C0">
        <w:t>a</w:t>
      </w:r>
      <w:r w:rsidR="00524BBE" w:rsidRPr="001013C0">
        <w:t xml:space="preserve"> </w:t>
      </w:r>
      <w:r w:rsidR="001D1ADE" w:rsidRPr="001013C0">
        <w:t>random</w:t>
      </w:r>
      <w:r w:rsidR="00524BBE" w:rsidRPr="001013C0">
        <w:t xml:space="preserve"> </w:t>
      </w:r>
      <w:r w:rsidR="001D1ADE" w:rsidRPr="001013C0">
        <w:t>assignment</w:t>
      </w:r>
      <w:r w:rsidR="00524BBE" w:rsidRPr="001013C0">
        <w:t xml:space="preserve"> </w:t>
      </w:r>
      <w:r w:rsidR="001D1ADE" w:rsidRPr="001013C0">
        <w:t>to</w:t>
      </w:r>
      <w:r w:rsidR="00524BBE" w:rsidRPr="001013C0">
        <w:t xml:space="preserve"> </w:t>
      </w:r>
      <w:r w:rsidR="001D1ADE" w:rsidRPr="001013C0">
        <w:t>11</w:t>
      </w:r>
      <w:r w:rsidR="00524BBE" w:rsidRPr="001013C0">
        <w:t xml:space="preserve"> </w:t>
      </w:r>
      <w:r w:rsidR="001D1ADE" w:rsidRPr="001013C0">
        <w:t>mandatory</w:t>
      </w:r>
      <w:r w:rsidR="00524BBE" w:rsidRPr="001013C0">
        <w:t xml:space="preserve"> </w:t>
      </w:r>
      <w:r w:rsidR="001D1ADE" w:rsidRPr="001013C0">
        <w:t>welfare-to-work programmes across the U.S, finding employment-focused programmes more effective than education and training.</w:t>
      </w:r>
      <w:r w:rsidR="00F526E7">
        <w:t>”</w:t>
      </w:r>
    </w:p>
    <w:p w:rsidR="008C3B5E" w:rsidRPr="001013C0" w:rsidRDefault="001D1ADE" w:rsidP="00F526E7">
      <w:pPr>
        <w:pStyle w:val="ListParagraph"/>
        <w:numPr>
          <w:ilvl w:val="0"/>
          <w:numId w:val="5"/>
        </w:numPr>
        <w:spacing w:after="120" w:line="240" w:lineRule="auto"/>
      </w:pPr>
      <w:r w:rsidRPr="001013C0">
        <w:t xml:space="preserve">Hamilton (2002) didn’t </w:t>
      </w:r>
      <w:r w:rsidR="00F526E7">
        <w:t xml:space="preserve">exactly </w:t>
      </w:r>
      <w:r w:rsidRPr="001013C0">
        <w:t>“exploit a random assignment”</w:t>
      </w:r>
      <w:r w:rsidR="00CF4722" w:rsidRPr="001013C0">
        <w:t xml:space="preserve"> since </w:t>
      </w:r>
      <w:r w:rsidRPr="001013C0">
        <w:t>there were multiple random assignme</w:t>
      </w:r>
      <w:r w:rsidR="00CF4722" w:rsidRPr="001013C0">
        <w:t xml:space="preserve">nts in different localities, </w:t>
      </w:r>
      <w:r w:rsidRPr="001013C0">
        <w:t xml:space="preserve">and </w:t>
      </w:r>
      <w:r w:rsidR="00CF4722" w:rsidRPr="001013C0">
        <w:t>m</w:t>
      </w:r>
      <w:r w:rsidR="00F526E7">
        <w:t xml:space="preserve">ultiple studies based on those, - </w:t>
      </w:r>
      <w:r w:rsidRPr="001013C0">
        <w:t>“Hamilton (2002) synthesizes the overall findings from the five-year NEWWS evaluation” (</w:t>
      </w:r>
      <w:proofErr w:type="spellStart"/>
      <w:r w:rsidRPr="001013C0">
        <w:t>OLeary</w:t>
      </w:r>
      <w:proofErr w:type="spellEnd"/>
      <w:r w:rsidRPr="001013C0">
        <w:t xml:space="preserve"> St</w:t>
      </w:r>
      <w:r w:rsidR="00CF4722" w:rsidRPr="001013C0">
        <w:t>r</w:t>
      </w:r>
      <w:r w:rsidRPr="001013C0">
        <w:t xml:space="preserve">aits </w:t>
      </w:r>
      <w:proofErr w:type="spellStart"/>
      <w:r w:rsidRPr="001013C0">
        <w:t>Wandner</w:t>
      </w:r>
      <w:proofErr w:type="spellEnd"/>
      <w:r w:rsidRPr="001013C0">
        <w:t>, “Job training policy in the United States”</w:t>
      </w:r>
      <w:r w:rsidR="00CF4722" w:rsidRPr="001013C0">
        <w:t>).</w:t>
      </w:r>
    </w:p>
    <w:p w:rsidR="00CF4722" w:rsidRPr="001013C0" w:rsidRDefault="00CF4722" w:rsidP="00F526E7">
      <w:pPr>
        <w:pStyle w:val="ListParagraph"/>
        <w:numPr>
          <w:ilvl w:val="0"/>
          <w:numId w:val="5"/>
        </w:numPr>
        <w:spacing w:after="120" w:line="240" w:lineRule="auto"/>
      </w:pPr>
      <w:r w:rsidRPr="001013C0">
        <w:t>It might be better to add, after “</w:t>
      </w:r>
      <w:r w:rsidR="00F526E7">
        <w:t>education and training”, “</w:t>
      </w:r>
      <w:proofErr w:type="gramStart"/>
      <w:r w:rsidR="00F526E7">
        <w:t>..but</w:t>
      </w:r>
      <w:proofErr w:type="gramEnd"/>
      <w:r w:rsidR="00F526E7">
        <w:t xml:space="preserve"> </w:t>
      </w:r>
      <w:r w:rsidRPr="001013C0">
        <w:t>‘mixed approaches’ that included both job search and educational opportunities seemed to work best”.</w:t>
      </w:r>
    </w:p>
    <w:p w:rsidR="00CF4722" w:rsidRPr="001013C0" w:rsidRDefault="008C3B5E" w:rsidP="00F526E7">
      <w:pPr>
        <w:spacing w:after="120" w:line="240" w:lineRule="auto"/>
      </w:pPr>
      <w:proofErr w:type="spellStart"/>
      <w:r w:rsidRPr="001013C0">
        <w:t>OLeary</w:t>
      </w:r>
      <w:proofErr w:type="spellEnd"/>
      <w:r w:rsidRPr="001013C0">
        <w:t xml:space="preserve"> et al. </w:t>
      </w:r>
      <w:r w:rsidR="00CF4722" w:rsidRPr="001013C0">
        <w:t xml:space="preserve">quote directly from </w:t>
      </w:r>
      <w:r w:rsidRPr="001013C0">
        <w:t xml:space="preserve">Hamilton </w:t>
      </w:r>
      <w:r w:rsidR="00CF4722" w:rsidRPr="001013C0">
        <w:t>(2002):</w:t>
      </w:r>
      <w:r w:rsidRPr="001013C0">
        <w:t>“employment-focused programs generally had larger effects on employment and earnings than did education-focused programs”</w:t>
      </w:r>
      <w:r w:rsidR="00CF4722" w:rsidRPr="001013C0">
        <w:t>. But they</w:t>
      </w:r>
      <w:r w:rsidRPr="001013C0">
        <w:t xml:space="preserve"> al</w:t>
      </w:r>
      <w:r w:rsidR="00CF4722" w:rsidRPr="001013C0">
        <w:t>so state</w:t>
      </w:r>
      <w:r w:rsidRPr="001013C0">
        <w:t xml:space="preserve"> “The most effective program emerging from the NEWWS was the Portland program, a hybrid employment- and education-focused model”</w:t>
      </w:r>
      <w:r w:rsidR="00CF4722" w:rsidRPr="001013C0">
        <w:t xml:space="preserve">. Fitzpatrick, Christie, Mark </w:t>
      </w:r>
      <w:r w:rsidRPr="001013C0">
        <w:t>"Evaluation in Action: Interviews With Expert Evaluators” state “…the National Evaluation of Welfare to Work Strategies (NEWWS)… also found that programs that adopted 'mixed approaches'</w:t>
      </w:r>
      <w:r w:rsidR="00524BBE" w:rsidRPr="001013C0">
        <w:t xml:space="preserve"> </w:t>
      </w:r>
      <w:r w:rsidRPr="001013C0">
        <w:t>that included both job search and educational opportunities seemed to work best (Hamilton, 2002)."</w:t>
      </w:r>
      <w:r w:rsidR="00CF4722" w:rsidRPr="001013C0">
        <w:t xml:space="preserve"> (</w:t>
      </w:r>
      <w:proofErr w:type="gramStart"/>
      <w:r w:rsidR="00CF4722" w:rsidRPr="001013C0">
        <w:t>these</w:t>
      </w:r>
      <w:proofErr w:type="gramEnd"/>
      <w:r w:rsidR="00CF4722" w:rsidRPr="001013C0">
        <w:t xml:space="preserve"> </w:t>
      </w:r>
      <w:r w:rsidR="002E12EC">
        <w:t xml:space="preserve">two </w:t>
      </w:r>
      <w:r w:rsidR="00CF4722" w:rsidRPr="001013C0">
        <w:t xml:space="preserve">citations are </w:t>
      </w:r>
      <w:r w:rsidR="002E12EC">
        <w:t xml:space="preserve">on pages accessible via </w:t>
      </w:r>
      <w:r w:rsidR="00CF4722" w:rsidRPr="001013C0">
        <w:t>Google books).</w:t>
      </w:r>
    </w:p>
    <w:p w:rsidR="00362180" w:rsidRPr="001013C0" w:rsidRDefault="00612272" w:rsidP="00F526E7">
      <w:pPr>
        <w:spacing w:after="120" w:line="240" w:lineRule="auto"/>
      </w:pPr>
      <w:r w:rsidRPr="001013C0">
        <w:t xml:space="preserve">O’Connell et al. (2011) </w:t>
      </w:r>
      <w:r w:rsidR="00362180" w:rsidRPr="001013C0">
        <w:t xml:space="preserve">(appears twice on p.24 and once on p.27) </w:t>
      </w:r>
    </w:p>
    <w:p w:rsidR="001D1ADE" w:rsidRPr="001013C0" w:rsidRDefault="00CF4722" w:rsidP="00F526E7">
      <w:pPr>
        <w:spacing w:after="120" w:line="240" w:lineRule="auto"/>
      </w:pPr>
      <w:r w:rsidRPr="001013C0">
        <w:lastRenderedPageBreak/>
        <w:sym w:font="Wingdings" w:char="F0E0"/>
      </w:r>
      <w:r w:rsidRPr="001013C0">
        <w:t xml:space="preserve"> </w:t>
      </w:r>
      <w:proofErr w:type="gramStart"/>
      <w:r w:rsidRPr="001013C0">
        <w:t>the</w:t>
      </w:r>
      <w:proofErr w:type="gramEnd"/>
      <w:r w:rsidRPr="001013C0">
        <w:t xml:space="preserve"> bibliography </w:t>
      </w:r>
      <w:r w:rsidR="00362180" w:rsidRPr="001013C0">
        <w:t xml:space="preserve">lists this under K, i.e. </w:t>
      </w:r>
      <w:r w:rsidRPr="001013C0">
        <w:t>Kelly,</w:t>
      </w:r>
      <w:r w:rsidR="00524BBE" w:rsidRPr="001013C0">
        <w:t xml:space="preserve"> </w:t>
      </w:r>
      <w:r w:rsidRPr="001013C0">
        <w:t>E.,</w:t>
      </w:r>
      <w:r w:rsidR="00524BBE" w:rsidRPr="001013C0">
        <w:t xml:space="preserve"> </w:t>
      </w:r>
      <w:r w:rsidRPr="001013C0">
        <w:t>McGuinness,</w:t>
      </w:r>
      <w:r w:rsidR="00524BBE" w:rsidRPr="001013C0">
        <w:t xml:space="preserve"> </w:t>
      </w:r>
      <w:r w:rsidRPr="001013C0">
        <w:t>S.,</w:t>
      </w:r>
      <w:r w:rsidR="00524BBE" w:rsidRPr="001013C0">
        <w:t xml:space="preserve"> </w:t>
      </w:r>
      <w:r w:rsidRPr="001013C0">
        <w:t>O’Connell,</w:t>
      </w:r>
      <w:r w:rsidR="00524BBE" w:rsidRPr="001013C0">
        <w:t xml:space="preserve"> </w:t>
      </w:r>
      <w:r w:rsidRPr="001013C0">
        <w:t>P.</w:t>
      </w:r>
      <w:r w:rsidR="00524BBE" w:rsidRPr="001013C0">
        <w:t xml:space="preserve"> </w:t>
      </w:r>
      <w:r w:rsidRPr="001013C0">
        <w:t>(2011)</w:t>
      </w:r>
      <w:r w:rsidR="00524BBE" w:rsidRPr="001013C0">
        <w:t xml:space="preserve"> </w:t>
      </w:r>
      <w:r w:rsidRPr="001013C0">
        <w:t>What</w:t>
      </w:r>
      <w:r w:rsidR="00524BBE" w:rsidRPr="001013C0">
        <w:t xml:space="preserve"> </w:t>
      </w:r>
      <w:r w:rsidRPr="001013C0">
        <w:t>Can</w:t>
      </w:r>
      <w:r w:rsidR="00524BBE" w:rsidRPr="001013C0">
        <w:t xml:space="preserve"> </w:t>
      </w:r>
      <w:r w:rsidRPr="001013C0">
        <w:t>Active</w:t>
      </w:r>
      <w:r w:rsidR="00524BBE" w:rsidRPr="001013C0">
        <w:t xml:space="preserve"> </w:t>
      </w:r>
      <w:r w:rsidRPr="001013C0">
        <w:t>Labour</w:t>
      </w:r>
      <w:r w:rsidR="00524BBE" w:rsidRPr="001013C0">
        <w:t xml:space="preserve"> </w:t>
      </w:r>
      <w:r w:rsidRPr="001013C0">
        <w:t>Market</w:t>
      </w:r>
      <w:r w:rsidR="00524BBE" w:rsidRPr="001013C0">
        <w:t xml:space="preserve"> </w:t>
      </w:r>
      <w:r w:rsidRPr="001013C0">
        <w:t xml:space="preserve">Policies Do? </w:t>
      </w:r>
      <w:proofErr w:type="spellStart"/>
      <w:proofErr w:type="gramStart"/>
      <w:r w:rsidRPr="001013C0">
        <w:t>ESRi</w:t>
      </w:r>
      <w:proofErr w:type="spellEnd"/>
      <w:r w:rsidRPr="001013C0">
        <w:t>.</w:t>
      </w:r>
      <w:proofErr w:type="gramEnd"/>
      <w:r w:rsidRPr="001013C0">
        <w:t xml:space="preserve"> [Online] Available from: https://www.esri.ie/system/files/media/file-uploads/2015-07/EC001.pdf [</w:t>
      </w:r>
      <w:r w:rsidR="00362180" w:rsidRPr="001013C0">
        <w:t xml:space="preserve">Accessed 14 March 2019].). Therefore the text should call it </w:t>
      </w:r>
      <w:r w:rsidRPr="001013C0">
        <w:t>“Kelly et al. (2011)”.</w:t>
      </w:r>
    </w:p>
    <w:p w:rsidR="007F314F" w:rsidRPr="001013C0" w:rsidRDefault="007F314F" w:rsidP="00F526E7">
      <w:pPr>
        <w:pStyle w:val="Heading4"/>
        <w:spacing w:before="0" w:after="120" w:line="240" w:lineRule="auto"/>
        <w:rPr>
          <w:color w:val="auto"/>
        </w:rPr>
      </w:pPr>
      <w:bookmarkStart w:id="5" w:name="_Toc32574267"/>
      <w:proofErr w:type="gramStart"/>
      <w:r w:rsidRPr="001013C0">
        <w:rPr>
          <w:color w:val="auto"/>
        </w:rPr>
        <w:t>p24-25</w:t>
      </w:r>
      <w:proofErr w:type="gramEnd"/>
      <w:r w:rsidRPr="001013C0">
        <w:rPr>
          <w:color w:val="auto"/>
        </w:rPr>
        <w:t xml:space="preserve"> Evaluating contracted public employment services</w:t>
      </w:r>
      <w:bookmarkEnd w:id="5"/>
    </w:p>
    <w:p w:rsidR="007F314F" w:rsidRPr="001013C0" w:rsidRDefault="007F314F" w:rsidP="00F526E7">
      <w:pPr>
        <w:spacing w:after="120" w:line="240" w:lineRule="auto"/>
      </w:pPr>
      <w:r w:rsidRPr="001013C0">
        <w:t xml:space="preserve">This section cites </w:t>
      </w:r>
      <w:r w:rsidR="00AA6F7C" w:rsidRPr="001013C0">
        <w:t xml:space="preserve">an </w:t>
      </w:r>
      <w:r w:rsidRPr="001013C0">
        <w:t>observation that “the evidence is mixed and it is difficult to draw conclusions as the form and models of contracting differ markedly between countries”</w:t>
      </w:r>
      <w:r w:rsidR="00AA6F7C" w:rsidRPr="001013C0">
        <w:t xml:space="preserve">. This is partly true but one could also say that </w:t>
      </w:r>
      <w:r w:rsidR="00177E37" w:rsidRPr="001013C0">
        <w:t xml:space="preserve">only Australia has a </w:t>
      </w:r>
      <w:r w:rsidRPr="001013C0">
        <w:t xml:space="preserve">nationwide longstanding </w:t>
      </w:r>
      <w:r w:rsidR="006A7DAF" w:rsidRPr="001013C0">
        <w:t>system of provision</w:t>
      </w:r>
      <w:r w:rsidR="009832A4" w:rsidRPr="001013C0">
        <w:t xml:space="preserve"> by contracted providers, </w:t>
      </w:r>
      <w:r w:rsidR="006A7DAF" w:rsidRPr="001013C0">
        <w:t xml:space="preserve">with </w:t>
      </w:r>
      <w:r w:rsidRPr="001013C0">
        <w:t xml:space="preserve">placement </w:t>
      </w:r>
      <w:r w:rsidR="006A7DAF" w:rsidRPr="001013C0">
        <w:t>outcome</w:t>
      </w:r>
      <w:r w:rsidR="00AA6F7C" w:rsidRPr="001013C0">
        <w:t>s</w:t>
      </w:r>
      <w:r w:rsidR="006A7DAF" w:rsidRPr="001013C0">
        <w:t xml:space="preserve"> </w:t>
      </w:r>
      <w:r w:rsidRPr="001013C0">
        <w:t xml:space="preserve">(net of regression controls) </w:t>
      </w:r>
      <w:r w:rsidR="006A7DAF" w:rsidRPr="001013C0">
        <w:t>used to reallocate busines</w:t>
      </w:r>
      <w:r w:rsidR="00AA6F7C" w:rsidRPr="001013C0">
        <w:t>s</w:t>
      </w:r>
      <w:r w:rsidR="009832A4" w:rsidRPr="001013C0">
        <w:t xml:space="preserve">, </w:t>
      </w:r>
      <w:r w:rsidR="006A7DAF" w:rsidRPr="001013C0">
        <w:t xml:space="preserve">creating a quasi-market in which only the best performing contractors </w:t>
      </w:r>
      <w:r w:rsidR="002E12EC">
        <w:t xml:space="preserve">survive longer-term and this has worked well for </w:t>
      </w:r>
      <w:r w:rsidR="00177E37" w:rsidRPr="001013C0">
        <w:t xml:space="preserve">years. </w:t>
      </w:r>
      <w:r w:rsidR="009832A4" w:rsidRPr="001013C0">
        <w:t>T</w:t>
      </w:r>
      <w:r w:rsidR="006A7DAF" w:rsidRPr="001013C0">
        <w:t xml:space="preserve">he other studies relate to contracting with some form of payment </w:t>
      </w:r>
      <w:r w:rsidR="00177E37" w:rsidRPr="001013C0">
        <w:t xml:space="preserve">by results not impact estimates driving a quasi-market (most contracts were </w:t>
      </w:r>
      <w:r w:rsidR="006A7DAF" w:rsidRPr="001013C0">
        <w:t xml:space="preserve">too small-scale and short-term </w:t>
      </w:r>
      <w:r w:rsidR="00177E37" w:rsidRPr="001013C0">
        <w:t xml:space="preserve">for </w:t>
      </w:r>
      <w:r w:rsidR="002E12EC">
        <w:t xml:space="preserve">a quasi-market setup </w:t>
      </w:r>
      <w:r w:rsidR="00177E37" w:rsidRPr="001013C0">
        <w:t xml:space="preserve">to be practical, although </w:t>
      </w:r>
      <w:r w:rsidR="009832A4" w:rsidRPr="001013C0">
        <w:t xml:space="preserve">the </w:t>
      </w:r>
      <w:r w:rsidR="006A7DAF" w:rsidRPr="001013C0">
        <w:t xml:space="preserve">UK </w:t>
      </w:r>
      <w:r w:rsidR="00AA6F7C" w:rsidRPr="001013C0">
        <w:t xml:space="preserve">Work Programme </w:t>
      </w:r>
      <w:r w:rsidR="009832A4" w:rsidRPr="001013C0">
        <w:t xml:space="preserve">was relatively </w:t>
      </w:r>
      <w:r w:rsidR="002E12EC">
        <w:t xml:space="preserve">large) - </w:t>
      </w:r>
      <w:r w:rsidR="00177E37" w:rsidRPr="001013C0">
        <w:t xml:space="preserve">it is not surprising </w:t>
      </w:r>
      <w:r w:rsidR="002E12EC">
        <w:t xml:space="preserve">but also not very informative, </w:t>
      </w:r>
      <w:r w:rsidR="00177E37" w:rsidRPr="001013C0">
        <w:t xml:space="preserve">that </w:t>
      </w:r>
      <w:r w:rsidR="009E5CC8" w:rsidRPr="001013C0">
        <w:t xml:space="preserve">their evidence is “mixed”. </w:t>
      </w:r>
    </w:p>
    <w:p w:rsidR="009E5CC8" w:rsidRPr="001013C0" w:rsidRDefault="009E5CC8" w:rsidP="00F526E7">
      <w:pPr>
        <w:spacing w:after="120" w:line="240" w:lineRule="auto"/>
      </w:pPr>
      <w:proofErr w:type="gramStart"/>
      <w:r w:rsidRPr="001013C0">
        <w:t>p.25</w:t>
      </w:r>
      <w:proofErr w:type="gramEnd"/>
      <w:r w:rsidRPr="001013C0">
        <w:t xml:space="preserve"> the 3</w:t>
      </w:r>
      <w:r w:rsidRPr="001013C0">
        <w:rPr>
          <w:vertAlign w:val="superscript"/>
        </w:rPr>
        <w:t>rd</w:t>
      </w:r>
      <w:r w:rsidRPr="001013C0">
        <w:t xml:space="preserve"> paragraph includes spurious references “(29)”, “(30)”.</w:t>
      </w:r>
    </w:p>
    <w:p w:rsidR="009E5CC8" w:rsidRPr="001013C0" w:rsidRDefault="00AB2DBA" w:rsidP="00F526E7">
      <w:pPr>
        <w:pStyle w:val="Heading4"/>
        <w:spacing w:before="0" w:after="120" w:line="240" w:lineRule="auto"/>
        <w:rPr>
          <w:color w:val="auto"/>
        </w:rPr>
      </w:pPr>
      <w:bookmarkStart w:id="6" w:name="_Toc32574268"/>
      <w:proofErr w:type="gramStart"/>
      <w:r w:rsidRPr="001013C0">
        <w:rPr>
          <w:color w:val="auto"/>
        </w:rPr>
        <w:t>p</w:t>
      </w:r>
      <w:r w:rsidR="009E5CC8" w:rsidRPr="001013C0">
        <w:rPr>
          <w:color w:val="auto"/>
        </w:rPr>
        <w:t>26-28</w:t>
      </w:r>
      <w:proofErr w:type="gramEnd"/>
      <w:r w:rsidR="009E5CC8" w:rsidRPr="001013C0">
        <w:rPr>
          <w:color w:val="auto"/>
        </w:rPr>
        <w:t xml:space="preserve"> Evaluations in a dynamic treatment environment</w:t>
      </w:r>
      <w:bookmarkEnd w:id="6"/>
    </w:p>
    <w:p w:rsidR="00AB2DBA" w:rsidRPr="001013C0" w:rsidRDefault="00AB2DBA" w:rsidP="00F526E7">
      <w:pPr>
        <w:spacing w:after="120" w:line="240" w:lineRule="auto"/>
      </w:pPr>
      <w:proofErr w:type="gramStart"/>
      <w:r w:rsidRPr="001013C0">
        <w:t>p.26</w:t>
      </w:r>
      <w:proofErr w:type="gramEnd"/>
      <w:r w:rsidRPr="001013C0">
        <w:t xml:space="preserve"> A sentence here </w:t>
      </w:r>
      <w:r w:rsidR="002236E2" w:rsidRPr="001013C0">
        <w:t>has the only use of the term “quasi-random”:</w:t>
      </w:r>
    </w:p>
    <w:p w:rsidR="00AB2DBA" w:rsidRPr="001013C0" w:rsidRDefault="00AB2DBA" w:rsidP="00F526E7">
      <w:pPr>
        <w:pStyle w:val="ListParagraph"/>
        <w:numPr>
          <w:ilvl w:val="0"/>
          <w:numId w:val="7"/>
        </w:numPr>
        <w:spacing w:after="120" w:line="240" w:lineRule="auto"/>
      </w:pPr>
      <w:r w:rsidRPr="001013C0">
        <w:t xml:space="preserve">“The quasi-random referral process in </w:t>
      </w:r>
      <w:proofErr w:type="spellStart"/>
      <w:r w:rsidRPr="001013C0">
        <w:t>JobPath</w:t>
      </w:r>
      <w:proofErr w:type="spellEnd"/>
      <w:r w:rsidRPr="001013C0">
        <w:t xml:space="preserve"> means that very different jobseekers will receive the </w:t>
      </w:r>
      <w:proofErr w:type="spellStart"/>
      <w:r w:rsidRPr="001013C0">
        <w:t>JobPath</w:t>
      </w:r>
      <w:proofErr w:type="spellEnd"/>
      <w:r w:rsidRPr="001013C0">
        <w:t xml:space="preserve"> service at the same time.”</w:t>
      </w:r>
    </w:p>
    <w:p w:rsidR="00AB2DBA" w:rsidRPr="001013C0" w:rsidRDefault="00FD1A95" w:rsidP="00F526E7">
      <w:pPr>
        <w:spacing w:after="120" w:line="240" w:lineRule="auto"/>
      </w:pPr>
      <w:r w:rsidRPr="001013C0">
        <w:t>Several l</w:t>
      </w:r>
      <w:r w:rsidR="00AB2DBA" w:rsidRPr="001013C0">
        <w:t xml:space="preserve">ater phrases state the random nature of the referral process but with a </w:t>
      </w:r>
      <w:r w:rsidRPr="001013C0">
        <w:t>caveat</w:t>
      </w:r>
      <w:r w:rsidR="00AB2DBA" w:rsidRPr="001013C0">
        <w:t>:</w:t>
      </w:r>
    </w:p>
    <w:p w:rsidR="00AB2DBA" w:rsidRPr="001013C0" w:rsidRDefault="00AB2DBA" w:rsidP="00F526E7">
      <w:pPr>
        <w:pStyle w:val="ListParagraph"/>
        <w:numPr>
          <w:ilvl w:val="0"/>
          <w:numId w:val="6"/>
        </w:numPr>
        <w:spacing w:after="120" w:line="240" w:lineRule="auto"/>
      </w:pPr>
      <w:r w:rsidRPr="001013C0">
        <w:t>“there is, within categories</w:t>
      </w:r>
      <w:r w:rsidR="00524BBE" w:rsidRPr="001013C0">
        <w:t xml:space="preserve"> </w:t>
      </w:r>
      <w:r w:rsidRPr="001013C0">
        <w:t>of</w:t>
      </w:r>
      <w:r w:rsidR="00524BBE" w:rsidRPr="001013C0">
        <w:t xml:space="preserve"> </w:t>
      </w:r>
      <w:r w:rsidRPr="001013C0">
        <w:t>claim</w:t>
      </w:r>
      <w:r w:rsidR="00524BBE" w:rsidRPr="001013C0">
        <w:t xml:space="preserve"> </w:t>
      </w:r>
      <w:r w:rsidRPr="001013C0">
        <w:t>duration,</w:t>
      </w:r>
      <w:r w:rsidR="00524BBE" w:rsidRPr="001013C0">
        <w:t xml:space="preserve"> </w:t>
      </w:r>
      <w:r w:rsidRPr="001013C0">
        <w:t>a</w:t>
      </w:r>
      <w:r w:rsidR="00524BBE" w:rsidRPr="001013C0">
        <w:t xml:space="preserve"> </w:t>
      </w:r>
      <w:r w:rsidRPr="001013C0">
        <w:t>substantial</w:t>
      </w:r>
      <w:r w:rsidR="00524BBE" w:rsidRPr="001013C0">
        <w:t xml:space="preserve"> </w:t>
      </w:r>
      <w:r w:rsidRPr="001013C0">
        <w:t>element</w:t>
      </w:r>
      <w:r w:rsidR="00524BBE" w:rsidRPr="001013C0">
        <w:t xml:space="preserve"> </w:t>
      </w:r>
      <w:r w:rsidRPr="001013C0">
        <w:t>of</w:t>
      </w:r>
      <w:r w:rsidR="00524BBE" w:rsidRPr="001013C0">
        <w:t xml:space="preserve"> </w:t>
      </w:r>
      <w:r w:rsidRPr="001013C0">
        <w:t>randomness</w:t>
      </w:r>
      <w:r w:rsidR="00524BBE" w:rsidRPr="001013C0">
        <w:t xml:space="preserve"> </w:t>
      </w:r>
      <w:r w:rsidRPr="001013C0">
        <w:t>to</w:t>
      </w:r>
      <w:r w:rsidR="00524BBE" w:rsidRPr="001013C0">
        <w:t xml:space="preserve"> </w:t>
      </w:r>
      <w:r w:rsidRPr="001013C0">
        <w:t>whether</w:t>
      </w:r>
      <w:r w:rsidR="00524BBE" w:rsidRPr="001013C0">
        <w:t xml:space="preserve"> </w:t>
      </w:r>
      <w:r w:rsidRPr="001013C0">
        <w:t>people</w:t>
      </w:r>
      <w:r w:rsidR="00524BBE" w:rsidRPr="001013C0">
        <w:t xml:space="preserve"> </w:t>
      </w:r>
      <w:r w:rsidRPr="001013C0">
        <w:t xml:space="preserve">are assigned to </w:t>
      </w:r>
      <w:proofErr w:type="spellStart"/>
      <w:r w:rsidRPr="001013C0">
        <w:t>JobPath</w:t>
      </w:r>
      <w:proofErr w:type="spellEnd"/>
      <w:r w:rsidR="00524BBE" w:rsidRPr="001013C0">
        <w:t xml:space="preserve"> </w:t>
      </w:r>
      <w:r w:rsidRPr="001013C0">
        <w:t>(p.47)</w:t>
      </w:r>
    </w:p>
    <w:p w:rsidR="00AB2DBA" w:rsidRPr="001013C0" w:rsidRDefault="00AB2DBA" w:rsidP="00F526E7">
      <w:pPr>
        <w:pStyle w:val="ListParagraph"/>
        <w:numPr>
          <w:ilvl w:val="0"/>
          <w:numId w:val="6"/>
        </w:numPr>
        <w:spacing w:after="120" w:line="240" w:lineRule="auto"/>
      </w:pPr>
      <w:r w:rsidRPr="001013C0">
        <w:t>“Given the degree of random assignment involved in</w:t>
      </w:r>
      <w:r w:rsidR="00524BBE" w:rsidRPr="001013C0">
        <w:t xml:space="preserve"> </w:t>
      </w:r>
      <w:r w:rsidRPr="001013C0">
        <w:t>referral</w:t>
      </w:r>
      <w:r w:rsidR="00524BBE" w:rsidRPr="001013C0">
        <w:t xml:space="preserve"> </w:t>
      </w:r>
      <w:r w:rsidRPr="001013C0">
        <w:t>to</w:t>
      </w:r>
      <w:r w:rsidR="00524BBE" w:rsidRPr="001013C0">
        <w:t xml:space="preserve"> </w:t>
      </w:r>
      <w:proofErr w:type="spellStart"/>
      <w:r w:rsidRPr="001013C0">
        <w:t>JobPath</w:t>
      </w:r>
      <w:proofErr w:type="spellEnd"/>
      <w:r w:rsidRPr="001013C0">
        <w:t>,</w:t>
      </w:r>
      <w:r w:rsidR="00524BBE" w:rsidRPr="001013C0">
        <w:t xml:space="preserve"> </w:t>
      </w:r>
      <w:r w:rsidRPr="001013C0">
        <w:t>it</w:t>
      </w:r>
      <w:r w:rsidR="00524BBE" w:rsidRPr="001013C0">
        <w:t xml:space="preserve"> </w:t>
      </w:r>
      <w:r w:rsidRPr="001013C0">
        <w:t>is</w:t>
      </w:r>
      <w:r w:rsidR="00524BBE" w:rsidRPr="001013C0">
        <w:t xml:space="preserve"> </w:t>
      </w:r>
      <w:r w:rsidRPr="001013C0">
        <w:t>to</w:t>
      </w:r>
      <w:r w:rsidR="00524BBE" w:rsidRPr="001013C0">
        <w:t xml:space="preserve"> </w:t>
      </w:r>
      <w:r w:rsidRPr="001013C0">
        <w:t>be</w:t>
      </w:r>
      <w:r w:rsidR="00524BBE" w:rsidRPr="001013C0">
        <w:t xml:space="preserve"> </w:t>
      </w:r>
      <w:r w:rsidRPr="001013C0">
        <w:t>expected</w:t>
      </w:r>
      <w:r w:rsidR="00524BBE" w:rsidRPr="001013C0">
        <w:t xml:space="preserve"> </w:t>
      </w:r>
      <w:r w:rsidRPr="001013C0">
        <w:t>that</w:t>
      </w:r>
      <w:proofErr w:type="gramStart"/>
      <w:r w:rsidRPr="001013C0">
        <w:t>..”</w:t>
      </w:r>
      <w:proofErr w:type="gramEnd"/>
      <w:r w:rsidRPr="001013C0">
        <w:t xml:space="preserve"> (p.48)</w:t>
      </w:r>
    </w:p>
    <w:p w:rsidR="00AB2DBA" w:rsidRPr="001013C0" w:rsidRDefault="00AB2DBA" w:rsidP="00F526E7">
      <w:pPr>
        <w:pStyle w:val="ListParagraph"/>
        <w:numPr>
          <w:ilvl w:val="0"/>
          <w:numId w:val="6"/>
        </w:numPr>
        <w:spacing w:after="120" w:line="240" w:lineRule="auto"/>
      </w:pPr>
      <w:r w:rsidRPr="001013C0">
        <w:t>“Jobseekers do not self-select</w:t>
      </w:r>
      <w:r w:rsidR="00524BBE" w:rsidRPr="001013C0">
        <w:t xml:space="preserve"> </w:t>
      </w:r>
      <w:r w:rsidRPr="001013C0">
        <w:t>into</w:t>
      </w:r>
      <w:r w:rsidR="00524BBE" w:rsidRPr="001013C0">
        <w:t xml:space="preserve"> </w:t>
      </w:r>
      <w:proofErr w:type="spellStart"/>
      <w:r w:rsidRPr="001013C0">
        <w:t>JobPath</w:t>
      </w:r>
      <w:proofErr w:type="spellEnd"/>
      <w:r w:rsidRPr="001013C0">
        <w:t>,</w:t>
      </w:r>
      <w:r w:rsidR="00524BBE" w:rsidRPr="001013C0">
        <w:t xml:space="preserve"> </w:t>
      </w:r>
      <w:r w:rsidRPr="001013C0">
        <w:t>and</w:t>
      </w:r>
      <w:r w:rsidR="00524BBE" w:rsidRPr="001013C0">
        <w:t xml:space="preserve"> </w:t>
      </w:r>
      <w:r w:rsidRPr="001013C0">
        <w:t>the</w:t>
      </w:r>
      <w:r w:rsidR="00524BBE" w:rsidRPr="001013C0">
        <w:t xml:space="preserve"> </w:t>
      </w:r>
      <w:r w:rsidRPr="001013C0">
        <w:t>administrative</w:t>
      </w:r>
      <w:r w:rsidR="00524BBE" w:rsidRPr="001013C0">
        <w:t xml:space="preserve"> </w:t>
      </w:r>
      <w:r w:rsidRPr="001013C0">
        <w:t>selection</w:t>
      </w:r>
      <w:r w:rsidR="00524BBE" w:rsidRPr="001013C0">
        <w:t xml:space="preserve"> </w:t>
      </w:r>
      <w:r w:rsidRPr="001013C0">
        <w:t>process</w:t>
      </w:r>
      <w:r w:rsidR="00524BBE" w:rsidRPr="001013C0">
        <w:t xml:space="preserve"> </w:t>
      </w:r>
      <w:r w:rsidRPr="001013C0">
        <w:t>is</w:t>
      </w:r>
      <w:r w:rsidR="00524BBE" w:rsidRPr="001013C0">
        <w:t xml:space="preserve"> </w:t>
      </w:r>
      <w:r w:rsidRPr="001013C0">
        <w:t>based</w:t>
      </w:r>
      <w:r w:rsidR="00524BBE" w:rsidRPr="001013C0">
        <w:t xml:space="preserve"> </w:t>
      </w:r>
      <w:r w:rsidRPr="001013C0">
        <w:t>on</w:t>
      </w:r>
      <w:r w:rsidR="00524BBE" w:rsidRPr="001013C0">
        <w:t xml:space="preserve"> </w:t>
      </w:r>
      <w:r w:rsidRPr="001013C0">
        <w:t>a</w:t>
      </w:r>
      <w:r w:rsidR="00524BBE" w:rsidRPr="001013C0">
        <w:t xml:space="preserve"> </w:t>
      </w:r>
      <w:r w:rsidRPr="001013C0">
        <w:t>stratified</w:t>
      </w:r>
      <w:r w:rsidR="00524BBE" w:rsidRPr="001013C0">
        <w:t xml:space="preserve"> </w:t>
      </w:r>
      <w:r w:rsidRPr="001013C0">
        <w:t>random</w:t>
      </w:r>
      <w:r w:rsidR="00524BBE" w:rsidRPr="001013C0">
        <w:t xml:space="preserve"> </w:t>
      </w:r>
      <w:r w:rsidRPr="001013C0">
        <w:t>sample based on duration</w:t>
      </w:r>
      <w:proofErr w:type="gramStart"/>
      <w:r w:rsidRPr="001013C0">
        <w:t>.“</w:t>
      </w:r>
      <w:proofErr w:type="gramEnd"/>
      <w:r w:rsidRPr="001013C0">
        <w:t xml:space="preserve"> (p.50).</w:t>
      </w:r>
    </w:p>
    <w:p w:rsidR="00AB2DBA" w:rsidRPr="001013C0" w:rsidRDefault="00AB2DBA" w:rsidP="00F526E7">
      <w:pPr>
        <w:spacing w:after="120" w:line="240" w:lineRule="auto"/>
      </w:pPr>
      <w:r w:rsidRPr="001013C0">
        <w:t xml:space="preserve">In </w:t>
      </w:r>
      <w:r w:rsidR="00FD1A95" w:rsidRPr="001013C0">
        <w:t xml:space="preserve">a few </w:t>
      </w:r>
      <w:r w:rsidRPr="001013C0">
        <w:t>places the referral process is described as “random”</w:t>
      </w:r>
      <w:r w:rsidR="00FD1A95" w:rsidRPr="001013C0">
        <w:t xml:space="preserve"> with no caveat:</w:t>
      </w:r>
    </w:p>
    <w:p w:rsidR="002236E2" w:rsidRPr="001013C0" w:rsidRDefault="002236E2" w:rsidP="00F526E7">
      <w:pPr>
        <w:pStyle w:val="ListParagraph"/>
        <w:numPr>
          <w:ilvl w:val="0"/>
          <w:numId w:val="8"/>
        </w:numPr>
        <w:spacing w:after="120" w:line="240" w:lineRule="auto"/>
      </w:pPr>
      <w:r w:rsidRPr="001013C0">
        <w:t>the use of stratified random sampling means it is difficult to predict, with any degree of success, who will be referred (p.47)</w:t>
      </w:r>
    </w:p>
    <w:p w:rsidR="002236E2" w:rsidRPr="001013C0" w:rsidRDefault="00FA221A" w:rsidP="00F526E7">
      <w:pPr>
        <w:pStyle w:val="ListParagraph"/>
        <w:numPr>
          <w:ilvl w:val="0"/>
          <w:numId w:val="8"/>
        </w:numPr>
        <w:spacing w:after="120" w:line="240" w:lineRule="auto"/>
      </w:pPr>
      <w:r w:rsidRPr="001013C0">
        <w:t>t</w:t>
      </w:r>
      <w:r w:rsidR="002236E2" w:rsidRPr="001013C0">
        <w:t>he</w:t>
      </w:r>
      <w:r w:rsidR="00524BBE" w:rsidRPr="001013C0">
        <w:t xml:space="preserve"> </w:t>
      </w:r>
      <w:r w:rsidR="002236E2" w:rsidRPr="001013C0">
        <w:t>Department</w:t>
      </w:r>
      <w:r w:rsidR="00524BBE" w:rsidRPr="001013C0">
        <w:t xml:space="preserve"> </w:t>
      </w:r>
      <w:r w:rsidR="002236E2" w:rsidRPr="001013C0">
        <w:t>of</w:t>
      </w:r>
      <w:r w:rsidR="00524BBE" w:rsidRPr="001013C0">
        <w:t xml:space="preserve"> </w:t>
      </w:r>
      <w:r w:rsidR="002236E2" w:rsidRPr="001013C0">
        <w:t>Employment</w:t>
      </w:r>
      <w:r w:rsidR="00524BBE" w:rsidRPr="001013C0">
        <w:t xml:space="preserve"> </w:t>
      </w:r>
      <w:r w:rsidR="002236E2" w:rsidRPr="001013C0">
        <w:t>Affairs</w:t>
      </w:r>
      <w:r w:rsidR="00524BBE" w:rsidRPr="001013C0">
        <w:t xml:space="preserve"> </w:t>
      </w:r>
      <w:r w:rsidR="002236E2" w:rsidRPr="001013C0">
        <w:t>and</w:t>
      </w:r>
      <w:r w:rsidR="00524BBE" w:rsidRPr="001013C0">
        <w:t xml:space="preserve"> </w:t>
      </w:r>
      <w:r w:rsidR="002236E2" w:rsidRPr="001013C0">
        <w:t>Social</w:t>
      </w:r>
      <w:r w:rsidR="00524BBE" w:rsidRPr="001013C0">
        <w:t xml:space="preserve"> </w:t>
      </w:r>
      <w:r w:rsidR="002236E2" w:rsidRPr="001013C0">
        <w:t>Protection</w:t>
      </w:r>
      <w:r w:rsidR="00524BBE" w:rsidRPr="001013C0">
        <w:t xml:space="preserve"> </w:t>
      </w:r>
      <w:r w:rsidR="002236E2" w:rsidRPr="001013C0">
        <w:t>(DEASP)</w:t>
      </w:r>
      <w:r w:rsidR="00524BBE" w:rsidRPr="001013C0">
        <w:t xml:space="preserve"> </w:t>
      </w:r>
      <w:r w:rsidR="002236E2" w:rsidRPr="001013C0">
        <w:t xml:space="preserve">selects jobseekers on a random basis for referral to </w:t>
      </w:r>
      <w:proofErr w:type="spellStart"/>
      <w:r w:rsidR="002236E2" w:rsidRPr="001013C0">
        <w:t>JobPath</w:t>
      </w:r>
      <w:proofErr w:type="spellEnd"/>
      <w:r w:rsidR="002236E2" w:rsidRPr="001013C0">
        <w:t xml:space="preserve"> (p.56)</w:t>
      </w:r>
    </w:p>
    <w:p w:rsidR="00AB2DBA" w:rsidRPr="001013C0" w:rsidRDefault="002236E2" w:rsidP="00F526E7">
      <w:pPr>
        <w:spacing w:after="120" w:line="240" w:lineRule="auto"/>
      </w:pPr>
      <w:r w:rsidRPr="001013C0">
        <w:t xml:space="preserve">The </w:t>
      </w:r>
      <w:r w:rsidR="002E12EC">
        <w:t xml:space="preserve">nature of the non-randomness in </w:t>
      </w:r>
      <w:r w:rsidR="00FD1A95" w:rsidRPr="001013C0">
        <w:t xml:space="preserve">the sample that </w:t>
      </w:r>
      <w:r w:rsidR="002E12EC">
        <w:t xml:space="preserve">finally commenced, </w:t>
      </w:r>
      <w:r w:rsidRPr="001013C0">
        <w:t>as compared with the control group is quite well document</w:t>
      </w:r>
      <w:r w:rsidR="00FD1A95" w:rsidRPr="001013C0">
        <w:t xml:space="preserve">ed, notably </w:t>
      </w:r>
      <w:r w:rsidRPr="001013C0">
        <w:t>with the explanations:</w:t>
      </w:r>
    </w:p>
    <w:p w:rsidR="002236E2" w:rsidRPr="001013C0" w:rsidRDefault="002236E2" w:rsidP="00F526E7">
      <w:pPr>
        <w:pStyle w:val="ListParagraph"/>
        <w:numPr>
          <w:ilvl w:val="0"/>
          <w:numId w:val="9"/>
        </w:numPr>
        <w:spacing w:after="120" w:line="240" w:lineRule="auto"/>
      </w:pPr>
      <w:r w:rsidRPr="001013C0">
        <w:t xml:space="preserve">While the stratified random selection identifies the sample of long-term unemployed people to be referred, it is possible that, at the level of local </w:t>
      </w:r>
      <w:proofErr w:type="spellStart"/>
      <w:r w:rsidRPr="001013C0">
        <w:t>Intreo</w:t>
      </w:r>
      <w:proofErr w:type="spellEnd"/>
      <w:r w:rsidRPr="001013C0">
        <w:t xml:space="preserve"> centres, the sample referred may not match the stratification of duration</w:t>
      </w:r>
      <w:r w:rsidR="00524BBE" w:rsidRPr="001013C0">
        <w:t xml:space="preserve"> </w:t>
      </w:r>
      <w:r w:rsidRPr="001013C0">
        <w:t xml:space="preserve">bands. Not every </w:t>
      </w:r>
      <w:proofErr w:type="spellStart"/>
      <w:r w:rsidRPr="001013C0">
        <w:t>Intreo</w:t>
      </w:r>
      <w:proofErr w:type="spellEnd"/>
      <w:r w:rsidRPr="001013C0">
        <w:t xml:space="preserve"> centre will be able to refer exactly the required number of long-term jobseekers in exactly the</w:t>
      </w:r>
      <w:r w:rsidR="00524BBE" w:rsidRPr="001013C0">
        <w:t xml:space="preserve"> </w:t>
      </w:r>
      <w:r w:rsidRPr="001013C0">
        <w:t>proportions that would correspond to a stratified random selection. / Furthermore, the stratified sampling generates a sample of jobseekers who are referred but do</w:t>
      </w:r>
      <w:r w:rsidR="00524BBE" w:rsidRPr="001013C0">
        <w:t xml:space="preserve"> </w:t>
      </w:r>
      <w:r w:rsidRPr="001013C0">
        <w:t>not</w:t>
      </w:r>
      <w:r w:rsidR="00524BBE" w:rsidRPr="001013C0">
        <w:t xml:space="preserve"> </w:t>
      </w:r>
      <w:r w:rsidRPr="001013C0">
        <w:t>necessarily</w:t>
      </w:r>
      <w:r w:rsidR="00524BBE" w:rsidRPr="001013C0">
        <w:t xml:space="preserve"> </w:t>
      </w:r>
      <w:r w:rsidRPr="001013C0">
        <w:t>commence</w:t>
      </w:r>
      <w:r w:rsidR="00524BBE" w:rsidRPr="001013C0">
        <w:t xml:space="preserve"> </w:t>
      </w:r>
      <w:r w:rsidRPr="001013C0">
        <w:t>the</w:t>
      </w:r>
      <w:r w:rsidR="00524BBE" w:rsidRPr="001013C0">
        <w:t xml:space="preserve"> </w:t>
      </w:r>
      <w:proofErr w:type="spellStart"/>
      <w:r w:rsidRPr="001013C0">
        <w:t>JobPath</w:t>
      </w:r>
      <w:proofErr w:type="spellEnd"/>
      <w:r w:rsidR="00524BBE" w:rsidRPr="001013C0">
        <w:t xml:space="preserve"> </w:t>
      </w:r>
      <w:r w:rsidRPr="001013C0">
        <w:t>service</w:t>
      </w:r>
      <w:r w:rsidR="00524BBE" w:rsidRPr="001013C0">
        <w:t xml:space="preserve"> </w:t>
      </w:r>
      <w:r w:rsidRPr="001013C0">
        <w:t>(see</w:t>
      </w:r>
      <w:r w:rsidR="00524BBE" w:rsidRPr="001013C0">
        <w:t xml:space="preserve"> </w:t>
      </w:r>
      <w:r w:rsidRPr="001013C0">
        <w:t>Section</w:t>
      </w:r>
      <w:r w:rsidR="00524BBE" w:rsidRPr="001013C0">
        <w:t xml:space="preserve"> </w:t>
      </w:r>
      <w:r w:rsidRPr="001013C0">
        <w:t>III).</w:t>
      </w:r>
      <w:r w:rsidR="00524BBE" w:rsidRPr="001013C0">
        <w:t xml:space="preserve"> </w:t>
      </w:r>
      <w:r w:rsidRPr="001013C0">
        <w:t>As</w:t>
      </w:r>
      <w:r w:rsidR="00524BBE" w:rsidRPr="001013C0">
        <w:t xml:space="preserve"> </w:t>
      </w:r>
      <w:r w:rsidRPr="001013C0">
        <w:t>this</w:t>
      </w:r>
      <w:r w:rsidR="00524BBE" w:rsidRPr="001013C0">
        <w:t xml:space="preserve"> </w:t>
      </w:r>
      <w:r w:rsidRPr="001013C0">
        <w:t xml:space="preserve">evaluation measures the impact of receiving the </w:t>
      </w:r>
      <w:proofErr w:type="spellStart"/>
      <w:r w:rsidRPr="001013C0">
        <w:t>JobPath</w:t>
      </w:r>
      <w:proofErr w:type="spellEnd"/>
      <w:r w:rsidRPr="001013C0">
        <w:t xml:space="preserve"> service, being referred is a necessary but not sufficient</w:t>
      </w:r>
      <w:r w:rsidR="00524BBE" w:rsidRPr="001013C0">
        <w:t xml:space="preserve"> </w:t>
      </w:r>
      <w:r w:rsidRPr="001013C0">
        <w:t>condition</w:t>
      </w:r>
      <w:r w:rsidR="00524BBE" w:rsidRPr="001013C0">
        <w:t xml:space="preserve"> </w:t>
      </w:r>
      <w:r w:rsidRPr="001013C0">
        <w:t>for</w:t>
      </w:r>
      <w:r w:rsidR="00524BBE" w:rsidRPr="001013C0">
        <w:t xml:space="preserve"> </w:t>
      </w:r>
      <w:r w:rsidRPr="001013C0">
        <w:t>inclusion</w:t>
      </w:r>
      <w:r w:rsidR="00524BBE" w:rsidRPr="001013C0">
        <w:t xml:space="preserve"> </w:t>
      </w:r>
      <w:r w:rsidRPr="001013C0">
        <w:t>in</w:t>
      </w:r>
      <w:r w:rsidR="00524BBE" w:rsidRPr="001013C0">
        <w:t xml:space="preserve"> </w:t>
      </w:r>
      <w:proofErr w:type="spellStart"/>
      <w:r w:rsidRPr="001013C0">
        <w:t>t</w:t>
      </w:r>
      <w:r w:rsidR="00FA221A" w:rsidRPr="001013C0">
        <w:t>’</w:t>
      </w:r>
      <w:r w:rsidRPr="001013C0">
        <w:t>he</w:t>
      </w:r>
      <w:proofErr w:type="spellEnd"/>
      <w:r w:rsidR="00524BBE" w:rsidRPr="001013C0">
        <w:t xml:space="preserve"> </w:t>
      </w:r>
      <w:r w:rsidRPr="001013C0">
        <w:t>population</w:t>
      </w:r>
      <w:r w:rsidR="00524BBE" w:rsidRPr="001013C0">
        <w:t xml:space="preserve"> </w:t>
      </w:r>
      <w:r w:rsidRPr="001013C0">
        <w:t>of</w:t>
      </w:r>
      <w:r w:rsidR="00524BBE" w:rsidRPr="001013C0">
        <w:t xml:space="preserve"> </w:t>
      </w:r>
      <w:r w:rsidRPr="001013C0">
        <w:t>interest.</w:t>
      </w:r>
      <w:r w:rsidR="00524BBE" w:rsidRPr="001013C0">
        <w:t xml:space="preserve"> </w:t>
      </w:r>
      <w:r w:rsidRPr="001013C0">
        <w:t>When</w:t>
      </w:r>
      <w:r w:rsidR="00524BBE" w:rsidRPr="001013C0">
        <w:t xml:space="preserve"> </w:t>
      </w:r>
      <w:r w:rsidRPr="001013C0">
        <w:t>examining</w:t>
      </w:r>
      <w:r w:rsidR="00524BBE" w:rsidRPr="001013C0">
        <w:t xml:space="preserve"> </w:t>
      </w:r>
      <w:r w:rsidRPr="001013C0">
        <w:t>those</w:t>
      </w:r>
      <w:r w:rsidR="00524BBE" w:rsidRPr="001013C0">
        <w:t xml:space="preserve"> </w:t>
      </w:r>
      <w:r w:rsidRPr="001013C0">
        <w:t xml:space="preserve">who started </w:t>
      </w:r>
      <w:proofErr w:type="spellStart"/>
      <w:r w:rsidRPr="001013C0">
        <w:t>JobPath</w:t>
      </w:r>
      <w:proofErr w:type="spellEnd"/>
      <w:r w:rsidRPr="001013C0">
        <w:t xml:space="preserve"> in Q1 2016 (a subset of those referred) and those who were eligible but not referred, the distribution of the duration of the ongoing claim at that time is markedly different between the two groups.</w:t>
      </w:r>
      <w:r w:rsidR="00524BBE" w:rsidRPr="001013C0">
        <w:t xml:space="preserve"> </w:t>
      </w:r>
      <w:r w:rsidRPr="001013C0">
        <w:t>(p.45)</w:t>
      </w:r>
    </w:p>
    <w:p w:rsidR="002236E2" w:rsidRPr="001013C0" w:rsidRDefault="002236E2" w:rsidP="00F526E7">
      <w:pPr>
        <w:pStyle w:val="ListParagraph"/>
        <w:numPr>
          <w:ilvl w:val="0"/>
          <w:numId w:val="9"/>
        </w:numPr>
        <w:spacing w:after="120" w:line="240" w:lineRule="auto"/>
      </w:pPr>
      <w:r w:rsidRPr="001013C0">
        <w:lastRenderedPageBreak/>
        <w:t xml:space="preserve">At the point of commencement (not referral), </w:t>
      </w:r>
      <w:proofErr w:type="spellStart"/>
      <w:r w:rsidRPr="001013C0">
        <w:t>JobPath</w:t>
      </w:r>
      <w:proofErr w:type="spellEnd"/>
      <w:r w:rsidRPr="001013C0">
        <w:t xml:space="preserve"> participants have</w:t>
      </w:r>
      <w:r w:rsidR="00524BBE" w:rsidRPr="001013C0">
        <w:t xml:space="preserve"> </w:t>
      </w:r>
      <w:r w:rsidRPr="001013C0">
        <w:t>longer</w:t>
      </w:r>
      <w:r w:rsidR="00524BBE" w:rsidRPr="001013C0">
        <w:t xml:space="preserve"> </w:t>
      </w:r>
      <w:r w:rsidRPr="001013C0">
        <w:t>durations</w:t>
      </w:r>
      <w:r w:rsidR="00524BBE" w:rsidRPr="001013C0">
        <w:t xml:space="preserve"> </w:t>
      </w:r>
      <w:r w:rsidRPr="001013C0">
        <w:t>than</w:t>
      </w:r>
      <w:r w:rsidR="00524BBE" w:rsidRPr="001013C0">
        <w:t xml:space="preserve"> </w:t>
      </w:r>
      <w:r w:rsidRPr="001013C0">
        <w:t>in</w:t>
      </w:r>
      <w:r w:rsidR="00524BBE" w:rsidRPr="001013C0">
        <w:t xml:space="preserve"> </w:t>
      </w:r>
      <w:r w:rsidRPr="001013C0">
        <w:t>the</w:t>
      </w:r>
      <w:r w:rsidR="00524BBE" w:rsidRPr="001013C0">
        <w:t xml:space="preserve"> </w:t>
      </w:r>
      <w:r w:rsidRPr="001013C0">
        <w:t>comparison</w:t>
      </w:r>
      <w:r w:rsidR="00524BBE" w:rsidRPr="001013C0">
        <w:t xml:space="preserve"> </w:t>
      </w:r>
      <w:r w:rsidRPr="001013C0">
        <w:t>group</w:t>
      </w:r>
      <w:r w:rsidR="00524BBE" w:rsidRPr="001013C0">
        <w:t xml:space="preserve"> </w:t>
      </w:r>
      <w:r w:rsidRPr="001013C0">
        <w:t>and,</w:t>
      </w:r>
      <w:r w:rsidR="00524BBE" w:rsidRPr="001013C0">
        <w:t xml:space="preserve"> </w:t>
      </w:r>
      <w:r w:rsidRPr="001013C0">
        <w:t>consequentially,</w:t>
      </w:r>
      <w:r w:rsidR="00524BBE" w:rsidRPr="001013C0">
        <w:t xml:space="preserve"> </w:t>
      </w:r>
      <w:r w:rsidRPr="001013C0">
        <w:t>lower</w:t>
      </w:r>
      <w:r w:rsidR="00524BBE" w:rsidRPr="001013C0">
        <w:t xml:space="preserve"> </w:t>
      </w:r>
      <w:r w:rsidRPr="001013C0">
        <w:t>mean earnings in previous years. / The</w:t>
      </w:r>
      <w:r w:rsidR="00524BBE" w:rsidRPr="001013C0">
        <w:t xml:space="preserve"> </w:t>
      </w:r>
      <w:r w:rsidRPr="001013C0">
        <w:t>reweighting</w:t>
      </w:r>
      <w:r w:rsidR="00524BBE" w:rsidRPr="001013C0">
        <w:t xml:space="preserve"> </w:t>
      </w:r>
      <w:r w:rsidRPr="001013C0">
        <w:t>based</w:t>
      </w:r>
      <w:r w:rsidR="00524BBE" w:rsidRPr="001013C0">
        <w:t xml:space="preserve"> </w:t>
      </w:r>
      <w:r w:rsidRPr="001013C0">
        <w:t>on</w:t>
      </w:r>
      <w:r w:rsidR="00524BBE" w:rsidRPr="001013C0">
        <w:t xml:space="preserve"> </w:t>
      </w:r>
      <w:r w:rsidRPr="001013C0">
        <w:t>inverse</w:t>
      </w:r>
      <w:r w:rsidR="00524BBE" w:rsidRPr="001013C0">
        <w:t xml:space="preserve"> </w:t>
      </w:r>
      <w:r w:rsidRPr="001013C0">
        <w:t>probability</w:t>
      </w:r>
      <w:r w:rsidR="00524BBE" w:rsidRPr="001013C0">
        <w:t xml:space="preserve"> </w:t>
      </w:r>
      <w:r w:rsidRPr="001013C0">
        <w:t>of</w:t>
      </w:r>
      <w:r w:rsidR="00524BBE" w:rsidRPr="001013C0">
        <w:t xml:space="preserve"> </w:t>
      </w:r>
      <w:r w:rsidRPr="001013C0">
        <w:t>treatment</w:t>
      </w:r>
      <w:r w:rsidR="00524BBE" w:rsidRPr="001013C0">
        <w:t xml:space="preserve"> </w:t>
      </w:r>
      <w:r w:rsidRPr="001013C0">
        <w:t>gives</w:t>
      </w:r>
      <w:r w:rsidR="00524BBE" w:rsidRPr="001013C0">
        <w:t xml:space="preserve"> </w:t>
      </w:r>
      <w:r w:rsidRPr="001013C0">
        <w:t>two</w:t>
      </w:r>
      <w:r w:rsidR="00524BBE" w:rsidRPr="001013C0">
        <w:t xml:space="preserve"> </w:t>
      </w:r>
      <w:r w:rsidRPr="001013C0">
        <w:t>groups</w:t>
      </w:r>
      <w:r w:rsidR="00524BBE" w:rsidRPr="001013C0">
        <w:t xml:space="preserve"> </w:t>
      </w:r>
      <w:r w:rsidRPr="001013C0">
        <w:t>that</w:t>
      </w:r>
      <w:r w:rsidR="00524BBE" w:rsidRPr="001013C0">
        <w:t xml:space="preserve"> </w:t>
      </w:r>
      <w:r w:rsidRPr="001013C0">
        <w:t>are,</w:t>
      </w:r>
      <w:r w:rsidR="00524BBE" w:rsidRPr="001013C0">
        <w:t xml:space="preserve"> </w:t>
      </w:r>
      <w:r w:rsidRPr="001013C0">
        <w:t>on examination</w:t>
      </w:r>
      <w:r w:rsidR="00524BBE" w:rsidRPr="001013C0">
        <w:t xml:space="preserve"> </w:t>
      </w:r>
      <w:r w:rsidRPr="001013C0">
        <w:t>of</w:t>
      </w:r>
      <w:r w:rsidR="00524BBE" w:rsidRPr="001013C0">
        <w:t xml:space="preserve"> </w:t>
      </w:r>
      <w:r w:rsidRPr="001013C0">
        <w:t>key</w:t>
      </w:r>
      <w:r w:rsidR="00524BBE" w:rsidRPr="001013C0">
        <w:t xml:space="preserve"> </w:t>
      </w:r>
      <w:r w:rsidRPr="001013C0">
        <w:t>baseline</w:t>
      </w:r>
      <w:r w:rsidR="00524BBE" w:rsidRPr="001013C0">
        <w:t xml:space="preserve"> </w:t>
      </w:r>
      <w:r w:rsidRPr="001013C0">
        <w:t>covariates,</w:t>
      </w:r>
      <w:r w:rsidR="00524BBE" w:rsidRPr="001013C0">
        <w:t xml:space="preserve"> </w:t>
      </w:r>
      <w:r w:rsidRPr="001013C0">
        <w:t>well</w:t>
      </w:r>
      <w:r w:rsidR="00524BBE" w:rsidRPr="001013C0">
        <w:t xml:space="preserve"> </w:t>
      </w:r>
      <w:r w:rsidRPr="001013C0">
        <w:t>balanced. (p.50)</w:t>
      </w:r>
      <w:r w:rsidR="00FD1A95" w:rsidRPr="001013C0">
        <w:t>.</w:t>
      </w:r>
    </w:p>
    <w:p w:rsidR="009E5CC8" w:rsidRPr="001013C0" w:rsidRDefault="009E5CC8" w:rsidP="00F526E7">
      <w:pPr>
        <w:spacing w:after="120" w:line="240" w:lineRule="auto"/>
      </w:pPr>
      <w:r w:rsidRPr="001013C0">
        <w:t xml:space="preserve">p.27 the </w:t>
      </w:r>
      <w:proofErr w:type="spellStart"/>
      <w:r w:rsidRPr="001013C0">
        <w:t>Sianesi</w:t>
      </w:r>
      <w:proofErr w:type="spellEnd"/>
      <w:r w:rsidRPr="001013C0">
        <w:t xml:space="preserve"> (2004) estimation approach as described here, “the control group or basis of comparison is those people</w:t>
      </w:r>
      <w:r w:rsidR="00524BBE" w:rsidRPr="001013C0">
        <w:t xml:space="preserve"> </w:t>
      </w:r>
      <w:r w:rsidRPr="001013C0">
        <w:t>who</w:t>
      </w:r>
      <w:r w:rsidR="00524BBE" w:rsidRPr="001013C0">
        <w:t xml:space="preserve"> </w:t>
      </w:r>
      <w:r w:rsidRPr="001013C0">
        <w:t>are</w:t>
      </w:r>
      <w:r w:rsidR="00524BBE" w:rsidRPr="001013C0">
        <w:t xml:space="preserve"> </w:t>
      </w:r>
      <w:r w:rsidRPr="001013C0">
        <w:t>jobseekers</w:t>
      </w:r>
      <w:r w:rsidR="00524BBE" w:rsidRPr="001013C0">
        <w:t xml:space="preserve"> </w:t>
      </w:r>
      <w:r w:rsidRPr="001013C0">
        <w:t>up</w:t>
      </w:r>
      <w:r w:rsidR="00524BBE" w:rsidRPr="001013C0">
        <w:t xml:space="preserve"> </w:t>
      </w:r>
      <w:r w:rsidRPr="001013C0">
        <w:t>until</w:t>
      </w:r>
      <w:r w:rsidR="00524BBE" w:rsidRPr="001013C0">
        <w:t xml:space="preserve"> </w:t>
      </w:r>
      <w:r w:rsidRPr="001013C0">
        <w:t>a</w:t>
      </w:r>
      <w:r w:rsidR="00524BBE" w:rsidRPr="001013C0">
        <w:t xml:space="preserve"> </w:t>
      </w:r>
      <w:r w:rsidRPr="001013C0">
        <w:t>given</w:t>
      </w:r>
      <w:r w:rsidR="00524BBE" w:rsidRPr="001013C0">
        <w:t xml:space="preserve"> </w:t>
      </w:r>
      <w:r w:rsidRPr="001013C0">
        <w:t>point</w:t>
      </w:r>
      <w:r w:rsidR="00524BBE" w:rsidRPr="001013C0">
        <w:t xml:space="preserve"> </w:t>
      </w:r>
      <w:r w:rsidRPr="001013C0">
        <w:t>in</w:t>
      </w:r>
      <w:r w:rsidR="00524BBE" w:rsidRPr="001013C0">
        <w:t xml:space="preserve"> </w:t>
      </w:r>
      <w:r w:rsidRPr="001013C0">
        <w:t>time</w:t>
      </w:r>
      <w:r w:rsidR="00524BBE" w:rsidRPr="001013C0">
        <w:t xml:space="preserve"> </w:t>
      </w:r>
      <w:r w:rsidRPr="001013C0">
        <w:t>and</w:t>
      </w:r>
      <w:r w:rsidR="00524BBE" w:rsidRPr="001013C0">
        <w:t xml:space="preserve"> </w:t>
      </w:r>
      <w:r w:rsidRPr="001013C0">
        <w:t>have</w:t>
      </w:r>
      <w:r w:rsidR="00524BBE" w:rsidRPr="001013C0">
        <w:t xml:space="preserve"> </w:t>
      </w:r>
      <w:r w:rsidRPr="001013C0">
        <w:t>not</w:t>
      </w:r>
      <w:r w:rsidR="00524BBE" w:rsidRPr="001013C0">
        <w:t xml:space="preserve"> </w:t>
      </w:r>
      <w:r w:rsidRPr="001013C0">
        <w:t>taken</w:t>
      </w:r>
      <w:r w:rsidR="00524BBE" w:rsidRPr="001013C0">
        <w:t xml:space="preserve"> </w:t>
      </w:r>
      <w:r w:rsidRPr="001013C0">
        <w:t>part</w:t>
      </w:r>
      <w:r w:rsidR="00524BBE" w:rsidRPr="001013C0">
        <w:t xml:space="preserve"> </w:t>
      </w:r>
      <w:r w:rsidRPr="001013C0">
        <w:t>in</w:t>
      </w:r>
      <w:r w:rsidR="00524BBE" w:rsidRPr="001013C0">
        <w:t xml:space="preserve"> </w:t>
      </w:r>
      <w:r w:rsidRPr="001013C0">
        <w:t>the programme</w:t>
      </w:r>
      <w:r w:rsidR="00524BBE" w:rsidRPr="001013C0">
        <w:t xml:space="preserve"> </w:t>
      </w:r>
      <w:r w:rsidRPr="001013C0">
        <w:t>at</w:t>
      </w:r>
      <w:r w:rsidR="00524BBE" w:rsidRPr="001013C0">
        <w:t xml:space="preserve"> </w:t>
      </w:r>
      <w:r w:rsidRPr="001013C0">
        <w:t>least</w:t>
      </w:r>
      <w:r w:rsidR="00524BBE" w:rsidRPr="001013C0">
        <w:t xml:space="preserve"> </w:t>
      </w:r>
      <w:r w:rsidRPr="001013C0">
        <w:t>up</w:t>
      </w:r>
      <w:r w:rsidR="00524BBE" w:rsidRPr="001013C0">
        <w:t xml:space="preserve"> </w:t>
      </w:r>
      <w:r w:rsidRPr="001013C0">
        <w:t>to</w:t>
      </w:r>
      <w:r w:rsidR="00524BBE" w:rsidRPr="001013C0">
        <w:t xml:space="preserve"> </w:t>
      </w:r>
      <w:r w:rsidRPr="001013C0">
        <w:t xml:space="preserve">then”, does nothing to correct for </w:t>
      </w:r>
      <w:r w:rsidR="00CA4E5B" w:rsidRPr="001013C0">
        <w:t xml:space="preserve">selection effects arising from time-variation in jobseeker circumstances, </w:t>
      </w:r>
      <w:r w:rsidRPr="001013C0">
        <w:t xml:space="preserve">e.g. </w:t>
      </w:r>
      <w:r w:rsidR="007B409F" w:rsidRPr="001013C0">
        <w:t xml:space="preserve">when </w:t>
      </w:r>
      <w:r w:rsidRPr="001013C0">
        <w:t xml:space="preserve">jobseekers who are pregnant, ill, </w:t>
      </w:r>
      <w:r w:rsidR="007B409F" w:rsidRPr="001013C0">
        <w:t xml:space="preserve">anticipating </w:t>
      </w:r>
      <w:r w:rsidRPr="001013C0">
        <w:t>lon</w:t>
      </w:r>
      <w:r w:rsidR="002E12EC">
        <w:t xml:space="preserve">g-term caring responsibilities soon, </w:t>
      </w:r>
      <w:r w:rsidRPr="001013C0">
        <w:t xml:space="preserve">etc. </w:t>
      </w:r>
      <w:r w:rsidR="002E12EC">
        <w:t xml:space="preserve">for that reason </w:t>
      </w:r>
      <w:r w:rsidR="007B409F" w:rsidRPr="001013C0">
        <w:t>do not participate in training and also do not ent</w:t>
      </w:r>
      <w:r w:rsidR="002E12EC">
        <w:t>er employment.</w:t>
      </w:r>
    </w:p>
    <w:p w:rsidR="007B409F" w:rsidRPr="001013C0" w:rsidRDefault="007B409F" w:rsidP="00F526E7">
      <w:pPr>
        <w:spacing w:after="120" w:line="240" w:lineRule="auto"/>
      </w:pPr>
      <w:r w:rsidRPr="001013C0">
        <w:t>p.27 O’Connell (2011) do</w:t>
      </w:r>
      <w:r w:rsidR="003405B4" w:rsidRPr="001013C0">
        <w:t>es not appear in the references (it might mean O’Connell et al which is actually in the references under K (Kelly)!</w:t>
      </w:r>
    </w:p>
    <w:p w:rsidR="007B409F" w:rsidRPr="001013C0" w:rsidRDefault="007B409F" w:rsidP="00F526E7">
      <w:pPr>
        <w:spacing w:after="120" w:line="240" w:lineRule="auto"/>
      </w:pPr>
      <w:proofErr w:type="gramStart"/>
      <w:r w:rsidRPr="001013C0">
        <w:t>p.27-28</w:t>
      </w:r>
      <w:proofErr w:type="gramEnd"/>
      <w:r w:rsidRPr="001013C0">
        <w:t xml:space="preserve"> Kelly et al . (2015) and Cronin et al. (2017) </w:t>
      </w:r>
      <w:r w:rsidR="00CA4E5B" w:rsidRPr="001013C0">
        <w:t xml:space="preserve">are described with treatment group/control </w:t>
      </w:r>
      <w:r w:rsidR="002E12EC">
        <w:t xml:space="preserve">group language, but again they </w:t>
      </w:r>
      <w:r w:rsidR="00CA4E5B" w:rsidRPr="001013C0">
        <w:t>do not appear to correct for selection effects arising from time-variation in job</w:t>
      </w:r>
      <w:r w:rsidR="002E12EC">
        <w:t xml:space="preserve">seeker circumstances, e.g. </w:t>
      </w:r>
      <w:r w:rsidR="00CA4E5B" w:rsidRPr="001013C0">
        <w:t xml:space="preserve">a jobseeker </w:t>
      </w:r>
      <w:r w:rsidR="002E12EC">
        <w:t>might see</w:t>
      </w:r>
      <w:r w:rsidR="00CA4E5B" w:rsidRPr="001013C0">
        <w:t xml:space="preserve"> a business opportunity </w:t>
      </w:r>
      <w:r w:rsidR="002E12EC">
        <w:t>and therefore start on BWEA and also run</w:t>
      </w:r>
      <w:r w:rsidR="00CA4E5B" w:rsidRPr="001013C0">
        <w:t xml:space="preserve"> a successful busin</w:t>
      </w:r>
      <w:r w:rsidR="00FD1A95" w:rsidRPr="001013C0">
        <w:t xml:space="preserve">ess, </w:t>
      </w:r>
      <w:r w:rsidR="002E12EC">
        <w:t>but that is not evidence of BWEA has a causal impact.</w:t>
      </w:r>
    </w:p>
    <w:p w:rsidR="009453EB" w:rsidRPr="001013C0" w:rsidRDefault="009453EB" w:rsidP="00F526E7">
      <w:pPr>
        <w:pStyle w:val="Heading3"/>
        <w:spacing w:before="0" w:after="120" w:line="240" w:lineRule="auto"/>
        <w:rPr>
          <w:color w:val="auto"/>
        </w:rPr>
      </w:pPr>
      <w:bookmarkStart w:id="7" w:name="_Toc32574269"/>
      <w:r w:rsidRPr="001013C0">
        <w:rPr>
          <w:color w:val="auto"/>
        </w:rPr>
        <w:t>p29 V. Data and Description</w:t>
      </w:r>
      <w:bookmarkEnd w:id="7"/>
    </w:p>
    <w:p w:rsidR="00FD1A95" w:rsidRPr="001013C0" w:rsidRDefault="00FD1A95" w:rsidP="00F526E7">
      <w:pPr>
        <w:spacing w:after="120" w:line="240" w:lineRule="auto"/>
      </w:pPr>
      <w:r w:rsidRPr="001013C0">
        <w:t xml:space="preserve">p.29 Harmon, </w:t>
      </w:r>
      <w:proofErr w:type="spellStart"/>
      <w:r w:rsidRPr="001013C0">
        <w:t>Morrin</w:t>
      </w:r>
      <w:proofErr w:type="spellEnd"/>
      <w:r w:rsidRPr="001013C0">
        <w:t xml:space="preserve"> and Murphy 2011 </w:t>
      </w:r>
      <w:r w:rsidRPr="001013C0">
        <w:sym w:font="Wingdings" w:char="F0E0"/>
      </w:r>
      <w:r w:rsidRPr="001013C0">
        <w:t xml:space="preserve"> This is a citation has three author names but the other citations of articles with 3 authors use the style “Kelly et al. (2015)” – ideally the treatment of 3-author articles would be standardised (OECD switched to citations with up to 3 names).</w:t>
      </w:r>
    </w:p>
    <w:p w:rsidR="005367AA" w:rsidRPr="001013C0" w:rsidRDefault="00CA4E5B" w:rsidP="00F526E7">
      <w:pPr>
        <w:spacing w:after="120" w:line="240" w:lineRule="auto"/>
      </w:pPr>
      <w:r w:rsidRPr="001013C0">
        <w:t xml:space="preserve">p.29 The JLD data </w:t>
      </w:r>
      <w:r w:rsidR="005367AA" w:rsidRPr="001013C0">
        <w:t xml:space="preserve">linking administrative data sets, informed by the 2011 overview, with individual data “re-arranged as a series of episodes” </w:t>
      </w:r>
      <w:r w:rsidR="00C12225" w:rsidRPr="001013C0">
        <w:t>(with episodes defined by employment, unemployment status, participation in a programme), is interestingly different from a panel data structure</w:t>
      </w:r>
      <w:r w:rsidR="00CC6E64" w:rsidRPr="001013C0">
        <w:t>. T</w:t>
      </w:r>
      <w:r w:rsidR="003405B4" w:rsidRPr="001013C0">
        <w:t xml:space="preserve">his is the first time I’ve seen </w:t>
      </w:r>
      <w:r w:rsidR="00CC6E64" w:rsidRPr="001013C0">
        <w:t>a description of the episode data structure (where the data is stored as “points of transition from one status to another”</w:t>
      </w:r>
      <w:proofErr w:type="gramStart"/>
      <w:r w:rsidR="00CC6E64" w:rsidRPr="001013C0">
        <w:t>)</w:t>
      </w:r>
      <w:r w:rsidR="003405B4" w:rsidRPr="001013C0">
        <w:t>(</w:t>
      </w:r>
      <w:proofErr w:type="gramEnd"/>
      <w:r w:rsidR="003405B4" w:rsidRPr="001013C0">
        <w:t xml:space="preserve">though I’m not an expert). </w:t>
      </w:r>
      <w:r w:rsidR="00CC6E64" w:rsidRPr="001013C0">
        <w:t>The</w:t>
      </w:r>
      <w:r w:rsidR="00C12225" w:rsidRPr="001013C0">
        <w:t xml:space="preserve"> approach </w:t>
      </w:r>
      <w:r w:rsidR="005367AA" w:rsidRPr="001013C0">
        <w:t xml:space="preserve">facilitates </w:t>
      </w:r>
      <w:r w:rsidR="003405B4" w:rsidRPr="001013C0">
        <w:t xml:space="preserve">a focus on transitions and duration in each episode, flexibly defined </w:t>
      </w:r>
      <w:r w:rsidR="00C12225" w:rsidRPr="001013C0">
        <w:t>(</w:t>
      </w:r>
      <w:r w:rsidR="00F6751C" w:rsidRPr="001013C0">
        <w:t xml:space="preserve">e.g. </w:t>
      </w:r>
      <w:r w:rsidR="003405B4" w:rsidRPr="001013C0">
        <w:t xml:space="preserve">one could look at </w:t>
      </w:r>
      <w:r w:rsidR="00C12225" w:rsidRPr="001013C0">
        <w:t xml:space="preserve">duration of participation in any education vs. duration of participation </w:t>
      </w:r>
      <w:r w:rsidR="00F6751C" w:rsidRPr="001013C0">
        <w:t xml:space="preserve">in </w:t>
      </w:r>
      <w:r w:rsidR="00C12225" w:rsidRPr="001013C0">
        <w:t>the c</w:t>
      </w:r>
      <w:r w:rsidR="00F6751C" w:rsidRPr="001013C0">
        <w:t xml:space="preserve">urrent course of education). </w:t>
      </w:r>
      <w:r w:rsidR="00CC6E64" w:rsidRPr="001013C0">
        <w:t xml:space="preserve">The </w:t>
      </w:r>
      <w:r w:rsidR="003405B4" w:rsidRPr="001013C0">
        <w:t xml:space="preserve">episode data structure is </w:t>
      </w:r>
      <w:r w:rsidR="00CC6E64" w:rsidRPr="001013C0">
        <w:t xml:space="preserve">still </w:t>
      </w:r>
      <w:r w:rsidR="003405B4" w:rsidRPr="001013C0">
        <w:t xml:space="preserve">only </w:t>
      </w:r>
      <w:r w:rsidR="00BE18D5">
        <w:t>in principle</w:t>
      </w:r>
      <w:r w:rsidR="00CC6E64" w:rsidRPr="001013C0">
        <w:t xml:space="preserve"> </w:t>
      </w:r>
      <w:r w:rsidR="003405B4" w:rsidRPr="001013C0">
        <w:t xml:space="preserve">a different technique for storing the same </w:t>
      </w:r>
      <w:r w:rsidR="00CC6E64" w:rsidRPr="001013C0">
        <w:t xml:space="preserve">information, with the advantage of being much more compact for </w:t>
      </w:r>
      <w:r w:rsidR="00BE18D5">
        <w:t xml:space="preserve">certain </w:t>
      </w:r>
      <w:r w:rsidR="00CC6E64" w:rsidRPr="001013C0">
        <w:t>type</w:t>
      </w:r>
      <w:r w:rsidR="00BE18D5">
        <w:t>s</w:t>
      </w:r>
      <w:r w:rsidR="00CC6E64" w:rsidRPr="001013C0">
        <w:t xml:space="preserve"> of data. The </w:t>
      </w:r>
      <w:r w:rsidR="00F6751C" w:rsidRPr="001013C0">
        <w:t xml:space="preserve">episode data </w:t>
      </w:r>
      <w:r w:rsidR="00CC6E64" w:rsidRPr="001013C0">
        <w:t xml:space="preserve">could </w:t>
      </w:r>
      <w:r w:rsidR="00F6751C" w:rsidRPr="001013C0">
        <w:t xml:space="preserve">include variables such as change of </w:t>
      </w:r>
      <w:proofErr w:type="gramStart"/>
      <w:r w:rsidR="00F6751C" w:rsidRPr="001013C0">
        <w:t>address,</w:t>
      </w:r>
      <w:proofErr w:type="gramEnd"/>
      <w:r w:rsidR="00F6751C" w:rsidRPr="001013C0">
        <w:t xml:space="preserve"> </w:t>
      </w:r>
      <w:r w:rsidR="003405B4" w:rsidRPr="001013C0">
        <w:t>youngest child</w:t>
      </w:r>
      <w:r w:rsidR="00CC6E64" w:rsidRPr="001013C0">
        <w:t xml:space="preserve"> starts school</w:t>
      </w:r>
      <w:r w:rsidR="003405B4" w:rsidRPr="001013C0">
        <w:t>, start/</w:t>
      </w:r>
      <w:r w:rsidR="00F6751C" w:rsidRPr="001013C0">
        <w:t>end of inter</w:t>
      </w:r>
      <w:r w:rsidR="00CC6E64" w:rsidRPr="001013C0">
        <w:t xml:space="preserve">mittent health conditions, etc. They could be </w:t>
      </w:r>
      <w:r w:rsidR="003405B4" w:rsidRPr="001013C0">
        <w:t xml:space="preserve">processed into </w:t>
      </w:r>
      <w:r w:rsidR="00F6751C" w:rsidRPr="001013C0">
        <w:t xml:space="preserve">panel data </w:t>
      </w:r>
      <w:r w:rsidR="00483AA7" w:rsidRPr="001013C0">
        <w:t xml:space="preserve">form </w:t>
      </w:r>
      <w:r w:rsidR="00CC6E64" w:rsidRPr="001013C0">
        <w:t xml:space="preserve">i.e. </w:t>
      </w:r>
      <w:r w:rsidR="00483AA7" w:rsidRPr="001013C0">
        <w:t>snapsho</w:t>
      </w:r>
      <w:r w:rsidR="00CC6E64" w:rsidRPr="001013C0">
        <w:t xml:space="preserve">ts of the </w:t>
      </w:r>
      <w:r w:rsidR="003405B4" w:rsidRPr="001013C0">
        <w:t xml:space="preserve">individual’s </w:t>
      </w:r>
      <w:r w:rsidR="00CC6E64" w:rsidRPr="001013C0">
        <w:t xml:space="preserve">characteristics </w:t>
      </w:r>
      <w:r w:rsidR="00483AA7" w:rsidRPr="001013C0">
        <w:t xml:space="preserve">at </w:t>
      </w:r>
      <w:r w:rsidR="003405B4" w:rsidRPr="001013C0">
        <w:t xml:space="preserve">a series of </w:t>
      </w:r>
      <w:r w:rsidR="00483AA7" w:rsidRPr="001013C0">
        <w:t xml:space="preserve">fixed </w:t>
      </w:r>
      <w:r w:rsidR="00F6751C" w:rsidRPr="001013C0">
        <w:t>date</w:t>
      </w:r>
      <w:r w:rsidR="003405B4" w:rsidRPr="001013C0">
        <w:t>s</w:t>
      </w:r>
      <w:r w:rsidR="00CC6E64" w:rsidRPr="001013C0">
        <w:t>.</w:t>
      </w:r>
    </w:p>
    <w:p w:rsidR="005A5A6B" w:rsidRPr="001013C0" w:rsidRDefault="00CC6E64" w:rsidP="00F526E7">
      <w:pPr>
        <w:spacing w:after="120" w:line="240" w:lineRule="auto"/>
      </w:pPr>
      <w:r w:rsidRPr="001013C0">
        <w:t xml:space="preserve">p.30 “what appear to be data entry errors are excluded by dropping observations where: * earnings per week were greater than €352…” </w:t>
      </w:r>
      <w:r w:rsidR="007916A0" w:rsidRPr="001013C0">
        <w:t xml:space="preserve">This statement needs explanation/clarification. </w:t>
      </w:r>
      <w:r w:rsidRPr="001013C0">
        <w:t>Average e</w:t>
      </w:r>
      <w:r w:rsidR="005A5A6B" w:rsidRPr="001013C0">
        <w:t>arnings in 2016 were about</w:t>
      </w:r>
      <w:r w:rsidRPr="001013C0">
        <w:t xml:space="preserve"> 700€ </w:t>
      </w:r>
      <w:proofErr w:type="spellStart"/>
      <w:r w:rsidRPr="001013C0">
        <w:t>pw</w:t>
      </w:r>
      <w:proofErr w:type="spellEnd"/>
      <w:r w:rsidRPr="001013C0">
        <w:t xml:space="preserve"> (</w:t>
      </w:r>
      <w:hyperlink r:id="rId9" w:history="1">
        <w:r w:rsidR="005A5A6B" w:rsidRPr="001013C0">
          <w:rPr>
            <w:rStyle w:val="Hyperlink"/>
            <w:color w:val="auto"/>
          </w:rPr>
          <w:t>www.cso.ie/en/statistics/earnings/earningsandlabourcosts/</w:t>
        </w:r>
      </w:hyperlink>
      <w:r w:rsidR="005A5A6B" w:rsidRPr="001013C0">
        <w:t xml:space="preserve">) </w:t>
      </w:r>
      <w:r w:rsidR="007916A0" w:rsidRPr="001013C0">
        <w:t xml:space="preserve">there is no obvious reason for </w:t>
      </w:r>
      <w:r w:rsidR="005A5A6B" w:rsidRPr="001013C0">
        <w:t xml:space="preserve">earnings above half this level </w:t>
      </w:r>
      <w:r w:rsidR="007916A0" w:rsidRPr="001013C0">
        <w:t xml:space="preserve">to </w:t>
      </w:r>
      <w:r w:rsidR="005A5A6B" w:rsidRPr="001013C0">
        <w:t>be data entry errors</w:t>
      </w:r>
      <w:r w:rsidR="007916A0" w:rsidRPr="001013C0">
        <w:t xml:space="preserve">. </w:t>
      </w:r>
      <w:r w:rsidR="005A5A6B" w:rsidRPr="001013C0">
        <w:t xml:space="preserve">The data include the earnings of individuals in full-time work and off </w:t>
      </w:r>
      <w:r w:rsidR="007916A0" w:rsidRPr="001013C0">
        <w:t xml:space="preserve">all </w:t>
      </w:r>
      <w:r w:rsidR="005A5A6B" w:rsidRPr="001013C0">
        <w:t>benefits</w:t>
      </w:r>
      <w:r w:rsidR="007916A0" w:rsidRPr="001013C0">
        <w:t xml:space="preserve"> (data collected by the Revenue Commissioners)</w:t>
      </w:r>
      <w:r w:rsidR="005A5A6B" w:rsidRPr="001013C0">
        <w:t xml:space="preserve">. Possibly </w:t>
      </w:r>
      <w:r w:rsidR="002E12EC">
        <w:t xml:space="preserve">the text could mention that this </w:t>
      </w:r>
      <w:r w:rsidR="005A5A6B" w:rsidRPr="001013C0">
        <w:t xml:space="preserve">observation-dropping procedure is applied </w:t>
      </w:r>
      <w:r w:rsidR="007916A0" w:rsidRPr="001013C0">
        <w:t>only i</w:t>
      </w:r>
      <w:r w:rsidR="002E12EC">
        <w:t xml:space="preserve">n the </w:t>
      </w:r>
      <w:r w:rsidR="005A5A6B" w:rsidRPr="001013C0">
        <w:t xml:space="preserve">year that </w:t>
      </w:r>
      <w:r w:rsidR="002E12EC">
        <w:t>qualifies</w:t>
      </w:r>
      <w:r w:rsidR="005A5A6B" w:rsidRPr="001013C0">
        <w:t xml:space="preserve"> the person as </w:t>
      </w:r>
      <w:r w:rsidR="007916A0" w:rsidRPr="001013C0">
        <w:t xml:space="preserve">statistically </w:t>
      </w:r>
      <w:r w:rsidR="005A5A6B" w:rsidRPr="001013C0">
        <w:t>“long-term unemployed”</w:t>
      </w:r>
      <w:r w:rsidR="007916A0" w:rsidRPr="001013C0">
        <w:t>? (</w:t>
      </w:r>
      <w:proofErr w:type="gramStart"/>
      <w:r w:rsidR="005A5A6B" w:rsidRPr="001013C0">
        <w:t>in</w:t>
      </w:r>
      <w:proofErr w:type="gramEnd"/>
      <w:r w:rsidR="005A5A6B" w:rsidRPr="001013C0">
        <w:t xml:space="preserve"> administrative data </w:t>
      </w:r>
      <w:r w:rsidR="007916A0" w:rsidRPr="001013C0">
        <w:t xml:space="preserve">in some countries </w:t>
      </w:r>
      <w:r w:rsidR="005A5A6B" w:rsidRPr="001013C0">
        <w:t xml:space="preserve">a person with </w:t>
      </w:r>
      <w:r w:rsidR="002E12EC">
        <w:t xml:space="preserve">high </w:t>
      </w:r>
      <w:r w:rsidR="005A5A6B" w:rsidRPr="001013C0">
        <w:t xml:space="preserve">earnings </w:t>
      </w:r>
      <w:r w:rsidR="002E12EC">
        <w:t xml:space="preserve">in a recent </w:t>
      </w:r>
      <w:r w:rsidR="005A5A6B" w:rsidRPr="001013C0">
        <w:t xml:space="preserve">week </w:t>
      </w:r>
      <w:r w:rsidR="007916A0" w:rsidRPr="001013C0">
        <w:t>can still be long-term unemployed, perhaps not in Ireland?).</w:t>
      </w:r>
    </w:p>
    <w:p w:rsidR="00E94C4C" w:rsidRPr="001013C0" w:rsidRDefault="00FA221A" w:rsidP="00F526E7">
      <w:pPr>
        <w:spacing w:after="120" w:line="240" w:lineRule="auto"/>
      </w:pPr>
      <w:r w:rsidRPr="001013C0">
        <w:t>p.31 “</w:t>
      </w:r>
      <w:proofErr w:type="gramStart"/>
      <w:r w:rsidRPr="001013C0">
        <w:t>..the</w:t>
      </w:r>
      <w:proofErr w:type="gramEnd"/>
      <w:r w:rsidRPr="001013C0">
        <w:t xml:space="preserve"> mean earnings of the control group</w:t>
      </w:r>
      <w:r w:rsidR="00524BBE" w:rsidRPr="001013C0">
        <w:t xml:space="preserve"> </w:t>
      </w:r>
      <w:r w:rsidRPr="001013C0">
        <w:t>are higher than the treatment group and the mean duration in days of unemployment for the treatment group is</w:t>
      </w:r>
      <w:r w:rsidR="00524BBE" w:rsidRPr="001013C0">
        <w:t xml:space="preserve"> </w:t>
      </w:r>
      <w:r w:rsidRPr="001013C0">
        <w:t xml:space="preserve">slightly </w:t>
      </w:r>
      <w:r w:rsidR="00A77FD3" w:rsidRPr="001013C0">
        <w:t>higher than the control group.</w:t>
      </w:r>
      <w:r w:rsidR="00E94C4C" w:rsidRPr="001013C0">
        <w:t>”</w:t>
      </w:r>
    </w:p>
    <w:p w:rsidR="00E94C4C" w:rsidRPr="001013C0" w:rsidRDefault="00A77FD3" w:rsidP="00F526E7">
      <w:pPr>
        <w:spacing w:after="120" w:line="240" w:lineRule="auto"/>
      </w:pPr>
      <w:r w:rsidRPr="001013C0">
        <w:t>Earnings in the year before the quasi-random assignment (2016 Q1) averaged 1411€ for the con</w:t>
      </w:r>
      <w:r w:rsidR="00E94C4C" w:rsidRPr="001013C0">
        <w:t xml:space="preserve">trol group and </w:t>
      </w:r>
      <w:r w:rsidRPr="001013C0">
        <w:t xml:space="preserve">698€ for the treatment group, a huge difference. </w:t>
      </w:r>
      <w:r w:rsidR="00E94C4C" w:rsidRPr="001013C0">
        <w:t>T</w:t>
      </w:r>
      <w:r w:rsidRPr="001013C0">
        <w:t xml:space="preserve">he treatment group </w:t>
      </w:r>
      <w:r w:rsidR="00E94C4C" w:rsidRPr="001013C0">
        <w:t xml:space="preserve">initially i.e. </w:t>
      </w:r>
      <w:r w:rsidR="009565B1" w:rsidRPr="001013C0">
        <w:t xml:space="preserve">including all </w:t>
      </w:r>
      <w:r w:rsidR="00E94C4C" w:rsidRPr="001013C0">
        <w:t xml:space="preserve">individuals </w:t>
      </w:r>
      <w:r w:rsidR="009565B1" w:rsidRPr="001013C0">
        <w:t xml:space="preserve">with an </w:t>
      </w:r>
      <w:r w:rsidRPr="001013C0">
        <w:t>“intention to treat” (</w:t>
      </w:r>
      <w:r w:rsidR="009565B1" w:rsidRPr="001013C0">
        <w:t>i.e</w:t>
      </w:r>
      <w:r w:rsidR="00E94C4C" w:rsidRPr="001013C0">
        <w:t xml:space="preserve">. </w:t>
      </w:r>
      <w:r w:rsidR="009565B1" w:rsidRPr="001013C0">
        <w:t xml:space="preserve">notified of their referral to </w:t>
      </w:r>
      <w:proofErr w:type="spellStart"/>
      <w:r w:rsidR="009565B1" w:rsidRPr="001013C0">
        <w:t>JobPath</w:t>
      </w:r>
      <w:proofErr w:type="spellEnd"/>
      <w:r w:rsidR="009565B1" w:rsidRPr="001013C0">
        <w:t xml:space="preserve">) must </w:t>
      </w:r>
      <w:r w:rsidR="009565B1" w:rsidRPr="001013C0">
        <w:lastRenderedPageBreak/>
        <w:t xml:space="preserve">have had (nearly) </w:t>
      </w:r>
      <w:r w:rsidR="00E94C4C" w:rsidRPr="001013C0">
        <w:t xml:space="preserve">the </w:t>
      </w:r>
      <w:r w:rsidR="009565B1" w:rsidRPr="001013C0">
        <w:t>same earnings</w:t>
      </w:r>
      <w:r w:rsidR="00E94C4C" w:rsidRPr="001013C0">
        <w:t xml:space="preserve"> in the year before assignment. The individuals </w:t>
      </w:r>
      <w:r w:rsidR="009665B7" w:rsidRPr="001013C0">
        <w:t xml:space="preserve">who were referred but did not commence (i.e. did not attend the first client interview, </w:t>
      </w:r>
      <w:r w:rsidR="002E12EC">
        <w:t xml:space="preserve">or perhaps not attend a second or third, </w:t>
      </w:r>
      <w:r w:rsidR="009665B7" w:rsidRPr="001013C0">
        <w:t xml:space="preserve">see p.20) must have had relatively high average </w:t>
      </w:r>
      <w:r w:rsidRPr="001013C0">
        <w:t xml:space="preserve">earnings in the previous year </w:t>
      </w:r>
      <w:r w:rsidR="002E12EC">
        <w:t>on average. T</w:t>
      </w:r>
      <w:r w:rsidR="009665B7" w:rsidRPr="001013C0">
        <w:t>he JLD could be used to tabulate pre-referral and po</w:t>
      </w:r>
      <w:r w:rsidR="002E12EC">
        <w:t>st-referral data for this group.</w:t>
      </w:r>
    </w:p>
    <w:p w:rsidR="006E0CAE" w:rsidRPr="001013C0" w:rsidRDefault="00B6768C" w:rsidP="00F526E7">
      <w:pPr>
        <w:spacing w:after="120" w:line="240" w:lineRule="auto"/>
      </w:pPr>
      <w:r w:rsidRPr="001013C0">
        <w:t xml:space="preserve">The </w:t>
      </w:r>
      <w:r w:rsidR="00E94C4C" w:rsidRPr="001013C0">
        <w:t xml:space="preserve">procedure actually followed </w:t>
      </w:r>
      <w:r w:rsidR="00E8271C" w:rsidRPr="001013C0">
        <w:t xml:space="preserve">by the authors </w:t>
      </w:r>
      <w:r w:rsidR="001B5AA3" w:rsidRPr="001013C0">
        <w:t xml:space="preserve">involves comparing the group that </w:t>
      </w:r>
      <w:r w:rsidR="00E94C4C" w:rsidRPr="001013C0">
        <w:t>actual</w:t>
      </w:r>
      <w:r w:rsidR="001B5AA3" w:rsidRPr="001013C0">
        <w:t xml:space="preserve">ly commenced </w:t>
      </w:r>
      <w:proofErr w:type="spellStart"/>
      <w:r w:rsidR="001B5AA3" w:rsidRPr="001013C0">
        <w:t>Jobpath</w:t>
      </w:r>
      <w:proofErr w:type="spellEnd"/>
      <w:r w:rsidR="001B5AA3" w:rsidRPr="001013C0">
        <w:t xml:space="preserve"> with a subset of </w:t>
      </w:r>
      <w:r w:rsidR="00E94C4C" w:rsidRPr="001013C0">
        <w:t xml:space="preserve">the control group selected to be as similar as possible </w:t>
      </w:r>
      <w:r w:rsidR="001B5AA3" w:rsidRPr="001013C0">
        <w:t xml:space="preserve">(described on p.45: “it is necessary to reweight the two groups - those who received the service and those who were eligible but did not - to ensure the measurement of outcomes at a later stage is a reasonable comparison”). </w:t>
      </w:r>
      <w:r w:rsidR="00BA3790" w:rsidRPr="001013C0">
        <w:t xml:space="preserve">However, the dropping of claims before commencement is probably motivated by factors </w:t>
      </w:r>
      <w:r w:rsidRPr="001013C0">
        <w:t>that range</w:t>
      </w:r>
      <w:r w:rsidR="00BA3790" w:rsidRPr="001013C0">
        <w:t xml:space="preserve"> </w:t>
      </w:r>
      <w:r w:rsidRPr="001013C0">
        <w:t xml:space="preserve">from </w:t>
      </w:r>
      <w:r w:rsidR="009665B7" w:rsidRPr="001013C0">
        <w:t>high employability (</w:t>
      </w:r>
      <w:r w:rsidR="00BA3790" w:rsidRPr="001013C0">
        <w:t xml:space="preserve">e.g. personal </w:t>
      </w:r>
      <w:r w:rsidRPr="001013C0">
        <w:t xml:space="preserve">access to local </w:t>
      </w:r>
      <w:r w:rsidR="00BA3790" w:rsidRPr="001013C0">
        <w:t>job vacancies</w:t>
      </w:r>
      <w:r w:rsidR="009665B7" w:rsidRPr="001013C0">
        <w:t xml:space="preserve">) </w:t>
      </w:r>
      <w:r w:rsidR="001B5AA3" w:rsidRPr="001013C0">
        <w:t>facilitating rapid access to work (</w:t>
      </w:r>
      <w:r w:rsidR="009665B7" w:rsidRPr="001013C0">
        <w:t xml:space="preserve">which is partially </w:t>
      </w:r>
      <w:proofErr w:type="spellStart"/>
      <w:r w:rsidRPr="001013C0">
        <w:t>proxied</w:t>
      </w:r>
      <w:proofErr w:type="spellEnd"/>
      <w:r w:rsidRPr="001013C0">
        <w:t xml:space="preserve"> by the JLD variable </w:t>
      </w:r>
      <w:r w:rsidR="009665B7" w:rsidRPr="001013C0">
        <w:t>“</w:t>
      </w:r>
      <w:r w:rsidRPr="001013C0">
        <w:t>high earnings in the previous year</w:t>
      </w:r>
      <w:r w:rsidR="001B5AA3" w:rsidRPr="001013C0">
        <w:t xml:space="preserve">”) </w:t>
      </w:r>
      <w:r w:rsidR="009665B7" w:rsidRPr="001013C0">
        <w:t xml:space="preserve">to low employability (e.g. </w:t>
      </w:r>
      <w:r w:rsidRPr="001013C0">
        <w:t xml:space="preserve">strong aversion to </w:t>
      </w:r>
      <w:r w:rsidR="006E0CAE" w:rsidRPr="001013C0">
        <w:t xml:space="preserve">work) </w:t>
      </w:r>
      <w:r w:rsidRPr="001013C0">
        <w:t xml:space="preserve">which </w:t>
      </w:r>
      <w:r w:rsidR="002E12EC">
        <w:t xml:space="preserve">probably </w:t>
      </w:r>
      <w:r w:rsidR="006E0CAE" w:rsidRPr="001013C0">
        <w:t xml:space="preserve">has no effective </w:t>
      </w:r>
      <w:r w:rsidR="009665B7" w:rsidRPr="001013C0">
        <w:t xml:space="preserve">proxy </w:t>
      </w:r>
      <w:r w:rsidR="002E12EC">
        <w:t>in the JLD</w:t>
      </w:r>
      <w:r w:rsidRPr="001013C0">
        <w:t xml:space="preserve">. </w:t>
      </w:r>
      <w:r w:rsidR="006E0CAE" w:rsidRPr="001013C0">
        <w:t xml:space="preserve">It </w:t>
      </w:r>
      <w:r w:rsidR="00026CE5" w:rsidRPr="001013C0">
        <w:t xml:space="preserve">seems possible that the </w:t>
      </w:r>
      <w:r w:rsidR="006E0CAE" w:rsidRPr="001013C0">
        <w:t xml:space="preserve">reweighting of the control group data </w:t>
      </w:r>
      <w:r w:rsidR="00026CE5" w:rsidRPr="001013C0">
        <w:t>lower</w:t>
      </w:r>
      <w:r w:rsidR="006E0CAE" w:rsidRPr="001013C0">
        <w:t>s</w:t>
      </w:r>
      <w:r w:rsidR="00026CE5" w:rsidRPr="001013C0">
        <w:t xml:space="preserve"> </w:t>
      </w:r>
      <w:r w:rsidRPr="001013C0">
        <w:t xml:space="preserve">the employability profile of the control group </w:t>
      </w:r>
      <w:r w:rsidR="006E0CAE" w:rsidRPr="001013C0">
        <w:t xml:space="preserve">considerably </w:t>
      </w:r>
      <w:r w:rsidRPr="001013C0">
        <w:t xml:space="preserve">more than the dropping of claims before commencement biases the employability </w:t>
      </w:r>
      <w:r w:rsidR="006E0CAE" w:rsidRPr="001013C0">
        <w:t xml:space="preserve">profile of the treatment group, which would leave </w:t>
      </w:r>
      <w:r w:rsidR="00026CE5" w:rsidRPr="001013C0">
        <w:t>the treatment/control comparisons biased</w:t>
      </w:r>
      <w:r w:rsidR="006E0CAE" w:rsidRPr="001013C0">
        <w:t>.</w:t>
      </w:r>
    </w:p>
    <w:p w:rsidR="006E0CAE" w:rsidRPr="001013C0" w:rsidRDefault="006E0CAE" w:rsidP="00F526E7">
      <w:pPr>
        <w:spacing w:after="120" w:line="240" w:lineRule="auto"/>
      </w:pPr>
      <w:r w:rsidRPr="001013C0">
        <w:t>P</w:t>
      </w:r>
      <w:r w:rsidR="00026CE5" w:rsidRPr="001013C0">
        <w:t xml:space="preserve">olicymakers </w:t>
      </w:r>
      <w:r w:rsidRPr="001013C0">
        <w:t xml:space="preserve">do </w:t>
      </w:r>
      <w:r w:rsidR="00026CE5" w:rsidRPr="001013C0">
        <w:t xml:space="preserve">want </w:t>
      </w:r>
      <w:r w:rsidRPr="001013C0">
        <w:t xml:space="preserve">estimates for </w:t>
      </w:r>
      <w:r w:rsidR="00026CE5" w:rsidRPr="001013C0">
        <w:t xml:space="preserve">the impact of </w:t>
      </w:r>
      <w:proofErr w:type="spellStart"/>
      <w:r w:rsidR="00026CE5" w:rsidRPr="001013C0">
        <w:t>JobPath</w:t>
      </w:r>
      <w:proofErr w:type="spellEnd"/>
      <w:r w:rsidR="00026CE5" w:rsidRPr="001013C0">
        <w:t xml:space="preserve"> services on those who </w:t>
      </w:r>
      <w:r w:rsidRPr="001013C0">
        <w:t xml:space="preserve">commence. The impact of referral to </w:t>
      </w:r>
      <w:proofErr w:type="spellStart"/>
      <w:r w:rsidRPr="001013C0">
        <w:t>JobPath</w:t>
      </w:r>
      <w:proofErr w:type="spellEnd"/>
      <w:r w:rsidRPr="001013C0">
        <w:t xml:space="preserve"> on those who did NOT commence may be seen as the “threat effect” of referrals. This “threat effect” might be not a policy objective, and </w:t>
      </w:r>
      <w:proofErr w:type="spellStart"/>
      <w:r w:rsidRPr="001013C0">
        <w:t>JobPath</w:t>
      </w:r>
      <w:proofErr w:type="spellEnd"/>
      <w:r w:rsidRPr="001013C0">
        <w:t xml:space="preserve"> providers may not have much influence over it, and they are not rewarded for maximising it.</w:t>
      </w:r>
    </w:p>
    <w:p w:rsidR="00026CE5" w:rsidRPr="001013C0" w:rsidRDefault="006E0CAE" w:rsidP="00F526E7">
      <w:pPr>
        <w:spacing w:after="120" w:line="240" w:lineRule="auto"/>
      </w:pPr>
      <w:r w:rsidRPr="001013C0">
        <w:t xml:space="preserve">However, </w:t>
      </w:r>
      <w:proofErr w:type="spellStart"/>
      <w:r w:rsidRPr="001013C0">
        <w:t>JobPath</w:t>
      </w:r>
      <w:proofErr w:type="spellEnd"/>
      <w:r w:rsidRPr="001013C0">
        <w:t xml:space="preserve"> impacts should (also) be reported also on an ITT (“intention to treat”) basis, given that there are no obvious technical barriers to doing this with the JLD data. </w:t>
      </w:r>
      <w:r w:rsidR="00604872" w:rsidRPr="001013C0">
        <w:t xml:space="preserve">In medical trials, ITT analysis </w:t>
      </w:r>
      <w:r w:rsidR="00FF06AD" w:rsidRPr="001013C0">
        <w:t xml:space="preserve">can be </w:t>
      </w:r>
      <w:r w:rsidR="00604872" w:rsidRPr="001013C0">
        <w:t>difficult to imp</w:t>
      </w:r>
      <w:r w:rsidR="00FF06AD" w:rsidRPr="001013C0">
        <w:t xml:space="preserve">lement reliably </w:t>
      </w:r>
      <w:r w:rsidR="00604872" w:rsidRPr="001013C0">
        <w:t xml:space="preserve">because outcome data are </w:t>
      </w:r>
      <w:r w:rsidR="00026CE5" w:rsidRPr="001013C0">
        <w:t xml:space="preserve">incomplete for the </w:t>
      </w:r>
      <w:r w:rsidR="00604872" w:rsidRPr="001013C0">
        <w:t>individuals who drop</w:t>
      </w:r>
      <w:r w:rsidR="00026CE5" w:rsidRPr="001013C0">
        <w:t>ped</w:t>
      </w:r>
      <w:r w:rsidR="00604872" w:rsidRPr="001013C0">
        <w:t xml:space="preserve"> out from the </w:t>
      </w:r>
      <w:r w:rsidR="00026CE5" w:rsidRPr="001013C0">
        <w:t>medical treatment</w:t>
      </w:r>
      <w:r w:rsidRPr="001013C0">
        <w:t>: d</w:t>
      </w:r>
      <w:r w:rsidR="00FF06AD" w:rsidRPr="001013C0">
        <w:t xml:space="preserve">espite this problem expert advice and official guidelines </w:t>
      </w:r>
      <w:r w:rsidR="002E12EC">
        <w:t xml:space="preserve">call for ITT </w:t>
      </w:r>
      <w:r w:rsidR="00FF06AD" w:rsidRPr="001013C0">
        <w:t>to be i</w:t>
      </w:r>
      <w:r w:rsidRPr="001013C0">
        <w:t xml:space="preserve">mplemented - </w:t>
      </w:r>
      <w:r w:rsidR="00FF06AD" w:rsidRPr="001013C0">
        <w:t xml:space="preserve">see </w:t>
      </w:r>
      <w:hyperlink r:id="rId10" w:history="1">
        <w:r w:rsidR="00FF06AD" w:rsidRPr="001013C0">
          <w:rPr>
            <w:rStyle w:val="Hyperlink"/>
            <w:color w:val="auto"/>
          </w:rPr>
          <w:t>www.ncbi.nlm.nih.gov/pmc/articles/PMC3159210/</w:t>
        </w:r>
      </w:hyperlink>
      <w:r w:rsidRPr="001013C0">
        <w:rPr>
          <w:rStyle w:val="Hyperlink"/>
          <w:color w:val="auto"/>
        </w:rPr>
        <w:t>:</w:t>
      </w:r>
    </w:p>
    <w:p w:rsidR="00604872" w:rsidRPr="001013C0" w:rsidRDefault="00604872" w:rsidP="00F526E7">
      <w:pPr>
        <w:spacing w:after="120" w:line="240" w:lineRule="auto"/>
        <w:ind w:left="720"/>
      </w:pPr>
      <w:r w:rsidRPr="001013C0">
        <w:t>A better application of the ITT approach is possible if complete outcome data are available for all randomized subjects. .. Anyone who follows these principles intelligently and has a vision to minimize bias should not worry further about “intention to treat”… in most cases, missing data could also be dealt by using the last observation carried forward (LOCF) method, whereby the last available measurement for each individual at the time point prior to withdrawal from the study is retained in the analysis. / US Food and Drug Administration (FDA) guidelines for “The Format and Content of the Clinical and Statistical Sections of Applications” state that as a general rule, even if the applicant's preferred analysis is based on a reduced subset of the patients with data, there should be an additional “intent-to-treat” analysis using all randomized patients. The FDA guideline further explains that the results of a clinical trial should be assessed not only for the subset of patients who completed the study, but also for the entire patient population rando</w:t>
      </w:r>
      <w:r w:rsidR="00FF06AD" w:rsidRPr="001013C0">
        <w:t>mized (the ITT analysis).</w:t>
      </w:r>
    </w:p>
    <w:p w:rsidR="007916A0" w:rsidRPr="001013C0" w:rsidRDefault="007916A0" w:rsidP="00F526E7">
      <w:pPr>
        <w:spacing w:after="120" w:line="240" w:lineRule="auto"/>
      </w:pPr>
      <w:r w:rsidRPr="001013C0">
        <w:t xml:space="preserve">p.32 “As evident in Table 12 this trend continues with the treatment group having a higher mean of social welfare payments in 2017 and significantly lower mean earnings in 2017.” The </w:t>
      </w:r>
      <w:r w:rsidR="004A3E3B" w:rsidRPr="001013C0">
        <w:t xml:space="preserve">table </w:t>
      </w:r>
      <w:r w:rsidRPr="001013C0">
        <w:t xml:space="preserve">title </w:t>
      </w:r>
      <w:r w:rsidR="004A3E3B" w:rsidRPr="001013C0">
        <w:t>i</w:t>
      </w:r>
      <w:r w:rsidRPr="001013C0">
        <w:t>s “Table 12: Social welfare payment history of the Control and Treatment groups”</w:t>
      </w:r>
      <w:r w:rsidR="004A3E3B" w:rsidRPr="001013C0">
        <w:t xml:space="preserve"> The titles of Tables 11 and 12 nowhere state what year the data refer to, only the main text indicates that they</w:t>
      </w:r>
      <w:r w:rsidR="002E12EC">
        <w:t xml:space="preserve"> refer to different years (</w:t>
      </w:r>
      <w:r w:rsidR="004A3E3B" w:rsidRPr="001013C0">
        <w:t xml:space="preserve">the </w:t>
      </w:r>
      <w:r w:rsidR="002E12EC">
        <w:t xml:space="preserve">editing/production values at this point are </w:t>
      </w:r>
      <w:r w:rsidR="004A3E3B" w:rsidRPr="001013C0">
        <w:t>atrocious).</w:t>
      </w:r>
    </w:p>
    <w:p w:rsidR="004A3E3B" w:rsidRPr="001013C0" w:rsidRDefault="004A3E3B" w:rsidP="00F526E7">
      <w:pPr>
        <w:spacing w:after="120" w:line="240" w:lineRule="auto"/>
      </w:pPr>
      <w:r w:rsidRPr="001013C0">
        <w:t>p.33 “It is, of course, useful to track over time the number of people with durations over 12 months and</w:t>
      </w:r>
      <w:r w:rsidR="00524BBE" w:rsidRPr="001013C0">
        <w:t xml:space="preserve"> </w:t>
      </w:r>
      <w:r w:rsidRPr="001013C0">
        <w:t>to</w:t>
      </w:r>
      <w:r w:rsidR="00524BBE" w:rsidRPr="001013C0">
        <w:t xml:space="preserve"> </w:t>
      </w:r>
      <w:r w:rsidRPr="001013C0">
        <w:t>compare</w:t>
      </w:r>
      <w:r w:rsidR="00524BBE" w:rsidRPr="001013C0">
        <w:t xml:space="preserve"> </w:t>
      </w:r>
      <w:r w:rsidRPr="001013C0">
        <w:t>absolute</w:t>
      </w:r>
      <w:r w:rsidR="00524BBE" w:rsidRPr="001013C0">
        <w:t xml:space="preserve"> </w:t>
      </w:r>
      <w:r w:rsidRPr="001013C0">
        <w:t>levels</w:t>
      </w:r>
      <w:r w:rsidR="00524BBE" w:rsidRPr="001013C0">
        <w:t xml:space="preserve"> </w:t>
      </w:r>
      <w:r w:rsidRPr="001013C0">
        <w:t>for</w:t>
      </w:r>
      <w:r w:rsidR="00524BBE" w:rsidRPr="001013C0">
        <w:t xml:space="preserve"> </w:t>
      </w:r>
      <w:r w:rsidRPr="001013C0">
        <w:t>different</w:t>
      </w:r>
      <w:r w:rsidR="00524BBE" w:rsidRPr="001013C0">
        <w:t xml:space="preserve"> </w:t>
      </w:r>
      <w:r w:rsidRPr="001013C0">
        <w:t>age</w:t>
      </w:r>
      <w:r w:rsidR="00524BBE" w:rsidRPr="001013C0">
        <w:t xml:space="preserve"> </w:t>
      </w:r>
      <w:r w:rsidRPr="001013C0">
        <w:t>categories.</w:t>
      </w:r>
      <w:r w:rsidR="00524BBE" w:rsidRPr="001013C0">
        <w:t xml:space="preserve"> </w:t>
      </w:r>
      <w:r w:rsidRPr="001013C0">
        <w:t>In</w:t>
      </w:r>
      <w:r w:rsidR="00524BBE" w:rsidRPr="001013C0">
        <w:t xml:space="preserve"> </w:t>
      </w:r>
      <w:r w:rsidRPr="001013C0">
        <w:t>certain</w:t>
      </w:r>
      <w:r w:rsidR="00524BBE" w:rsidRPr="001013C0">
        <w:t xml:space="preserve"> </w:t>
      </w:r>
      <w:r w:rsidRPr="001013C0">
        <w:t>circumstances, however,</w:t>
      </w:r>
      <w:r w:rsidR="00524BBE" w:rsidRPr="001013C0">
        <w:t xml:space="preserve"> </w:t>
      </w:r>
      <w:r w:rsidRPr="001013C0">
        <w:t>this</w:t>
      </w:r>
      <w:r w:rsidR="00524BBE" w:rsidRPr="001013C0">
        <w:t xml:space="preserve"> </w:t>
      </w:r>
      <w:r w:rsidRPr="001013C0">
        <w:t>approach</w:t>
      </w:r>
      <w:r w:rsidR="00524BBE" w:rsidRPr="001013C0">
        <w:t xml:space="preserve"> </w:t>
      </w:r>
      <w:r w:rsidRPr="001013C0">
        <w:t>of</w:t>
      </w:r>
      <w:r w:rsidR="00524BBE" w:rsidRPr="001013C0">
        <w:t xml:space="preserve"> </w:t>
      </w:r>
      <w:r w:rsidRPr="001013C0">
        <w:t>deterministic</w:t>
      </w:r>
      <w:r w:rsidR="00524BBE" w:rsidRPr="001013C0">
        <w:t xml:space="preserve"> </w:t>
      </w:r>
      <w:r w:rsidRPr="001013C0">
        <w:t>grouping</w:t>
      </w:r>
      <w:r w:rsidR="00524BBE" w:rsidRPr="001013C0">
        <w:t xml:space="preserve"> </w:t>
      </w:r>
      <w:r w:rsidRPr="001013C0">
        <w:t>can</w:t>
      </w:r>
      <w:r w:rsidR="00524BBE" w:rsidRPr="001013C0">
        <w:t xml:space="preserve"> </w:t>
      </w:r>
      <w:r w:rsidRPr="001013C0">
        <w:t>be</w:t>
      </w:r>
      <w:r w:rsidR="00524BBE" w:rsidRPr="001013C0">
        <w:t xml:space="preserve"> </w:t>
      </w:r>
      <w:r w:rsidRPr="001013C0">
        <w:t>a</w:t>
      </w:r>
      <w:r w:rsidR="00524BBE" w:rsidRPr="001013C0">
        <w:t xml:space="preserve"> </w:t>
      </w:r>
      <w:r w:rsidRPr="001013C0">
        <w:t>somewhat</w:t>
      </w:r>
      <w:r w:rsidR="00524BBE" w:rsidRPr="001013C0">
        <w:t xml:space="preserve"> </w:t>
      </w:r>
      <w:r w:rsidRPr="001013C0">
        <w:t>blunt</w:t>
      </w:r>
      <w:r w:rsidR="00524BBE" w:rsidRPr="001013C0">
        <w:t xml:space="preserve"> </w:t>
      </w:r>
      <w:r w:rsidRPr="001013C0">
        <w:t>analytical instrument. For example, those with 11 months’ duration may be quite similar to people with 13</w:t>
      </w:r>
      <w:r w:rsidR="00524BBE" w:rsidRPr="001013C0">
        <w:t xml:space="preserve"> </w:t>
      </w:r>
      <w:r w:rsidRPr="001013C0">
        <w:t>months’</w:t>
      </w:r>
      <w:r w:rsidR="00524BBE" w:rsidRPr="001013C0">
        <w:t xml:space="preserve"> </w:t>
      </w:r>
      <w:r w:rsidRPr="001013C0">
        <w:t>duration</w:t>
      </w:r>
      <w:r w:rsidR="00524BBE" w:rsidRPr="001013C0">
        <w:t xml:space="preserve"> </w:t>
      </w:r>
      <w:r w:rsidRPr="001013C0">
        <w:t>but</w:t>
      </w:r>
      <w:r w:rsidR="00524BBE" w:rsidRPr="001013C0">
        <w:t xml:space="preserve"> </w:t>
      </w:r>
      <w:r w:rsidRPr="001013C0">
        <w:t>a</w:t>
      </w:r>
      <w:r w:rsidR="00524BBE" w:rsidRPr="001013C0">
        <w:t xml:space="preserve"> </w:t>
      </w:r>
      <w:r w:rsidRPr="001013C0">
        <w:t>strict</w:t>
      </w:r>
      <w:r w:rsidR="00524BBE" w:rsidRPr="001013C0">
        <w:t xml:space="preserve"> </w:t>
      </w:r>
      <w:r w:rsidRPr="001013C0">
        <w:t>categorisation</w:t>
      </w:r>
      <w:r w:rsidR="00524BBE" w:rsidRPr="001013C0">
        <w:t xml:space="preserve"> </w:t>
      </w:r>
      <w:r w:rsidRPr="001013C0">
        <w:t>by</w:t>
      </w:r>
      <w:r w:rsidR="00524BBE" w:rsidRPr="001013C0">
        <w:t xml:space="preserve"> </w:t>
      </w:r>
      <w:r w:rsidRPr="001013C0">
        <w:t>duration</w:t>
      </w:r>
      <w:r w:rsidR="00524BBE" w:rsidRPr="001013C0">
        <w:t xml:space="preserve"> </w:t>
      </w:r>
      <w:r w:rsidRPr="001013C0">
        <w:t>places</w:t>
      </w:r>
      <w:r w:rsidR="00524BBE" w:rsidRPr="001013C0">
        <w:t xml:space="preserve"> </w:t>
      </w:r>
      <w:r w:rsidRPr="001013C0">
        <w:t>them</w:t>
      </w:r>
      <w:r w:rsidR="00524BBE" w:rsidRPr="001013C0">
        <w:t xml:space="preserve"> </w:t>
      </w:r>
      <w:r w:rsidRPr="001013C0">
        <w:t>in</w:t>
      </w:r>
      <w:r w:rsidR="00524BBE" w:rsidRPr="001013C0">
        <w:t xml:space="preserve"> </w:t>
      </w:r>
      <w:r w:rsidRPr="001013C0">
        <w:t>separate categories.”</w:t>
      </w:r>
    </w:p>
    <w:p w:rsidR="00630685" w:rsidRPr="001013C0" w:rsidRDefault="00BE18D5" w:rsidP="00F526E7">
      <w:pPr>
        <w:spacing w:after="120" w:line="240" w:lineRule="auto"/>
      </w:pPr>
      <w:r>
        <w:lastRenderedPageBreak/>
        <w:t>This comment seems spurious</w:t>
      </w:r>
      <w:r w:rsidR="00273D3D" w:rsidRPr="001013C0">
        <w:t xml:space="preserve"> i.e. i</w:t>
      </w:r>
      <w:r w:rsidR="000D0296" w:rsidRPr="001013C0">
        <w:t xml:space="preserve">t is not obvious that categorisation into clusters is </w:t>
      </w:r>
      <w:r w:rsidR="00273D3D" w:rsidRPr="001013C0">
        <w:t>“</w:t>
      </w:r>
      <w:r w:rsidR="000D0296" w:rsidRPr="001013C0">
        <w:t>less sensitive to marginal differences in individual characteristics</w:t>
      </w:r>
      <w:r w:rsidR="00273D3D" w:rsidRPr="001013C0">
        <w:t>”</w:t>
      </w:r>
      <w:r w:rsidR="000D0296" w:rsidRPr="001013C0">
        <w:t xml:space="preserve"> than categorisation into short vs. long-term unemployment status</w:t>
      </w:r>
      <w:r w:rsidR="00273D3D" w:rsidRPr="001013C0">
        <w:t xml:space="preserve">. The </w:t>
      </w:r>
      <w:r w:rsidR="000D0296" w:rsidRPr="001013C0">
        <w:t xml:space="preserve">sensitivity </w:t>
      </w:r>
      <w:r w:rsidR="00273D3D" w:rsidRPr="001013C0">
        <w:t xml:space="preserve">is harder </w:t>
      </w:r>
      <w:r w:rsidR="000D0296" w:rsidRPr="001013C0">
        <w:t>to visualise</w:t>
      </w:r>
      <w:r w:rsidR="00630685" w:rsidRPr="001013C0">
        <w:t xml:space="preserve"> </w:t>
      </w:r>
      <w:r w:rsidR="000D0296" w:rsidRPr="001013C0">
        <w:t xml:space="preserve">because the reason an individual is </w:t>
      </w:r>
      <w:r w:rsidR="00273D3D" w:rsidRPr="001013C0">
        <w:t xml:space="preserve">put </w:t>
      </w:r>
      <w:r w:rsidR="000D0296" w:rsidRPr="001013C0">
        <w:t>in one cluster rather than another is obscure</w:t>
      </w:r>
      <w:r>
        <w:t xml:space="preserve"> </w:t>
      </w:r>
      <w:r w:rsidR="00273D3D" w:rsidRPr="001013C0">
        <w:t xml:space="preserve">anyway. </w:t>
      </w:r>
      <w:r w:rsidR="00630685" w:rsidRPr="001013C0">
        <w:t xml:space="preserve">I would prefer to </w:t>
      </w:r>
      <w:r>
        <w:t xml:space="preserve">leave </w:t>
      </w:r>
      <w:r w:rsidR="00630685" w:rsidRPr="001013C0">
        <w:t xml:space="preserve">readers </w:t>
      </w:r>
      <w:r>
        <w:t xml:space="preserve">with just </w:t>
      </w:r>
      <w:r w:rsidR="00630685" w:rsidRPr="001013C0">
        <w:t>the description of the clustering algorithm (it “calculates the optimal number of clusters, so that each cluster is, to the greatest extent possible, internally consistent (individuals in the same cluster are similar to each other) and distinct from other clusters (individuals in one cluster are different from those in other clusters).”</w:t>
      </w:r>
    </w:p>
    <w:p w:rsidR="006C3912" w:rsidRPr="001013C0" w:rsidRDefault="006C3912" w:rsidP="00F526E7">
      <w:pPr>
        <w:spacing w:after="120" w:line="240" w:lineRule="auto"/>
      </w:pPr>
      <w:proofErr w:type="gramStart"/>
      <w:r w:rsidRPr="001013C0">
        <w:t>p.35</w:t>
      </w:r>
      <w:proofErr w:type="gramEnd"/>
      <w:r w:rsidRPr="001013C0">
        <w:t xml:space="preserve"> Figure 16: Younger Casual Claimants age distribution </w:t>
      </w:r>
    </w:p>
    <w:p w:rsidR="00273D3D" w:rsidRPr="001013C0" w:rsidRDefault="006C3912" w:rsidP="00F526E7">
      <w:pPr>
        <w:spacing w:after="120" w:line="240" w:lineRule="auto"/>
      </w:pPr>
      <w:r w:rsidRPr="001013C0">
        <w:t xml:space="preserve">This </w:t>
      </w:r>
      <w:r w:rsidR="005769BE" w:rsidRPr="001013C0">
        <w:t xml:space="preserve">Figure </w:t>
      </w:r>
      <w:r w:rsidRPr="001013C0">
        <w:t xml:space="preserve">(like </w:t>
      </w:r>
      <w:r w:rsidR="005769BE" w:rsidRPr="001013C0">
        <w:t xml:space="preserve">several but not all of the </w:t>
      </w:r>
      <w:r w:rsidRPr="001013C0">
        <w:t>later Figures) shows implausible spikes in the age distribution i.e. apparent bunching at multi</w:t>
      </w:r>
      <w:r w:rsidR="005769BE" w:rsidRPr="001013C0">
        <w:t xml:space="preserve">ples of 5 (20, 25, 30, etc.). This could be because for many (or all?) individuals, age data are initially reported in 5-year </w:t>
      </w:r>
      <w:r w:rsidRPr="001013C0">
        <w:t>box</w:t>
      </w:r>
      <w:r w:rsidR="00931276">
        <w:t>es (“20-24”</w:t>
      </w:r>
      <w:r w:rsidR="005769BE" w:rsidRPr="001013C0">
        <w:t xml:space="preserve"> etc.) </w:t>
      </w:r>
      <w:r w:rsidR="00CA4595" w:rsidRPr="001013C0">
        <w:t xml:space="preserve">and subsequently </w:t>
      </w:r>
      <w:r w:rsidR="005769BE" w:rsidRPr="001013C0">
        <w:t>ratch</w:t>
      </w:r>
      <w:r w:rsidR="00CA4595" w:rsidRPr="001013C0">
        <w:t>et</w:t>
      </w:r>
      <w:r w:rsidR="005769BE" w:rsidRPr="001013C0">
        <w:t xml:space="preserve">ed </w:t>
      </w:r>
      <w:r w:rsidR="00CA4595" w:rsidRPr="001013C0">
        <w:t xml:space="preserve">up each year. This could usefully be </w:t>
      </w:r>
      <w:r w:rsidRPr="001013C0">
        <w:t>explained in a footnote.</w:t>
      </w:r>
    </w:p>
    <w:p w:rsidR="00CC6E64" w:rsidRPr="001013C0" w:rsidRDefault="005769BE" w:rsidP="00F526E7">
      <w:pPr>
        <w:pStyle w:val="Heading5"/>
        <w:spacing w:before="0" w:after="120" w:line="240" w:lineRule="auto"/>
        <w:rPr>
          <w:color w:val="auto"/>
        </w:rPr>
      </w:pPr>
      <w:bookmarkStart w:id="8" w:name="_Toc32574270"/>
      <w:proofErr w:type="gramStart"/>
      <w:r w:rsidRPr="001013C0">
        <w:rPr>
          <w:color w:val="auto"/>
        </w:rPr>
        <w:t>p.41</w:t>
      </w:r>
      <w:proofErr w:type="gramEnd"/>
      <w:r w:rsidRPr="001013C0">
        <w:rPr>
          <w:color w:val="auto"/>
        </w:rPr>
        <w:t xml:space="preserve"> Persistent longer durations</w:t>
      </w:r>
      <w:bookmarkEnd w:id="8"/>
    </w:p>
    <w:p w:rsidR="00CA4595" w:rsidRPr="001013C0" w:rsidRDefault="005769BE" w:rsidP="00F526E7">
      <w:pPr>
        <w:spacing w:after="120" w:line="240" w:lineRule="auto"/>
      </w:pPr>
      <w:r w:rsidRPr="001013C0">
        <w:t>This group h</w:t>
      </w:r>
      <w:r w:rsidR="00931276">
        <w:t xml:space="preserve">as the second largest </w:t>
      </w:r>
      <w:proofErr w:type="spellStart"/>
      <w:r w:rsidR="00931276">
        <w:t>JobPath</w:t>
      </w:r>
      <w:proofErr w:type="spellEnd"/>
      <w:r w:rsidR="00931276">
        <w:t xml:space="preserve"> </w:t>
      </w:r>
      <w:r w:rsidRPr="001013C0">
        <w:t>population (Shorter Durations 121,932; Persistent Longer Durations 97,9</w:t>
      </w:r>
      <w:r w:rsidR="00FF06AD" w:rsidRPr="001013C0">
        <w:t xml:space="preserve">46; the </w:t>
      </w:r>
      <w:r w:rsidRPr="001013C0">
        <w:t xml:space="preserve">other groups </w:t>
      </w:r>
      <w:r w:rsidR="00FF06AD" w:rsidRPr="001013C0">
        <w:t xml:space="preserve">each </w:t>
      </w:r>
      <w:r w:rsidRPr="001013C0">
        <w:t>have about 15,000 to 30,000</w:t>
      </w:r>
      <w:r w:rsidR="00FF06AD" w:rsidRPr="001013C0">
        <w:t xml:space="preserve">). </w:t>
      </w:r>
      <w:r w:rsidRPr="001013C0">
        <w:t>“This</w:t>
      </w:r>
      <w:r w:rsidR="00524BBE" w:rsidRPr="001013C0">
        <w:t xml:space="preserve"> </w:t>
      </w:r>
      <w:r w:rsidRPr="001013C0">
        <w:t>cohort</w:t>
      </w:r>
      <w:r w:rsidR="00524BBE" w:rsidRPr="001013C0">
        <w:t xml:space="preserve"> </w:t>
      </w:r>
      <w:r w:rsidRPr="001013C0">
        <w:t>is</w:t>
      </w:r>
      <w:r w:rsidR="00524BBE" w:rsidRPr="001013C0">
        <w:t xml:space="preserve"> </w:t>
      </w:r>
      <w:r w:rsidRPr="001013C0">
        <w:t>the</w:t>
      </w:r>
      <w:r w:rsidR="00524BBE" w:rsidRPr="001013C0">
        <w:t xml:space="preserve"> </w:t>
      </w:r>
      <w:r w:rsidRPr="001013C0">
        <w:t>farthest</w:t>
      </w:r>
      <w:r w:rsidR="00524BBE" w:rsidRPr="001013C0">
        <w:t xml:space="preserve"> </w:t>
      </w:r>
      <w:r w:rsidRPr="001013C0">
        <w:t>from the labour market, with only 56% having</w:t>
      </w:r>
      <w:r w:rsidR="00524BBE" w:rsidRPr="001013C0">
        <w:t xml:space="preserve"> </w:t>
      </w:r>
      <w:r w:rsidRPr="001013C0">
        <w:t>had</w:t>
      </w:r>
      <w:r w:rsidR="00524BBE" w:rsidRPr="001013C0">
        <w:t xml:space="preserve"> </w:t>
      </w:r>
      <w:r w:rsidRPr="001013C0">
        <w:t>an</w:t>
      </w:r>
      <w:r w:rsidR="00524BBE" w:rsidRPr="001013C0">
        <w:t xml:space="preserve"> </w:t>
      </w:r>
      <w:r w:rsidRPr="001013C0">
        <w:t>episode</w:t>
      </w:r>
      <w:r w:rsidR="00524BBE" w:rsidRPr="001013C0">
        <w:t xml:space="preserve"> </w:t>
      </w:r>
      <w:r w:rsidRPr="001013C0">
        <w:t>of employment</w:t>
      </w:r>
      <w:r w:rsidR="00524BBE" w:rsidRPr="001013C0">
        <w:t xml:space="preserve"> </w:t>
      </w:r>
      <w:r w:rsidRPr="001013C0">
        <w:t>in</w:t>
      </w:r>
      <w:r w:rsidR="00524BBE" w:rsidRPr="001013C0">
        <w:t xml:space="preserve"> </w:t>
      </w:r>
      <w:r w:rsidRPr="001013C0">
        <w:t>the</w:t>
      </w:r>
      <w:r w:rsidR="00524BBE" w:rsidRPr="001013C0">
        <w:t xml:space="preserve"> </w:t>
      </w:r>
      <w:r w:rsidRPr="001013C0">
        <w:t>past</w:t>
      </w:r>
      <w:r w:rsidR="00524BBE" w:rsidRPr="001013C0">
        <w:t xml:space="preserve"> </w:t>
      </w:r>
      <w:r w:rsidRPr="001013C0">
        <w:t xml:space="preserve">five years.” </w:t>
      </w:r>
      <w:r w:rsidR="00FF06AD" w:rsidRPr="001013C0">
        <w:t xml:space="preserve">Thus it </w:t>
      </w:r>
      <w:r w:rsidR="00FA221A" w:rsidRPr="001013C0">
        <w:t xml:space="preserve">represents a large group </w:t>
      </w:r>
      <w:r w:rsidR="00CA4595" w:rsidRPr="001013C0">
        <w:t xml:space="preserve">on welfare payments but </w:t>
      </w:r>
      <w:r w:rsidR="00FA221A" w:rsidRPr="001013C0">
        <w:t xml:space="preserve">nearer to “out of the labour force” than </w:t>
      </w:r>
      <w:r w:rsidR="00FF06AD" w:rsidRPr="001013C0">
        <w:t xml:space="preserve">to </w:t>
      </w:r>
      <w:r w:rsidR="00FA221A" w:rsidRPr="001013C0">
        <w:t>“employment”</w:t>
      </w:r>
      <w:r w:rsidR="00CA4595" w:rsidRPr="001013C0">
        <w:t xml:space="preserve"> status (see further comment below on the impact of </w:t>
      </w:r>
      <w:proofErr w:type="spellStart"/>
      <w:r w:rsidR="00CA4595" w:rsidRPr="001013C0">
        <w:t>JobPath</w:t>
      </w:r>
      <w:proofErr w:type="spellEnd"/>
      <w:r w:rsidR="00CA4595" w:rsidRPr="001013C0">
        <w:t xml:space="preserve"> for this group).</w:t>
      </w:r>
    </w:p>
    <w:p w:rsidR="009453EB" w:rsidRPr="001013C0" w:rsidRDefault="009453EB" w:rsidP="00F526E7">
      <w:pPr>
        <w:pStyle w:val="Heading3"/>
        <w:spacing w:before="0" w:after="120" w:line="240" w:lineRule="auto"/>
        <w:rPr>
          <w:color w:val="auto"/>
        </w:rPr>
      </w:pPr>
      <w:bookmarkStart w:id="9" w:name="_Toc32574271"/>
      <w:proofErr w:type="gramStart"/>
      <w:r w:rsidRPr="001013C0">
        <w:rPr>
          <w:color w:val="auto"/>
        </w:rPr>
        <w:t>p44</w:t>
      </w:r>
      <w:proofErr w:type="gramEnd"/>
      <w:r w:rsidRPr="001013C0">
        <w:rPr>
          <w:color w:val="auto"/>
        </w:rPr>
        <w:t xml:space="preserve"> VI Evaluation Approach</w:t>
      </w:r>
      <w:bookmarkEnd w:id="9"/>
    </w:p>
    <w:p w:rsidR="001B5AA3" w:rsidRPr="001013C0" w:rsidRDefault="001B5AA3" w:rsidP="00F526E7">
      <w:pPr>
        <w:spacing w:after="120" w:line="240" w:lineRule="auto"/>
      </w:pPr>
      <w:proofErr w:type="gramStart"/>
      <w:r w:rsidRPr="001013C0">
        <w:t>p.44-45</w:t>
      </w:r>
      <w:proofErr w:type="gramEnd"/>
      <w:r w:rsidRPr="001013C0">
        <w:t xml:space="preserve"> “The design of </w:t>
      </w:r>
      <w:proofErr w:type="spellStart"/>
      <w:r w:rsidRPr="001013C0">
        <w:t>JobPath</w:t>
      </w:r>
      <w:proofErr w:type="spellEnd"/>
      <w:r w:rsidRPr="001013C0">
        <w:t xml:space="preserve"> has to address a difficult challenge in identifying a control group with a reliable counterfactual outcome, and therefore estimating the impact of </w:t>
      </w:r>
      <w:proofErr w:type="spellStart"/>
      <w:r w:rsidRPr="001013C0">
        <w:t>JobPath</w:t>
      </w:r>
      <w:proofErr w:type="spellEnd"/>
      <w:r w:rsidRPr="001013C0">
        <w:t>, for two main methodological reasons:</w:t>
      </w:r>
    </w:p>
    <w:p w:rsidR="001B5AA3" w:rsidRPr="001013C0" w:rsidRDefault="001B5AA3" w:rsidP="00F526E7">
      <w:pPr>
        <w:pStyle w:val="ListParagraph"/>
        <w:numPr>
          <w:ilvl w:val="0"/>
          <w:numId w:val="10"/>
        </w:numPr>
        <w:spacing w:after="120" w:line="240" w:lineRule="auto"/>
      </w:pPr>
      <w:r w:rsidRPr="001013C0">
        <w:t xml:space="preserve">All jobseekers may be referred to a </w:t>
      </w:r>
      <w:proofErr w:type="spellStart"/>
      <w:r w:rsidRPr="001013C0">
        <w:t>JobPath</w:t>
      </w:r>
      <w:proofErr w:type="spellEnd"/>
      <w:r w:rsidRPr="001013C0">
        <w:t xml:space="preserve"> provider immediately or at a later point in</w:t>
      </w:r>
      <w:r w:rsidR="00524BBE" w:rsidRPr="001013C0">
        <w:t xml:space="preserve"> </w:t>
      </w:r>
      <w:r w:rsidRPr="001013C0">
        <w:t>time,</w:t>
      </w:r>
      <w:r w:rsidR="00524BBE" w:rsidRPr="001013C0">
        <w:t xml:space="preserve"> </w:t>
      </w:r>
      <w:r w:rsidRPr="001013C0">
        <w:t>which</w:t>
      </w:r>
      <w:r w:rsidR="00524BBE" w:rsidRPr="001013C0">
        <w:t xml:space="preserve"> </w:t>
      </w:r>
      <w:r w:rsidRPr="001013C0">
        <w:t>rules</w:t>
      </w:r>
      <w:r w:rsidR="00524BBE" w:rsidRPr="001013C0">
        <w:t xml:space="preserve"> </w:t>
      </w:r>
      <w:r w:rsidRPr="001013C0">
        <w:t>out</w:t>
      </w:r>
      <w:r w:rsidR="00524BBE" w:rsidRPr="001013C0">
        <w:t xml:space="preserve"> </w:t>
      </w:r>
      <w:r w:rsidRPr="001013C0">
        <w:t>a</w:t>
      </w:r>
      <w:r w:rsidR="00524BBE" w:rsidRPr="001013C0">
        <w:t xml:space="preserve"> </w:t>
      </w:r>
      <w:r w:rsidRPr="001013C0">
        <w:t>straightforward</w:t>
      </w:r>
      <w:r w:rsidR="00524BBE" w:rsidRPr="001013C0">
        <w:t xml:space="preserve"> </w:t>
      </w:r>
      <w:r w:rsidRPr="001013C0">
        <w:t>comparison</w:t>
      </w:r>
      <w:r w:rsidR="00524BBE" w:rsidRPr="001013C0">
        <w:t xml:space="preserve"> </w:t>
      </w:r>
      <w:r w:rsidRPr="001013C0">
        <w:t>between</w:t>
      </w:r>
      <w:r w:rsidR="00524BBE" w:rsidRPr="001013C0">
        <w:t xml:space="preserve"> </w:t>
      </w:r>
      <w:r w:rsidRPr="001013C0">
        <w:t>those</w:t>
      </w:r>
      <w:r w:rsidR="00524BBE" w:rsidRPr="001013C0">
        <w:t xml:space="preserve"> </w:t>
      </w:r>
      <w:r w:rsidRPr="001013C0">
        <w:t>referred</w:t>
      </w:r>
      <w:r w:rsidR="00524BBE" w:rsidRPr="001013C0">
        <w:t xml:space="preserve"> </w:t>
      </w:r>
      <w:r w:rsidRPr="001013C0">
        <w:t xml:space="preserve">to </w:t>
      </w:r>
      <w:proofErr w:type="spellStart"/>
      <w:r w:rsidRPr="001013C0">
        <w:t>JobPath</w:t>
      </w:r>
      <w:proofErr w:type="spellEnd"/>
      <w:r w:rsidRPr="001013C0">
        <w:t xml:space="preserve"> and those not referred…. </w:t>
      </w:r>
    </w:p>
    <w:p w:rsidR="001B5AA3" w:rsidRPr="001013C0" w:rsidRDefault="001B5AA3" w:rsidP="00F526E7">
      <w:pPr>
        <w:pStyle w:val="ListParagraph"/>
        <w:numPr>
          <w:ilvl w:val="0"/>
          <w:numId w:val="10"/>
        </w:numPr>
        <w:spacing w:after="120" w:line="240" w:lineRule="auto"/>
      </w:pPr>
      <w:r w:rsidRPr="001013C0">
        <w:t xml:space="preserve">The measured effect of </w:t>
      </w:r>
      <w:proofErr w:type="spellStart"/>
      <w:r w:rsidRPr="001013C0">
        <w:t>JobPath</w:t>
      </w:r>
      <w:proofErr w:type="spellEnd"/>
      <w:r w:rsidRPr="001013C0">
        <w:t xml:space="preserve"> is contingent on the time when referral occurred and the</w:t>
      </w:r>
      <w:r w:rsidR="00524BBE" w:rsidRPr="001013C0">
        <w:t xml:space="preserve"> </w:t>
      </w:r>
      <w:r w:rsidRPr="001013C0">
        <w:t>time</w:t>
      </w:r>
      <w:r w:rsidR="00524BBE" w:rsidRPr="001013C0">
        <w:t xml:space="preserve"> </w:t>
      </w:r>
      <w:r w:rsidRPr="001013C0">
        <w:t>that</w:t>
      </w:r>
      <w:r w:rsidR="00524BBE" w:rsidRPr="001013C0">
        <w:t xml:space="preserve"> </w:t>
      </w:r>
      <w:r w:rsidRPr="001013C0">
        <w:t>has</w:t>
      </w:r>
      <w:r w:rsidR="00524BBE" w:rsidRPr="001013C0">
        <w:t xml:space="preserve"> </w:t>
      </w:r>
      <w:r w:rsidRPr="001013C0">
        <w:t>elapsed</w:t>
      </w:r>
      <w:r w:rsidR="00524BBE" w:rsidRPr="001013C0">
        <w:t xml:space="preserve"> </w:t>
      </w:r>
      <w:r w:rsidRPr="001013C0">
        <w:t>since</w:t>
      </w:r>
      <w:r w:rsidR="00524BBE" w:rsidRPr="001013C0">
        <w:t xml:space="preserve"> </w:t>
      </w:r>
      <w:r w:rsidRPr="001013C0">
        <w:t>referral.</w:t>
      </w:r>
      <w:r w:rsidR="00524BBE" w:rsidRPr="001013C0">
        <w:t xml:space="preserve"> </w:t>
      </w:r>
      <w:r w:rsidRPr="001013C0">
        <w:t>For</w:t>
      </w:r>
      <w:r w:rsidR="00524BBE" w:rsidRPr="001013C0">
        <w:t xml:space="preserve"> </w:t>
      </w:r>
      <w:r w:rsidRPr="001013C0">
        <w:t>this</w:t>
      </w:r>
      <w:r w:rsidR="00524BBE" w:rsidRPr="001013C0">
        <w:t xml:space="preserve"> </w:t>
      </w:r>
      <w:r w:rsidRPr="001013C0">
        <w:t>reason,</w:t>
      </w:r>
      <w:r w:rsidR="00524BBE" w:rsidRPr="001013C0">
        <w:t xml:space="preserve"> </w:t>
      </w:r>
      <w:r w:rsidRPr="001013C0">
        <w:t>subsequent</w:t>
      </w:r>
      <w:r w:rsidR="00524BBE" w:rsidRPr="001013C0">
        <w:t xml:space="preserve"> </w:t>
      </w:r>
      <w:r w:rsidRPr="001013C0">
        <w:t>analysis</w:t>
      </w:r>
      <w:r w:rsidR="00524BBE" w:rsidRPr="001013C0">
        <w:t xml:space="preserve"> </w:t>
      </w:r>
      <w:r w:rsidRPr="001013C0">
        <w:t>will attempt</w:t>
      </w:r>
      <w:r w:rsidR="00524BBE" w:rsidRPr="001013C0">
        <w:t xml:space="preserve"> </w:t>
      </w:r>
      <w:r w:rsidRPr="001013C0">
        <w:t>to</w:t>
      </w:r>
      <w:r w:rsidR="00524BBE" w:rsidRPr="001013C0">
        <w:t xml:space="preserve"> </w:t>
      </w:r>
      <w:r w:rsidRPr="001013C0">
        <w:t>measure</w:t>
      </w:r>
      <w:r w:rsidR="00524BBE" w:rsidRPr="001013C0">
        <w:t xml:space="preserve"> </w:t>
      </w:r>
      <w:r w:rsidRPr="001013C0">
        <w:t>who</w:t>
      </w:r>
      <w:r w:rsidR="00524BBE" w:rsidRPr="001013C0">
        <w:t xml:space="preserve"> </w:t>
      </w:r>
      <w:r w:rsidRPr="001013C0">
        <w:t>does</w:t>
      </w:r>
      <w:r w:rsidR="00524BBE" w:rsidRPr="001013C0">
        <w:t xml:space="preserve"> </w:t>
      </w:r>
      <w:r w:rsidRPr="001013C0">
        <w:t>better</w:t>
      </w:r>
      <w:r w:rsidR="00524BBE" w:rsidRPr="001013C0">
        <w:t xml:space="preserve"> </w:t>
      </w:r>
      <w:r w:rsidRPr="001013C0">
        <w:t>–</w:t>
      </w:r>
      <w:r w:rsidR="00524BBE" w:rsidRPr="001013C0">
        <w:t xml:space="preserve"> </w:t>
      </w:r>
      <w:r w:rsidRPr="001013C0">
        <w:t>jobseekers</w:t>
      </w:r>
      <w:r w:rsidR="00524BBE" w:rsidRPr="001013C0">
        <w:t xml:space="preserve"> </w:t>
      </w:r>
      <w:r w:rsidRPr="001013C0">
        <w:t>referred</w:t>
      </w:r>
      <w:r w:rsidR="00524BBE" w:rsidRPr="001013C0">
        <w:t xml:space="preserve"> </w:t>
      </w:r>
      <w:r w:rsidRPr="001013C0">
        <w:t>soon</w:t>
      </w:r>
      <w:r w:rsidR="00524BBE" w:rsidRPr="001013C0">
        <w:t xml:space="preserve"> </w:t>
      </w:r>
      <w:r w:rsidRPr="001013C0">
        <w:t>after</w:t>
      </w:r>
      <w:r w:rsidR="00524BBE" w:rsidRPr="001013C0">
        <w:t xml:space="preserve"> </w:t>
      </w:r>
      <w:r w:rsidRPr="001013C0">
        <w:t xml:space="preserve">becoming eligible or jobseekers referred to </w:t>
      </w:r>
      <w:proofErr w:type="spellStart"/>
      <w:r w:rsidRPr="001013C0">
        <w:t>JobPath</w:t>
      </w:r>
      <w:proofErr w:type="spellEnd"/>
      <w:r w:rsidRPr="001013C0">
        <w:t xml:space="preserve"> long after passing the eligibility threshold.”</w:t>
      </w:r>
    </w:p>
    <w:p w:rsidR="001B5AA3" w:rsidRPr="001013C0" w:rsidRDefault="0090798B" w:rsidP="00F526E7">
      <w:pPr>
        <w:spacing w:after="120" w:line="240" w:lineRule="auto"/>
      </w:pPr>
      <w:r w:rsidRPr="001013C0">
        <w:t xml:space="preserve">Regarding the first of these points, reported impacts compare the treatment group with the control group which “includes also those who received </w:t>
      </w:r>
      <w:proofErr w:type="spellStart"/>
      <w:r w:rsidRPr="001013C0">
        <w:t>JobPath</w:t>
      </w:r>
      <w:proofErr w:type="spellEnd"/>
      <w:r w:rsidRPr="001013C0">
        <w:t xml:space="preserve"> after Quarter 1 of 2016” (p.52), i.e. with no adjustment for the fact that part of the control group, at a later date, itself receives the treatment.</w:t>
      </w:r>
    </w:p>
    <w:p w:rsidR="0090798B" w:rsidRPr="001013C0" w:rsidRDefault="0090798B" w:rsidP="00F526E7">
      <w:pPr>
        <w:spacing w:after="120" w:line="240" w:lineRule="auto"/>
      </w:pPr>
      <w:r w:rsidRPr="001013C0">
        <w:t xml:space="preserve">Plausibly the various biases that arise despite random assignment at the time of referral, given that the authors are aware of these biases and seek to minimise them, do not much undermine the operational usefulness </w:t>
      </w:r>
      <w:r w:rsidR="0062290B" w:rsidRPr="001013C0">
        <w:t>of the impact estimates.</w:t>
      </w:r>
    </w:p>
    <w:p w:rsidR="009453EB" w:rsidRPr="001013C0" w:rsidRDefault="009453EB" w:rsidP="00F526E7">
      <w:pPr>
        <w:pStyle w:val="Heading3"/>
        <w:spacing w:before="0" w:after="120" w:line="240" w:lineRule="auto"/>
        <w:rPr>
          <w:color w:val="auto"/>
        </w:rPr>
      </w:pPr>
      <w:bookmarkStart w:id="10" w:name="_Toc32574272"/>
      <w:proofErr w:type="gramStart"/>
      <w:r w:rsidRPr="001013C0">
        <w:rPr>
          <w:color w:val="auto"/>
        </w:rPr>
        <w:t>p52</w:t>
      </w:r>
      <w:proofErr w:type="gramEnd"/>
      <w:r w:rsidRPr="001013C0">
        <w:rPr>
          <w:color w:val="auto"/>
        </w:rPr>
        <w:t xml:space="preserve"> VII. Results</w:t>
      </w:r>
      <w:r w:rsidR="001013C0" w:rsidRPr="001013C0">
        <w:rPr>
          <w:color w:val="auto"/>
        </w:rPr>
        <w:t>: labour market outcomes</w:t>
      </w:r>
      <w:bookmarkEnd w:id="10"/>
    </w:p>
    <w:p w:rsidR="009453EB" w:rsidRPr="001013C0" w:rsidRDefault="009453EB" w:rsidP="00F526E7">
      <w:pPr>
        <w:spacing w:after="120" w:line="240" w:lineRule="auto"/>
      </w:pPr>
      <w:r w:rsidRPr="001013C0">
        <w:t xml:space="preserve">p52. This section is </w:t>
      </w:r>
      <w:r w:rsidR="001013C0" w:rsidRPr="001013C0">
        <w:t>numbered incorrectly as “V. Results: labour market outcomes”</w:t>
      </w:r>
    </w:p>
    <w:p w:rsidR="00382A40" w:rsidRPr="001013C0" w:rsidRDefault="005F5035" w:rsidP="00F526E7">
      <w:pPr>
        <w:spacing w:after="120" w:line="240" w:lineRule="auto"/>
      </w:pPr>
      <w:proofErr w:type="gramStart"/>
      <w:r w:rsidRPr="001013C0">
        <w:t>p.54</w:t>
      </w:r>
      <w:proofErr w:type="gramEnd"/>
      <w:r w:rsidRPr="001013C0">
        <w:t xml:space="preserve"> </w:t>
      </w:r>
      <w:r w:rsidR="00382A40" w:rsidRPr="001013C0">
        <w:t xml:space="preserve">Tables 30-32. </w:t>
      </w:r>
    </w:p>
    <w:p w:rsidR="00771312" w:rsidRPr="001013C0" w:rsidRDefault="00382A40" w:rsidP="00F526E7">
      <w:pPr>
        <w:pStyle w:val="ListParagraph"/>
        <w:numPr>
          <w:ilvl w:val="0"/>
          <w:numId w:val="13"/>
        </w:numPr>
        <w:spacing w:after="120" w:line="240" w:lineRule="auto"/>
      </w:pPr>
      <w:r w:rsidRPr="001013C0">
        <w:t>Are the table titles correct? According to the table titles, impacts on total (annual) earnings are reported for 2017 but impacts on earnings per week and welfare payments are reported for 2018.</w:t>
      </w:r>
    </w:p>
    <w:p w:rsidR="00382A40" w:rsidRPr="001013C0" w:rsidRDefault="00382A40" w:rsidP="00F526E7">
      <w:pPr>
        <w:pStyle w:val="ListParagraph"/>
        <w:numPr>
          <w:ilvl w:val="0"/>
          <w:numId w:val="13"/>
        </w:numPr>
        <w:spacing w:after="120" w:line="240" w:lineRule="auto"/>
      </w:pPr>
      <w:r w:rsidRPr="001013C0">
        <w:t>Are the table footnotes correct? Table 31 footnote reads “Includes all individuals with or without earnings in 2017” but the title says the data are for earnings (per week) in 2018.</w:t>
      </w:r>
    </w:p>
    <w:p w:rsidR="0029520D" w:rsidRPr="001013C0" w:rsidRDefault="00771312" w:rsidP="00F526E7">
      <w:pPr>
        <w:spacing w:after="120" w:line="240" w:lineRule="auto"/>
      </w:pPr>
      <w:proofErr w:type="gramStart"/>
      <w:r w:rsidRPr="001013C0">
        <w:lastRenderedPageBreak/>
        <w:t>p.54</w:t>
      </w:r>
      <w:proofErr w:type="gramEnd"/>
      <w:r w:rsidRPr="001013C0">
        <w:t xml:space="preserve"> </w:t>
      </w:r>
      <w:r w:rsidR="005F5035" w:rsidRPr="001013C0">
        <w:t xml:space="preserve">In Tables 30-32 </w:t>
      </w:r>
      <w:r w:rsidR="00CA4595" w:rsidRPr="001013C0">
        <w:t xml:space="preserve">“Persistent Longer Duration” is the only group for which the (estimated) impact of </w:t>
      </w:r>
      <w:proofErr w:type="spellStart"/>
      <w:r w:rsidR="00CA4595" w:rsidRPr="001013C0">
        <w:t>JobPath</w:t>
      </w:r>
      <w:proofErr w:type="spellEnd"/>
      <w:r w:rsidR="00CA4595" w:rsidRPr="001013C0">
        <w:t xml:space="preserve"> is a fall in social welfare payments that exceeds the increase in earnings. T</w:t>
      </w:r>
      <w:r w:rsidR="00E74930" w:rsidRPr="001013C0">
        <w:t xml:space="preserve">his could be a desired outcome, </w:t>
      </w:r>
      <w:r w:rsidR="00CA4595" w:rsidRPr="001013C0">
        <w:t>if it represents cutting off benefits for claimants capable of</w:t>
      </w:r>
      <w:r w:rsidR="00E74930" w:rsidRPr="001013C0">
        <w:t xml:space="preserve"> work but not motivated to work</w:t>
      </w:r>
      <w:r w:rsidR="00CA4595" w:rsidRPr="001013C0">
        <w:t xml:space="preserve"> or for claimant</w:t>
      </w:r>
      <w:r w:rsidR="00E74930" w:rsidRPr="001013C0">
        <w:t>s</w:t>
      </w:r>
      <w:r w:rsidR="00CA4595" w:rsidRPr="001013C0">
        <w:t xml:space="preserve"> in undeclared work</w:t>
      </w:r>
      <w:r w:rsidR="00E74930" w:rsidRPr="001013C0">
        <w:t xml:space="preserve">. But it could be an undesired outcome, if it represents a loss of income for people who are unable to work. And it could call for a policy response e.g. a NEET type </w:t>
      </w:r>
      <w:r w:rsidR="0029520D" w:rsidRPr="001013C0">
        <w:t xml:space="preserve">“outreach” service that identifies </w:t>
      </w:r>
      <w:r w:rsidR="00E74930" w:rsidRPr="001013C0">
        <w:t xml:space="preserve">individuals who have dropped a benefit claim </w:t>
      </w:r>
      <w:r w:rsidR="0029520D" w:rsidRPr="001013C0">
        <w:t xml:space="preserve">with apparently no other income, </w:t>
      </w:r>
      <w:r w:rsidR="00E74930" w:rsidRPr="001013C0">
        <w:t xml:space="preserve">checks their circumstances and </w:t>
      </w:r>
      <w:r w:rsidR="0029520D" w:rsidRPr="001013C0">
        <w:t xml:space="preserve">where relevant calls in social workers, </w:t>
      </w:r>
      <w:r w:rsidR="00E74930" w:rsidRPr="001013C0">
        <w:t xml:space="preserve">helps with </w:t>
      </w:r>
      <w:r w:rsidR="0029520D" w:rsidRPr="001013C0">
        <w:t xml:space="preserve">an application for </w:t>
      </w:r>
      <w:r w:rsidR="00E74930" w:rsidRPr="001013C0">
        <w:t xml:space="preserve">disability benefit, </w:t>
      </w:r>
      <w:r w:rsidR="0029520D" w:rsidRPr="001013C0">
        <w:t>etc.</w:t>
      </w:r>
    </w:p>
    <w:p w:rsidR="00931276" w:rsidRDefault="005F5035" w:rsidP="00F526E7">
      <w:pPr>
        <w:spacing w:after="120" w:line="240" w:lineRule="auto"/>
      </w:pPr>
      <w:r w:rsidRPr="001013C0">
        <w:t>p.55 “</w:t>
      </w:r>
      <w:r w:rsidR="00771312" w:rsidRPr="001013C0">
        <w:t xml:space="preserve">Table 32 </w:t>
      </w:r>
      <w:r w:rsidRPr="001013C0">
        <w:t>outlines</w:t>
      </w:r>
      <w:r w:rsidR="00524BBE" w:rsidRPr="001013C0">
        <w:t xml:space="preserve"> </w:t>
      </w:r>
      <w:r w:rsidRPr="001013C0">
        <w:t>the</w:t>
      </w:r>
      <w:r w:rsidR="00524BBE" w:rsidRPr="001013C0">
        <w:t xml:space="preserve"> </w:t>
      </w:r>
      <w:r w:rsidRPr="001013C0">
        <w:t>decrease</w:t>
      </w:r>
      <w:r w:rsidR="00524BBE" w:rsidRPr="001013C0">
        <w:t xml:space="preserve"> </w:t>
      </w:r>
      <w:r w:rsidRPr="001013C0">
        <w:t>for</w:t>
      </w:r>
      <w:r w:rsidR="00524BBE" w:rsidRPr="001013C0">
        <w:t xml:space="preserve"> </w:t>
      </w:r>
      <w:r w:rsidRPr="001013C0">
        <w:t>each</w:t>
      </w:r>
      <w:r w:rsidR="00524BBE" w:rsidRPr="001013C0">
        <w:t xml:space="preserve"> </w:t>
      </w:r>
      <w:r w:rsidRPr="001013C0">
        <w:t>cluster</w:t>
      </w:r>
      <w:r w:rsidR="00524BBE" w:rsidRPr="001013C0">
        <w:t xml:space="preserve"> </w:t>
      </w:r>
      <w:r w:rsidRPr="001013C0">
        <w:t>in</w:t>
      </w:r>
      <w:r w:rsidR="00524BBE" w:rsidRPr="001013C0">
        <w:t xml:space="preserve"> </w:t>
      </w:r>
      <w:r w:rsidRPr="001013C0">
        <w:t>the</w:t>
      </w:r>
      <w:r w:rsidR="00524BBE" w:rsidRPr="001013C0">
        <w:t xml:space="preserve"> </w:t>
      </w:r>
      <w:r w:rsidR="00771312" w:rsidRPr="001013C0">
        <w:t xml:space="preserve">[welfare] </w:t>
      </w:r>
      <w:r w:rsidRPr="001013C0">
        <w:t>payments</w:t>
      </w:r>
      <w:r w:rsidR="00524BBE" w:rsidRPr="001013C0">
        <w:t xml:space="preserve"> </w:t>
      </w:r>
      <w:r w:rsidRPr="001013C0">
        <w:t>made</w:t>
      </w:r>
      <w:r w:rsidR="00524BBE" w:rsidRPr="001013C0">
        <w:t xml:space="preserve"> </w:t>
      </w:r>
      <w:r w:rsidR="00771312" w:rsidRPr="001013C0">
        <w:t>to</w:t>
      </w:r>
      <w:r w:rsidR="00524BBE" w:rsidRPr="001013C0">
        <w:t xml:space="preserve"> </w:t>
      </w:r>
      <w:r w:rsidR="00771312" w:rsidRPr="001013C0">
        <w:t>those</w:t>
      </w:r>
      <w:r w:rsidR="00524BBE" w:rsidRPr="001013C0">
        <w:t xml:space="preserve"> </w:t>
      </w:r>
      <w:r w:rsidR="00771312" w:rsidRPr="001013C0">
        <w:t>who</w:t>
      </w:r>
      <w:r w:rsidR="00524BBE" w:rsidRPr="001013C0">
        <w:t xml:space="preserve"> </w:t>
      </w:r>
      <w:r w:rsidR="00771312" w:rsidRPr="001013C0">
        <w:t>received</w:t>
      </w:r>
      <w:r w:rsidR="00524BBE" w:rsidRPr="001013C0">
        <w:t xml:space="preserve"> </w:t>
      </w:r>
      <w:r w:rsidR="00771312" w:rsidRPr="001013C0">
        <w:t xml:space="preserve">the </w:t>
      </w:r>
      <w:proofErr w:type="spellStart"/>
      <w:r w:rsidRPr="001013C0">
        <w:t>JobPath</w:t>
      </w:r>
      <w:proofErr w:type="spellEnd"/>
      <w:r w:rsidRPr="001013C0">
        <w:t xml:space="preserve"> service compared to those who did not.</w:t>
      </w:r>
      <w:r w:rsidR="00771312" w:rsidRPr="001013C0">
        <w:t xml:space="preserve">” </w:t>
      </w:r>
    </w:p>
    <w:p w:rsidR="005769BE" w:rsidRPr="001013C0" w:rsidRDefault="00771312" w:rsidP="00F526E7">
      <w:pPr>
        <w:spacing w:after="120" w:line="240" w:lineRule="auto"/>
      </w:pPr>
      <w:r w:rsidRPr="001013C0">
        <w:sym w:font="Wingdings" w:char="F0E0"/>
      </w:r>
      <w:r w:rsidRPr="001013C0">
        <w:t xml:space="preserve"> </w:t>
      </w:r>
      <w:proofErr w:type="gramStart"/>
      <w:r w:rsidRPr="001013C0">
        <w:t>in</w:t>
      </w:r>
      <w:proofErr w:type="gramEnd"/>
      <w:r w:rsidRPr="001013C0">
        <w:t xml:space="preserve"> fact an increase in welfare payments is reported for the three groups “Younger Professionals”, “Shorter Duration” and “Older with strong employment history”! This seems surprising for the first two groups where annual earnings </w:t>
      </w:r>
      <w:r w:rsidR="00931276">
        <w:t>Table reports increases</w:t>
      </w:r>
      <w:r w:rsidRPr="001013C0">
        <w:t xml:space="preserve"> </w:t>
      </w:r>
      <w:r w:rsidR="00931276">
        <w:t xml:space="preserve">of </w:t>
      </w:r>
      <w:r w:rsidRPr="001013C0">
        <w:t xml:space="preserve">over 2500€ and by more than 50%. </w:t>
      </w:r>
      <w:r w:rsidR="00A16FF6" w:rsidRPr="001013C0">
        <w:t xml:space="preserve">Some commentary on the </w:t>
      </w:r>
      <w:r w:rsidR="00931276">
        <w:t xml:space="preserve">near-zero falls and </w:t>
      </w:r>
      <w:r w:rsidR="00A16FF6" w:rsidRPr="001013C0">
        <w:t xml:space="preserve">increases in social welfare payments would be welcome. </w:t>
      </w:r>
      <w:r w:rsidR="00382A40" w:rsidRPr="001013C0">
        <w:t>If the annual earnings impact</w:t>
      </w:r>
      <w:r w:rsidR="00931276">
        <w:t xml:space="preserve">s are really reported for 2017 </w:t>
      </w:r>
      <w:r w:rsidR="00382A40" w:rsidRPr="001013C0">
        <w:t>whereas the welfare payment impacts are reported for 2018</w:t>
      </w:r>
      <w:r w:rsidR="00931276">
        <w:t xml:space="preserve"> (in line with the current titles of Tables 30-32</w:t>
      </w:r>
      <w:r w:rsidR="00382A40" w:rsidRPr="001013C0">
        <w:t xml:space="preserve">) a possible mechanism is that higher earnings in 2017 increased </w:t>
      </w:r>
      <w:r w:rsidR="00A16FF6" w:rsidRPr="001013C0">
        <w:t xml:space="preserve">the individuals’ </w:t>
      </w:r>
      <w:r w:rsidR="00382A40" w:rsidRPr="001013C0">
        <w:t xml:space="preserve">benefit entitlements </w:t>
      </w:r>
      <w:r w:rsidR="00A16FF6" w:rsidRPr="001013C0">
        <w:t xml:space="preserve">(i.e. </w:t>
      </w:r>
      <w:r w:rsidR="00931276">
        <w:t xml:space="preserve">entitlement to </w:t>
      </w:r>
      <w:r w:rsidR="00382A40" w:rsidRPr="001013C0">
        <w:t xml:space="preserve">Unemployment Benefit which is contributory) </w:t>
      </w:r>
      <w:r w:rsidR="00A16FF6" w:rsidRPr="001013C0">
        <w:t>in 2018.</w:t>
      </w:r>
    </w:p>
    <w:p w:rsidR="009453EB" w:rsidRPr="001013C0" w:rsidRDefault="009453EB" w:rsidP="00F526E7">
      <w:pPr>
        <w:pStyle w:val="Heading3"/>
        <w:spacing w:before="0" w:after="120" w:line="240" w:lineRule="auto"/>
        <w:rPr>
          <w:color w:val="auto"/>
        </w:rPr>
      </w:pPr>
      <w:bookmarkStart w:id="11" w:name="_Toc32574273"/>
      <w:proofErr w:type="gramStart"/>
      <w:r w:rsidRPr="001013C0">
        <w:rPr>
          <w:color w:val="auto"/>
        </w:rPr>
        <w:t>p56</w:t>
      </w:r>
      <w:proofErr w:type="gramEnd"/>
      <w:r w:rsidRPr="001013C0">
        <w:rPr>
          <w:color w:val="auto"/>
        </w:rPr>
        <w:t xml:space="preserve"> VIII. Discussion</w:t>
      </w:r>
      <w:bookmarkEnd w:id="11"/>
    </w:p>
    <w:p w:rsidR="00BE18D5" w:rsidRDefault="00931276" w:rsidP="00F526E7">
      <w:pPr>
        <w:spacing w:after="120" w:line="240" w:lineRule="auto"/>
      </w:pPr>
      <w:r>
        <w:t>p.56</w:t>
      </w:r>
      <w:r w:rsidR="00A16FF6" w:rsidRPr="001013C0">
        <w:t xml:space="preserve">. </w:t>
      </w:r>
      <w:r>
        <w:t>“</w:t>
      </w:r>
      <w:r w:rsidR="00A16FF6" w:rsidRPr="001013C0">
        <w:t xml:space="preserve">It is reasonable to infer that the increased employment activity attributable to receiving the </w:t>
      </w:r>
      <w:proofErr w:type="spellStart"/>
      <w:r w:rsidR="00A16FF6" w:rsidRPr="001013C0">
        <w:t>JobPath</w:t>
      </w:r>
      <w:proofErr w:type="spellEnd"/>
      <w:r w:rsidR="00A16FF6" w:rsidRPr="001013C0">
        <w:t xml:space="preserve"> service prevents a drift</w:t>
      </w:r>
      <w:r w:rsidR="00524BBE" w:rsidRPr="001013C0">
        <w:t xml:space="preserve"> </w:t>
      </w:r>
      <w:r w:rsidR="00A16FF6" w:rsidRPr="001013C0">
        <w:t>out</w:t>
      </w:r>
      <w:r w:rsidR="00524BBE" w:rsidRPr="001013C0">
        <w:t xml:space="preserve"> </w:t>
      </w:r>
      <w:r w:rsidR="00A16FF6" w:rsidRPr="001013C0">
        <w:t>of</w:t>
      </w:r>
      <w:r w:rsidR="00524BBE" w:rsidRPr="001013C0">
        <w:t xml:space="preserve"> </w:t>
      </w:r>
      <w:r w:rsidR="00A16FF6" w:rsidRPr="001013C0">
        <w:t>the</w:t>
      </w:r>
      <w:r w:rsidR="00524BBE" w:rsidRPr="001013C0">
        <w:t xml:space="preserve"> </w:t>
      </w:r>
      <w:r w:rsidR="00A16FF6" w:rsidRPr="001013C0">
        <w:t>labour</w:t>
      </w:r>
      <w:r w:rsidR="00524BBE" w:rsidRPr="001013C0">
        <w:t xml:space="preserve"> </w:t>
      </w:r>
      <w:r w:rsidR="00A16FF6" w:rsidRPr="001013C0">
        <w:t>force</w:t>
      </w:r>
      <w:r w:rsidR="00524BBE" w:rsidRPr="001013C0">
        <w:t xml:space="preserve"> </w:t>
      </w:r>
      <w:r w:rsidR="00A16FF6" w:rsidRPr="001013C0">
        <w:t>to</w:t>
      </w:r>
      <w:r w:rsidR="00524BBE" w:rsidRPr="001013C0">
        <w:t xml:space="preserve"> </w:t>
      </w:r>
      <w:r w:rsidR="00A16FF6" w:rsidRPr="001013C0">
        <w:t>inactivity</w:t>
      </w:r>
      <w:r w:rsidR="00524BBE" w:rsidRPr="001013C0">
        <w:t xml:space="preserve"> </w:t>
      </w:r>
      <w:r w:rsidR="00A16FF6" w:rsidRPr="001013C0">
        <w:t>by</w:t>
      </w:r>
      <w:r w:rsidR="00524BBE" w:rsidRPr="001013C0">
        <w:t xml:space="preserve"> </w:t>
      </w:r>
      <w:r w:rsidR="00A16FF6" w:rsidRPr="001013C0">
        <w:t>long-term</w:t>
      </w:r>
      <w:r w:rsidR="00524BBE" w:rsidRPr="001013C0">
        <w:t xml:space="preserve"> </w:t>
      </w:r>
      <w:r w:rsidR="00A16FF6" w:rsidRPr="001013C0">
        <w:t>unemployed</w:t>
      </w:r>
      <w:r w:rsidR="00524BBE" w:rsidRPr="001013C0">
        <w:t xml:space="preserve"> </w:t>
      </w:r>
      <w:r w:rsidR="00A16FF6" w:rsidRPr="001013C0">
        <w:t>people</w:t>
      </w:r>
      <w:r w:rsidR="00524BBE" w:rsidRPr="001013C0">
        <w:t xml:space="preserve"> </w:t>
      </w:r>
      <w:r w:rsidR="00A16FF6" w:rsidRPr="001013C0">
        <w:t>at</w:t>
      </w:r>
      <w:r w:rsidR="00524BBE" w:rsidRPr="001013C0">
        <w:t xml:space="preserve"> </w:t>
      </w:r>
      <w:r w:rsidR="00A16FF6" w:rsidRPr="001013C0">
        <w:t>a</w:t>
      </w:r>
      <w:r w:rsidR="00524BBE" w:rsidRPr="001013C0">
        <w:t xml:space="preserve"> </w:t>
      </w:r>
      <w:r w:rsidR="00A16FF6" w:rsidRPr="001013C0">
        <w:t>time</w:t>
      </w:r>
      <w:r w:rsidR="00524BBE" w:rsidRPr="001013C0">
        <w:t xml:space="preserve"> </w:t>
      </w:r>
      <w:r w:rsidR="00A16FF6" w:rsidRPr="001013C0">
        <w:t>when increasing the size of the labour force through increased participation is a strategic priority.</w:t>
      </w:r>
      <w:r>
        <w:t>”</w:t>
      </w:r>
    </w:p>
    <w:p w:rsidR="00A16FF6" w:rsidRPr="001013C0" w:rsidRDefault="00A16FF6" w:rsidP="00F526E7">
      <w:pPr>
        <w:spacing w:after="120" w:line="240" w:lineRule="auto"/>
      </w:pPr>
      <w:r w:rsidRPr="001013C0">
        <w:sym w:font="Wingdings" w:char="F0E0"/>
      </w:r>
      <w:r w:rsidRPr="001013C0">
        <w:t xml:space="preserve"> </w:t>
      </w:r>
      <w:proofErr w:type="gramStart"/>
      <w:r w:rsidRPr="001013C0">
        <w:t>as</w:t>
      </w:r>
      <w:proofErr w:type="gramEnd"/>
      <w:r w:rsidRPr="001013C0">
        <w:t xml:space="preserve"> noted above, the impact estimates seem to show rather the opposite for the “Persistent Longer Duration” group. At the same time, reducing welfare payments to a target population may increas</w:t>
      </w:r>
      <w:r w:rsidR="00931276">
        <w:t>e the motivation to enter work. A</w:t>
      </w:r>
      <w:r w:rsidRPr="001013C0">
        <w:t xml:space="preserve">nd the strategic </w:t>
      </w:r>
      <w:r w:rsidR="00931276">
        <w:t xml:space="preserve">objective </w:t>
      </w:r>
      <w:r w:rsidRPr="001013C0">
        <w:t>should be to increase employment</w:t>
      </w:r>
      <w:r w:rsidR="00931276">
        <w:t>,</w:t>
      </w:r>
      <w:r w:rsidRPr="001013C0">
        <w:t xml:space="preserve"> not participation </w:t>
      </w:r>
      <w:r w:rsidR="00931276">
        <w:t>without employment (</w:t>
      </w:r>
      <w:r w:rsidR="00524BBE" w:rsidRPr="001013C0">
        <w:t xml:space="preserve">i.e. </w:t>
      </w:r>
      <w:r w:rsidRPr="001013C0">
        <w:t>unemplo</w:t>
      </w:r>
      <w:bookmarkStart w:id="12" w:name="_GoBack"/>
      <w:bookmarkEnd w:id="12"/>
      <w:r w:rsidRPr="001013C0">
        <w:t>ymen</w:t>
      </w:r>
      <w:r w:rsidR="00931276">
        <w:t>t).</w:t>
      </w:r>
    </w:p>
    <w:sectPr w:rsidR="00A16FF6" w:rsidRPr="001013C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4A" w:rsidRDefault="00EB1D4A" w:rsidP="001013C0">
      <w:pPr>
        <w:spacing w:after="0" w:line="240" w:lineRule="auto"/>
      </w:pPr>
      <w:r>
        <w:separator/>
      </w:r>
    </w:p>
  </w:endnote>
  <w:endnote w:type="continuationSeparator" w:id="0">
    <w:p w:rsidR="00EB1D4A" w:rsidRDefault="00EB1D4A" w:rsidP="0010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429987"/>
      <w:docPartObj>
        <w:docPartGallery w:val="Page Numbers (Bottom of Page)"/>
        <w:docPartUnique/>
      </w:docPartObj>
    </w:sdtPr>
    <w:sdtEndPr>
      <w:rPr>
        <w:noProof/>
      </w:rPr>
    </w:sdtEndPr>
    <w:sdtContent>
      <w:p w:rsidR="001013C0" w:rsidRDefault="001013C0">
        <w:pPr>
          <w:pStyle w:val="Footer"/>
          <w:jc w:val="right"/>
        </w:pPr>
        <w:r>
          <w:fldChar w:fldCharType="begin"/>
        </w:r>
        <w:r>
          <w:instrText xml:space="preserve"> PAGE   \* MERGEFORMAT </w:instrText>
        </w:r>
        <w:r>
          <w:fldChar w:fldCharType="separate"/>
        </w:r>
        <w:r w:rsidR="00931276">
          <w:rPr>
            <w:noProof/>
          </w:rPr>
          <w:t>8</w:t>
        </w:r>
        <w:r>
          <w:rPr>
            <w:noProof/>
          </w:rPr>
          <w:fldChar w:fldCharType="end"/>
        </w:r>
      </w:p>
    </w:sdtContent>
  </w:sdt>
  <w:p w:rsidR="001013C0" w:rsidRDefault="00101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4A" w:rsidRDefault="00EB1D4A" w:rsidP="001013C0">
      <w:pPr>
        <w:spacing w:after="0" w:line="240" w:lineRule="auto"/>
      </w:pPr>
      <w:r>
        <w:separator/>
      </w:r>
    </w:p>
  </w:footnote>
  <w:footnote w:type="continuationSeparator" w:id="0">
    <w:p w:rsidR="00EB1D4A" w:rsidRDefault="00EB1D4A" w:rsidP="001013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B97"/>
    <w:multiLevelType w:val="hybridMultilevel"/>
    <w:tmpl w:val="9362C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7684A"/>
    <w:multiLevelType w:val="hybridMultilevel"/>
    <w:tmpl w:val="3BF21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4DED"/>
    <w:multiLevelType w:val="hybridMultilevel"/>
    <w:tmpl w:val="7BC00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293151"/>
    <w:multiLevelType w:val="hybridMultilevel"/>
    <w:tmpl w:val="386A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D00469"/>
    <w:multiLevelType w:val="hybridMultilevel"/>
    <w:tmpl w:val="C40A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D428CF"/>
    <w:multiLevelType w:val="hybridMultilevel"/>
    <w:tmpl w:val="6DFAA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FC54D6"/>
    <w:multiLevelType w:val="hybridMultilevel"/>
    <w:tmpl w:val="D242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5B5425"/>
    <w:multiLevelType w:val="hybridMultilevel"/>
    <w:tmpl w:val="9E7CA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40B0C"/>
    <w:multiLevelType w:val="hybridMultilevel"/>
    <w:tmpl w:val="DD1A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5F6058"/>
    <w:multiLevelType w:val="hybridMultilevel"/>
    <w:tmpl w:val="B212D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466068"/>
    <w:multiLevelType w:val="hybridMultilevel"/>
    <w:tmpl w:val="A378D5E4"/>
    <w:lvl w:ilvl="0" w:tplc="060A102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35121B"/>
    <w:multiLevelType w:val="hybridMultilevel"/>
    <w:tmpl w:val="AA5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DB1028"/>
    <w:multiLevelType w:val="hybridMultilevel"/>
    <w:tmpl w:val="8A5EDFB2"/>
    <w:lvl w:ilvl="0" w:tplc="060A102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11"/>
  </w:num>
  <w:num w:numId="6">
    <w:abstractNumId w:val="4"/>
  </w:num>
  <w:num w:numId="7">
    <w:abstractNumId w:val="8"/>
  </w:num>
  <w:num w:numId="8">
    <w:abstractNumId w:val="3"/>
  </w:num>
  <w:num w:numId="9">
    <w:abstractNumId w:val="0"/>
  </w:num>
  <w:num w:numId="10">
    <w:abstractNumId w:val="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41"/>
    <w:rsid w:val="00026CE5"/>
    <w:rsid w:val="00064629"/>
    <w:rsid w:val="000837B5"/>
    <w:rsid w:val="000D0296"/>
    <w:rsid w:val="001013C0"/>
    <w:rsid w:val="00177E37"/>
    <w:rsid w:val="001A5041"/>
    <w:rsid w:val="001B5AA3"/>
    <w:rsid w:val="001D1ADE"/>
    <w:rsid w:val="002236E2"/>
    <w:rsid w:val="00257628"/>
    <w:rsid w:val="00267805"/>
    <w:rsid w:val="00273D3D"/>
    <w:rsid w:val="0029520D"/>
    <w:rsid w:val="002A69E4"/>
    <w:rsid w:val="002E12EC"/>
    <w:rsid w:val="003405B4"/>
    <w:rsid w:val="00362180"/>
    <w:rsid w:val="00382A40"/>
    <w:rsid w:val="004759AD"/>
    <w:rsid w:val="0048398D"/>
    <w:rsid w:val="00483AA7"/>
    <w:rsid w:val="004A3E3B"/>
    <w:rsid w:val="004C5A43"/>
    <w:rsid w:val="004D787C"/>
    <w:rsid w:val="00524BBE"/>
    <w:rsid w:val="005367AA"/>
    <w:rsid w:val="005658AA"/>
    <w:rsid w:val="005769BE"/>
    <w:rsid w:val="005A5A6B"/>
    <w:rsid w:val="005B70E6"/>
    <w:rsid w:val="005F5035"/>
    <w:rsid w:val="00604872"/>
    <w:rsid w:val="00612272"/>
    <w:rsid w:val="00622312"/>
    <w:rsid w:val="0062290B"/>
    <w:rsid w:val="00630685"/>
    <w:rsid w:val="00631C5B"/>
    <w:rsid w:val="006A7DAF"/>
    <w:rsid w:val="006C3912"/>
    <w:rsid w:val="006E0CAE"/>
    <w:rsid w:val="006F33F7"/>
    <w:rsid w:val="007238CF"/>
    <w:rsid w:val="00741B1B"/>
    <w:rsid w:val="00771312"/>
    <w:rsid w:val="007916A0"/>
    <w:rsid w:val="007B409F"/>
    <w:rsid w:val="007F314F"/>
    <w:rsid w:val="008079C7"/>
    <w:rsid w:val="00842D55"/>
    <w:rsid w:val="008C3B5E"/>
    <w:rsid w:val="008D416A"/>
    <w:rsid w:val="0090798B"/>
    <w:rsid w:val="00931276"/>
    <w:rsid w:val="009453EB"/>
    <w:rsid w:val="009565B1"/>
    <w:rsid w:val="00964B34"/>
    <w:rsid w:val="009665B7"/>
    <w:rsid w:val="009832A4"/>
    <w:rsid w:val="009E5CC8"/>
    <w:rsid w:val="00A16FF6"/>
    <w:rsid w:val="00A77FD3"/>
    <w:rsid w:val="00A860EA"/>
    <w:rsid w:val="00AA6F7C"/>
    <w:rsid w:val="00AB2DBA"/>
    <w:rsid w:val="00B6768C"/>
    <w:rsid w:val="00B872A3"/>
    <w:rsid w:val="00BA3790"/>
    <w:rsid w:val="00BD6997"/>
    <w:rsid w:val="00BE18D5"/>
    <w:rsid w:val="00C12225"/>
    <w:rsid w:val="00CA4595"/>
    <w:rsid w:val="00CA4E5B"/>
    <w:rsid w:val="00CC6E64"/>
    <w:rsid w:val="00CE5D1A"/>
    <w:rsid w:val="00CF4722"/>
    <w:rsid w:val="00DB2EDF"/>
    <w:rsid w:val="00E5069B"/>
    <w:rsid w:val="00E712DE"/>
    <w:rsid w:val="00E74930"/>
    <w:rsid w:val="00E8271C"/>
    <w:rsid w:val="00E94C4C"/>
    <w:rsid w:val="00EB1D4A"/>
    <w:rsid w:val="00F526E7"/>
    <w:rsid w:val="00F6751C"/>
    <w:rsid w:val="00FA221A"/>
    <w:rsid w:val="00FD1A95"/>
    <w:rsid w:val="00FD4474"/>
    <w:rsid w:val="00FF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1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453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2D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079C7"/>
    <w:pPr>
      <w:ind w:left="720"/>
      <w:contextualSpacing/>
    </w:pPr>
  </w:style>
  <w:style w:type="paragraph" w:styleId="BalloonText">
    <w:name w:val="Balloon Text"/>
    <w:basedOn w:val="Normal"/>
    <w:link w:val="BalloonTextChar"/>
    <w:uiPriority w:val="99"/>
    <w:semiHidden/>
    <w:unhideWhenUsed/>
    <w:rsid w:val="008C3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5E"/>
    <w:rPr>
      <w:rFonts w:ascii="Tahoma" w:hAnsi="Tahoma" w:cs="Tahoma"/>
      <w:sz w:val="16"/>
      <w:szCs w:val="16"/>
    </w:rPr>
  </w:style>
  <w:style w:type="character" w:styleId="Hyperlink">
    <w:name w:val="Hyperlink"/>
    <w:basedOn w:val="DefaultParagraphFont"/>
    <w:uiPriority w:val="99"/>
    <w:unhideWhenUsed/>
    <w:rsid w:val="005A5A6B"/>
    <w:rPr>
      <w:color w:val="0000FF"/>
      <w:u w:val="single"/>
    </w:rPr>
  </w:style>
  <w:style w:type="character" w:customStyle="1" w:styleId="Heading5Char">
    <w:name w:val="Heading 5 Char"/>
    <w:basedOn w:val="DefaultParagraphFont"/>
    <w:link w:val="Heading5"/>
    <w:uiPriority w:val="9"/>
    <w:rsid w:val="009453EB"/>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9453EB"/>
    <w:pPr>
      <w:spacing w:after="100"/>
      <w:ind w:left="220"/>
    </w:pPr>
  </w:style>
  <w:style w:type="paragraph" w:styleId="TOC3">
    <w:name w:val="toc 3"/>
    <w:basedOn w:val="Normal"/>
    <w:next w:val="Normal"/>
    <w:autoRedefine/>
    <w:uiPriority w:val="39"/>
    <w:unhideWhenUsed/>
    <w:rsid w:val="009453EB"/>
    <w:pPr>
      <w:spacing w:after="100"/>
      <w:ind w:left="440"/>
    </w:pPr>
  </w:style>
  <w:style w:type="paragraph" w:styleId="TOC4">
    <w:name w:val="toc 4"/>
    <w:basedOn w:val="Normal"/>
    <w:next w:val="Normal"/>
    <w:autoRedefine/>
    <w:uiPriority w:val="39"/>
    <w:unhideWhenUsed/>
    <w:rsid w:val="009453EB"/>
    <w:pPr>
      <w:spacing w:after="100"/>
      <w:ind w:left="660"/>
    </w:pPr>
  </w:style>
  <w:style w:type="paragraph" w:styleId="TOC5">
    <w:name w:val="toc 5"/>
    <w:basedOn w:val="Normal"/>
    <w:next w:val="Normal"/>
    <w:autoRedefine/>
    <w:uiPriority w:val="39"/>
    <w:unhideWhenUsed/>
    <w:rsid w:val="009453EB"/>
    <w:pPr>
      <w:spacing w:after="100"/>
      <w:ind w:left="880"/>
    </w:pPr>
  </w:style>
  <w:style w:type="paragraph" w:styleId="Header">
    <w:name w:val="header"/>
    <w:basedOn w:val="Normal"/>
    <w:link w:val="HeaderChar"/>
    <w:uiPriority w:val="99"/>
    <w:unhideWhenUsed/>
    <w:rsid w:val="00101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C0"/>
  </w:style>
  <w:style w:type="paragraph" w:styleId="Footer">
    <w:name w:val="footer"/>
    <w:basedOn w:val="Normal"/>
    <w:link w:val="FooterChar"/>
    <w:uiPriority w:val="99"/>
    <w:unhideWhenUsed/>
    <w:rsid w:val="00101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1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453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2D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079C7"/>
    <w:pPr>
      <w:ind w:left="720"/>
      <w:contextualSpacing/>
    </w:pPr>
  </w:style>
  <w:style w:type="paragraph" w:styleId="BalloonText">
    <w:name w:val="Balloon Text"/>
    <w:basedOn w:val="Normal"/>
    <w:link w:val="BalloonTextChar"/>
    <w:uiPriority w:val="99"/>
    <w:semiHidden/>
    <w:unhideWhenUsed/>
    <w:rsid w:val="008C3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5E"/>
    <w:rPr>
      <w:rFonts w:ascii="Tahoma" w:hAnsi="Tahoma" w:cs="Tahoma"/>
      <w:sz w:val="16"/>
      <w:szCs w:val="16"/>
    </w:rPr>
  </w:style>
  <w:style w:type="character" w:styleId="Hyperlink">
    <w:name w:val="Hyperlink"/>
    <w:basedOn w:val="DefaultParagraphFont"/>
    <w:uiPriority w:val="99"/>
    <w:unhideWhenUsed/>
    <w:rsid w:val="005A5A6B"/>
    <w:rPr>
      <w:color w:val="0000FF"/>
      <w:u w:val="single"/>
    </w:rPr>
  </w:style>
  <w:style w:type="character" w:customStyle="1" w:styleId="Heading5Char">
    <w:name w:val="Heading 5 Char"/>
    <w:basedOn w:val="DefaultParagraphFont"/>
    <w:link w:val="Heading5"/>
    <w:uiPriority w:val="9"/>
    <w:rsid w:val="009453EB"/>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9453EB"/>
    <w:pPr>
      <w:spacing w:after="100"/>
      <w:ind w:left="220"/>
    </w:pPr>
  </w:style>
  <w:style w:type="paragraph" w:styleId="TOC3">
    <w:name w:val="toc 3"/>
    <w:basedOn w:val="Normal"/>
    <w:next w:val="Normal"/>
    <w:autoRedefine/>
    <w:uiPriority w:val="39"/>
    <w:unhideWhenUsed/>
    <w:rsid w:val="009453EB"/>
    <w:pPr>
      <w:spacing w:after="100"/>
      <w:ind w:left="440"/>
    </w:pPr>
  </w:style>
  <w:style w:type="paragraph" w:styleId="TOC4">
    <w:name w:val="toc 4"/>
    <w:basedOn w:val="Normal"/>
    <w:next w:val="Normal"/>
    <w:autoRedefine/>
    <w:uiPriority w:val="39"/>
    <w:unhideWhenUsed/>
    <w:rsid w:val="009453EB"/>
    <w:pPr>
      <w:spacing w:after="100"/>
      <w:ind w:left="660"/>
    </w:pPr>
  </w:style>
  <w:style w:type="paragraph" w:styleId="TOC5">
    <w:name w:val="toc 5"/>
    <w:basedOn w:val="Normal"/>
    <w:next w:val="Normal"/>
    <w:autoRedefine/>
    <w:uiPriority w:val="39"/>
    <w:unhideWhenUsed/>
    <w:rsid w:val="009453EB"/>
    <w:pPr>
      <w:spacing w:after="100"/>
      <w:ind w:left="880"/>
    </w:pPr>
  </w:style>
  <w:style w:type="paragraph" w:styleId="Header">
    <w:name w:val="header"/>
    <w:basedOn w:val="Normal"/>
    <w:link w:val="HeaderChar"/>
    <w:uiPriority w:val="99"/>
    <w:unhideWhenUsed/>
    <w:rsid w:val="00101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C0"/>
  </w:style>
  <w:style w:type="paragraph" w:styleId="Footer">
    <w:name w:val="footer"/>
    <w:basedOn w:val="Normal"/>
    <w:link w:val="FooterChar"/>
    <w:uiPriority w:val="99"/>
    <w:unhideWhenUsed/>
    <w:rsid w:val="00101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cbi.nlm.nih.gov/pmc/articles/PMC3159210/" TargetMode="External"/><Relationship Id="rId4" Type="http://schemas.microsoft.com/office/2007/relationships/stylesWithEffects" Target="stylesWithEffects.xml"/><Relationship Id="rId9" Type="http://schemas.openxmlformats.org/officeDocument/2006/relationships/hyperlink" Target="http://www.cso.ie/en/statistics/earnings/earningsandlabour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B319-5D2F-489D-BECE-5D1E40EA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8</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Grubb</dc:creator>
  <cp:lastModifiedBy>David Grubb</cp:lastModifiedBy>
  <cp:revision>10</cp:revision>
  <dcterms:created xsi:type="dcterms:W3CDTF">2020-02-12T17:59:00Z</dcterms:created>
  <dcterms:modified xsi:type="dcterms:W3CDTF">2020-02-14T13:02:00Z</dcterms:modified>
</cp:coreProperties>
</file>