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42" w:rsidRPr="00666939" w:rsidRDefault="00982742" w:rsidP="00666939">
      <w:pPr>
        <w:pStyle w:val="Heading2"/>
        <w:spacing w:before="0" w:after="120" w:line="240" w:lineRule="auto"/>
        <w:rPr>
          <w:color w:val="auto"/>
          <w:sz w:val="22"/>
        </w:rPr>
      </w:pPr>
      <w:bookmarkStart w:id="0" w:name="_Toc32574262"/>
      <w:r w:rsidRPr="00666939">
        <w:rPr>
          <w:color w:val="auto"/>
          <w:sz w:val="22"/>
        </w:rPr>
        <w:t>GrubbD-2020-</w:t>
      </w:r>
      <w:r w:rsidR="00FB283B" w:rsidRPr="00666939">
        <w:rPr>
          <w:color w:val="auto"/>
          <w:sz w:val="22"/>
        </w:rPr>
        <w:t>simulated-preallocation-of-treatment-dates-estimates-impact-</w:t>
      </w:r>
      <w:r w:rsidR="00B9100E" w:rsidRPr="00666939">
        <w:rPr>
          <w:color w:val="auto"/>
          <w:sz w:val="22"/>
        </w:rPr>
        <w:t>for-a-target-group-subject-to-</w:t>
      </w:r>
      <w:r w:rsidR="00FB283B" w:rsidRPr="00666939">
        <w:rPr>
          <w:color w:val="auto"/>
          <w:sz w:val="22"/>
        </w:rPr>
        <w:t xml:space="preserve">ongoing- </w:t>
      </w:r>
      <w:r w:rsidR="00B9100E" w:rsidRPr="00666939">
        <w:rPr>
          <w:color w:val="auto"/>
          <w:sz w:val="22"/>
        </w:rPr>
        <w:t>turnover</w:t>
      </w:r>
      <w:r w:rsidR="00FB283B" w:rsidRPr="00666939">
        <w:rPr>
          <w:color w:val="auto"/>
          <w:sz w:val="22"/>
        </w:rPr>
        <w:t>-and-</w:t>
      </w:r>
      <w:r w:rsidR="003C7DE4" w:rsidRPr="00666939">
        <w:rPr>
          <w:color w:val="auto"/>
          <w:sz w:val="22"/>
        </w:rPr>
        <w:t>dynamic-</w:t>
      </w:r>
      <w:r w:rsidR="00FB283B" w:rsidRPr="00666939">
        <w:rPr>
          <w:color w:val="auto"/>
          <w:sz w:val="22"/>
        </w:rPr>
        <w:t>random-assignment-to-the-treatment</w:t>
      </w:r>
    </w:p>
    <w:p w:rsidR="00D219D8" w:rsidRPr="00666939" w:rsidRDefault="00D06321" w:rsidP="00666939">
      <w:pPr>
        <w:spacing w:after="120" w:line="240" w:lineRule="auto"/>
      </w:pPr>
      <w:proofErr w:type="gramStart"/>
      <w:r w:rsidRPr="00666939">
        <w:t xml:space="preserve">[ </w:t>
      </w:r>
      <w:r w:rsidR="00FB283B" w:rsidRPr="00666939">
        <w:t>other</w:t>
      </w:r>
      <w:proofErr w:type="gramEnd"/>
      <w:r w:rsidR="00FB283B" w:rsidRPr="00666939">
        <w:t xml:space="preserve"> p</w:t>
      </w:r>
      <w:r w:rsidRPr="00666939">
        <w:t xml:space="preserve">ossible titles </w:t>
      </w:r>
      <w:r w:rsidR="00D116ED" w:rsidRPr="00666939">
        <w:t xml:space="preserve">of this note </w:t>
      </w:r>
      <w:r w:rsidRPr="00666939">
        <w:t>could be:</w:t>
      </w:r>
    </w:p>
    <w:bookmarkEnd w:id="0"/>
    <w:p w:rsidR="00982742" w:rsidRPr="00666939" w:rsidRDefault="00982742" w:rsidP="00666939">
      <w:pPr>
        <w:spacing w:after="120" w:line="240" w:lineRule="auto"/>
      </w:pPr>
      <w:r w:rsidRPr="00666939">
        <w:t xml:space="preserve">In </w:t>
      </w:r>
      <w:r w:rsidR="00D219D8" w:rsidRPr="00666939">
        <w:t xml:space="preserve">a </w:t>
      </w:r>
      <w:r w:rsidRPr="00666939">
        <w:t>dy</w:t>
      </w:r>
      <w:r w:rsidR="00D219D8" w:rsidRPr="00666939">
        <w:t>namic random assignment context</w:t>
      </w:r>
      <w:r w:rsidR="00FB283B" w:rsidRPr="00666939">
        <w:t xml:space="preserve">, </w:t>
      </w:r>
      <w:r w:rsidRPr="00666939">
        <w:t xml:space="preserve">post-hoc virtual </w:t>
      </w:r>
      <w:proofErr w:type="spellStart"/>
      <w:r w:rsidRPr="00666939">
        <w:t>preallocation</w:t>
      </w:r>
      <w:proofErr w:type="spellEnd"/>
      <w:r w:rsidRPr="00666939">
        <w:t xml:space="preserve"> of treatment dates creates valid control group</w:t>
      </w:r>
      <w:r w:rsidR="00FB283B" w:rsidRPr="00666939">
        <w:t>s</w:t>
      </w:r>
    </w:p>
    <w:p w:rsidR="006827C5" w:rsidRPr="00666939" w:rsidRDefault="006827C5" w:rsidP="00666939">
      <w:pPr>
        <w:spacing w:after="120" w:line="240" w:lineRule="auto"/>
      </w:pPr>
      <w:r w:rsidRPr="00666939">
        <w:t xml:space="preserve">Post-hoc virtual </w:t>
      </w:r>
      <w:proofErr w:type="spellStart"/>
      <w:r w:rsidRPr="00666939">
        <w:t>preallocation</w:t>
      </w:r>
      <w:proofErr w:type="spellEnd"/>
      <w:r w:rsidRPr="00666939">
        <w:t xml:space="preserve"> of treatment dates allows un</w:t>
      </w:r>
      <w:r w:rsidR="00860675" w:rsidRPr="00666939">
        <w:t xml:space="preserve">biased </w:t>
      </w:r>
      <w:r w:rsidR="00D219D8" w:rsidRPr="00666939">
        <w:t>estimation of impact for a target group subject to ongoing entries, exits and random assignment to the treatment</w:t>
      </w:r>
    </w:p>
    <w:p w:rsidR="00860675" w:rsidRPr="00666939" w:rsidRDefault="00860675" w:rsidP="00666939">
      <w:pPr>
        <w:spacing w:after="120" w:line="240" w:lineRule="auto"/>
      </w:pPr>
      <w:r w:rsidRPr="00666939">
        <w:t>Simulated-preallocation-of-</w:t>
      </w:r>
      <w:r w:rsidR="00D116ED" w:rsidRPr="00666939">
        <w:t>treatment-dates</w:t>
      </w:r>
      <w:r w:rsidR="00FB283B" w:rsidRPr="00666939">
        <w:t>-</w:t>
      </w:r>
      <w:r w:rsidRPr="00666939">
        <w:t>in-a-dyn</w:t>
      </w:r>
      <w:r w:rsidR="00D219D8" w:rsidRPr="00666939">
        <w:t>amic-random-assignment-</w:t>
      </w:r>
      <w:proofErr w:type="gramStart"/>
      <w:r w:rsidR="00D219D8" w:rsidRPr="00666939">
        <w:t>context</w:t>
      </w:r>
      <w:r w:rsidR="00C47A8B" w:rsidRPr="00666939">
        <w:t xml:space="preserve"> </w:t>
      </w:r>
      <w:r w:rsidR="00D06321" w:rsidRPr="00666939">
        <w:t xml:space="preserve"> ]</w:t>
      </w:r>
      <w:proofErr w:type="gramEnd"/>
    </w:p>
    <w:p w:rsidR="006827C5" w:rsidRPr="00666939" w:rsidRDefault="00982742" w:rsidP="00666939">
      <w:pPr>
        <w:spacing w:after="120" w:line="240" w:lineRule="auto"/>
      </w:pPr>
      <w:r w:rsidRPr="00666939">
        <w:t xml:space="preserve">David Grubb, early </w:t>
      </w:r>
      <w:r w:rsidR="006827C5" w:rsidRPr="00666939">
        <w:t>draft/outli</w:t>
      </w:r>
      <w:r w:rsidR="009A1FBD">
        <w:t>ne 25.</w:t>
      </w:r>
      <w:r w:rsidR="006827C5" w:rsidRPr="00666939">
        <w:t>2.</w:t>
      </w:r>
      <w:r w:rsidR="00EA296F" w:rsidRPr="00666939">
        <w:t>2020</w:t>
      </w:r>
    </w:p>
    <w:p w:rsidR="00736D56" w:rsidRPr="00666939" w:rsidRDefault="00736D56" w:rsidP="00666939">
      <w:pPr>
        <w:pStyle w:val="Heading3"/>
        <w:spacing w:before="0" w:after="120" w:line="240" w:lineRule="auto"/>
        <w:rPr>
          <w:color w:val="auto"/>
        </w:rPr>
      </w:pPr>
      <w:r w:rsidRPr="00666939">
        <w:rPr>
          <w:color w:val="auto"/>
        </w:rPr>
        <w:t>Background</w:t>
      </w:r>
    </w:p>
    <w:p w:rsidR="006C5C8B" w:rsidRPr="00666939" w:rsidRDefault="006827C5" w:rsidP="00666939">
      <w:pPr>
        <w:spacing w:after="120" w:line="240" w:lineRule="auto"/>
      </w:pPr>
      <w:r w:rsidRPr="00666939">
        <w:t xml:space="preserve">This note </w:t>
      </w:r>
      <w:r w:rsidR="00EA296F" w:rsidRPr="00666939">
        <w:t xml:space="preserve">originates as </w:t>
      </w:r>
      <w:r w:rsidRPr="00666939">
        <w:t>comment on</w:t>
      </w:r>
      <w:r w:rsidR="00EA296F" w:rsidRPr="00666939">
        <w:t xml:space="preserve"> </w:t>
      </w:r>
      <w:r w:rsidR="00F87A16">
        <w:t xml:space="preserve">a paragraph in DEASP (2019). This describes </w:t>
      </w:r>
      <w:r w:rsidR="00EA296F" w:rsidRPr="00666939">
        <w:t>a con</w:t>
      </w:r>
      <w:r w:rsidR="00860675" w:rsidRPr="00666939">
        <w:t>text in Ireland</w:t>
      </w:r>
      <w:r w:rsidR="00EA296F" w:rsidRPr="00666939">
        <w:t xml:space="preserve"> where people</w:t>
      </w:r>
      <w:r w:rsidR="007D6B49" w:rsidRPr="00666939">
        <w:t xml:space="preserve"> who have been</w:t>
      </w:r>
      <w:r w:rsidR="00EA296F" w:rsidRPr="00666939">
        <w:t xml:space="preserve"> on the Live Register for more than a year are </w:t>
      </w:r>
      <w:r w:rsidR="00BC68E5" w:rsidRPr="00666939">
        <w:t xml:space="preserve">randomly </w:t>
      </w:r>
      <w:r w:rsidR="007D6B49" w:rsidRPr="00666939">
        <w:t xml:space="preserve">selected </w:t>
      </w:r>
      <w:r w:rsidR="00BC68E5" w:rsidRPr="00666939">
        <w:t xml:space="preserve">for </w:t>
      </w:r>
      <w:r w:rsidR="00EA296F" w:rsidRPr="00666939">
        <w:t xml:space="preserve">referral to an employment measure called </w:t>
      </w:r>
      <w:proofErr w:type="spellStart"/>
      <w:r w:rsidR="00EA296F" w:rsidRPr="00666939">
        <w:t>JobPath</w:t>
      </w:r>
      <w:proofErr w:type="spellEnd"/>
      <w:r w:rsidR="00EA296F" w:rsidRPr="00666939">
        <w:t xml:space="preserve">. </w:t>
      </w:r>
      <w:r w:rsidR="00BC68E5" w:rsidRPr="00666939">
        <w:t xml:space="preserve">For the group eligible for referral, the Jobseekers Longitudinal Dataset (JLD) </w:t>
      </w:r>
      <w:r w:rsidR="006C5C8B" w:rsidRPr="00666939">
        <w:t>includes</w:t>
      </w:r>
      <w:r w:rsidR="00BC68E5" w:rsidRPr="00666939">
        <w:t xml:space="preserve"> information </w:t>
      </w:r>
      <w:r w:rsidR="006C5C8B" w:rsidRPr="00666939">
        <w:t xml:space="preserve">about age, etc., social welfare status including </w:t>
      </w:r>
      <w:r w:rsidR="00EA296F" w:rsidRPr="00666939">
        <w:t>start and end date of episodes on the Live Register</w:t>
      </w:r>
      <w:r w:rsidR="00860675" w:rsidRPr="00666939">
        <w:t xml:space="preserve">, </w:t>
      </w:r>
      <w:r w:rsidR="00EA296F" w:rsidRPr="00666939">
        <w:t xml:space="preserve">participation in employment </w:t>
      </w:r>
      <w:r w:rsidR="00BC68E5" w:rsidRPr="00666939">
        <w:t>measure</w:t>
      </w:r>
      <w:r w:rsidR="006C5C8B" w:rsidRPr="00666939">
        <w:t xml:space="preserve">s </w:t>
      </w:r>
      <w:r w:rsidR="00BC68E5" w:rsidRPr="00666939">
        <w:t>and earnings from employment</w:t>
      </w:r>
      <w:r w:rsidR="00860675" w:rsidRPr="00666939">
        <w:t>.</w:t>
      </w:r>
    </w:p>
    <w:p w:rsidR="007D6B49" w:rsidRPr="00666939" w:rsidRDefault="006C5C8B" w:rsidP="00666939">
      <w:pPr>
        <w:spacing w:after="120" w:line="240" w:lineRule="auto"/>
      </w:pPr>
      <w:r w:rsidRPr="00666939">
        <w:t xml:space="preserve">DEASP (2019) presents “Without </w:t>
      </w:r>
      <w:proofErr w:type="spellStart"/>
      <w:r w:rsidRPr="00666939">
        <w:t>JobPath</w:t>
      </w:r>
      <w:proofErr w:type="spellEnd"/>
      <w:r w:rsidRPr="00666939">
        <w:t xml:space="preserve">” and “With </w:t>
      </w:r>
      <w:proofErr w:type="spellStart"/>
      <w:r w:rsidRPr="00666939">
        <w:t>JobPath</w:t>
      </w:r>
      <w:proofErr w:type="spellEnd"/>
      <w:r w:rsidRPr="00666939">
        <w:t xml:space="preserve">” outcomes (annual total earnings, mean earnings per week of insurable employment, and </w:t>
      </w:r>
      <w:r w:rsidR="007D6B49" w:rsidRPr="00666939">
        <w:t>annual social welfare payments)</w:t>
      </w:r>
      <w:r w:rsidRPr="00666939">
        <w:t xml:space="preserve"> and differences between them</w:t>
      </w:r>
      <w:r w:rsidR="00886F1E" w:rsidRPr="00666939">
        <w:t>. T</w:t>
      </w:r>
      <w:r w:rsidRPr="00666939">
        <w:t xml:space="preserve">he “With </w:t>
      </w:r>
      <w:proofErr w:type="spellStart"/>
      <w:r w:rsidRPr="00666939">
        <w:t>JobPath</w:t>
      </w:r>
      <w:proofErr w:type="spellEnd"/>
      <w:r w:rsidRPr="00666939">
        <w:t xml:space="preserve">” data relate to people who were referred to </w:t>
      </w:r>
      <w:proofErr w:type="spellStart"/>
      <w:r w:rsidR="00886F1E" w:rsidRPr="00666939">
        <w:t>JobPath</w:t>
      </w:r>
      <w:proofErr w:type="spellEnd"/>
      <w:r w:rsidR="00886F1E" w:rsidRPr="00666939">
        <w:t xml:space="preserve"> </w:t>
      </w:r>
      <w:r w:rsidRPr="00666939">
        <w:t xml:space="preserve">and actually commenced </w:t>
      </w:r>
      <w:r w:rsidR="00886F1E" w:rsidRPr="00666939">
        <w:t xml:space="preserve">it in </w:t>
      </w:r>
      <w:r w:rsidRPr="00666939">
        <w:t>Q1 2016</w:t>
      </w:r>
      <w:r w:rsidR="00860675" w:rsidRPr="00666939">
        <w:t>, not including t</w:t>
      </w:r>
      <w:r w:rsidR="00886F1E" w:rsidRPr="00666939">
        <w:t xml:space="preserve">hose who were referred but did not commence </w:t>
      </w:r>
      <w:r w:rsidR="00736D56" w:rsidRPr="00666939">
        <w:t>(</w:t>
      </w:r>
      <w:r w:rsidR="00886F1E" w:rsidRPr="00666939">
        <w:t>see note 3 on p.20)</w:t>
      </w:r>
      <w:r w:rsidR="00736D56" w:rsidRPr="00666939">
        <w:t>. Th</w:t>
      </w:r>
      <w:r w:rsidRPr="00666939">
        <w:t xml:space="preserve">e “Without </w:t>
      </w:r>
      <w:proofErr w:type="spellStart"/>
      <w:r w:rsidRPr="00666939">
        <w:t>JobPath</w:t>
      </w:r>
      <w:proofErr w:type="spellEnd"/>
      <w:r w:rsidRPr="00666939">
        <w:t xml:space="preserve">” data relate to people in the group eligible for referral </w:t>
      </w:r>
      <w:r w:rsidR="00736D56" w:rsidRPr="00666939">
        <w:t xml:space="preserve">in Q1 </w:t>
      </w:r>
      <w:r w:rsidR="007D6B49" w:rsidRPr="00666939">
        <w:t xml:space="preserve">2016 </w:t>
      </w:r>
      <w:r w:rsidR="00F87A16">
        <w:t xml:space="preserve">but </w:t>
      </w:r>
      <w:r w:rsidR="00860675" w:rsidRPr="00666939">
        <w:t xml:space="preserve">who were not </w:t>
      </w:r>
      <w:r w:rsidR="00886F1E" w:rsidRPr="00666939">
        <w:t>actually referred</w:t>
      </w:r>
      <w:r w:rsidR="00736D56" w:rsidRPr="00666939">
        <w:t xml:space="preserve"> then</w:t>
      </w:r>
      <w:r w:rsidR="00860675" w:rsidRPr="00666939">
        <w:t xml:space="preserve">, again not including those </w:t>
      </w:r>
      <w:r w:rsidR="00886F1E" w:rsidRPr="00666939">
        <w:t>were referred but did not commence</w:t>
      </w:r>
      <w:r w:rsidR="007D6B49" w:rsidRPr="00666939">
        <w:t>.</w:t>
      </w:r>
    </w:p>
    <w:p w:rsidR="003D678C" w:rsidRPr="00666939" w:rsidRDefault="00736D56" w:rsidP="00666939">
      <w:pPr>
        <w:spacing w:after="120" w:line="240" w:lineRule="auto"/>
      </w:pPr>
      <w:r w:rsidRPr="00666939">
        <w:t xml:space="preserve">Due to the non-inclusion of those who were referred but did not commence, the average </w:t>
      </w:r>
      <w:r w:rsidR="003C7DE4" w:rsidRPr="00666939">
        <w:t xml:space="preserve">elapsed </w:t>
      </w:r>
      <w:r w:rsidRPr="00666939">
        <w:t xml:space="preserve">duration of the ongoing claim at the time of referral is greater for </w:t>
      </w:r>
      <w:r w:rsidR="00F87A16">
        <w:t xml:space="preserve">the </w:t>
      </w:r>
      <w:r w:rsidRPr="00666939">
        <w:t xml:space="preserve">“With </w:t>
      </w:r>
      <w:proofErr w:type="spellStart"/>
      <w:r w:rsidRPr="00666939">
        <w:t>JobPath</w:t>
      </w:r>
      <w:proofErr w:type="spellEnd"/>
      <w:r w:rsidRPr="00666939">
        <w:t xml:space="preserve">” group than </w:t>
      </w:r>
      <w:r w:rsidR="00860675" w:rsidRPr="00666939">
        <w:t>f</w:t>
      </w:r>
      <w:r w:rsidR="00F87A16">
        <w:t xml:space="preserve">or the “Without </w:t>
      </w:r>
      <w:proofErr w:type="spellStart"/>
      <w:r w:rsidR="00F87A16">
        <w:t>JobPath</w:t>
      </w:r>
      <w:proofErr w:type="spellEnd"/>
      <w:r w:rsidR="00F87A16">
        <w:t xml:space="preserve">” group </w:t>
      </w:r>
      <w:r w:rsidRPr="00666939">
        <w:t>and in reporting the outcomes it was “necessary to reweight the two groups... to ensure the measurement of outcomes at a later stage is a reasonable comparison.”</w:t>
      </w:r>
      <w:r w:rsidR="007D6B49" w:rsidRPr="00666939">
        <w:t xml:space="preserve"> </w:t>
      </w:r>
      <w:r w:rsidR="00F87A16">
        <w:t>However, f</w:t>
      </w:r>
      <w:r w:rsidR="00860675" w:rsidRPr="00666939">
        <w:t xml:space="preserve">or a direct and unadjusted comparison of outcomes between a “treatment” and “control” groups to </w:t>
      </w:r>
      <w:r w:rsidR="007D6B49" w:rsidRPr="00666939">
        <w:t xml:space="preserve">provide </w:t>
      </w:r>
      <w:r w:rsidR="00860675" w:rsidRPr="00666939">
        <w:t xml:space="preserve">an unbiased of impact, </w:t>
      </w:r>
      <w:r w:rsidR="007D6B49" w:rsidRPr="00666939">
        <w:t xml:space="preserve">the data would need to be </w:t>
      </w:r>
      <w:r w:rsidR="00860675" w:rsidRPr="00666939">
        <w:t>analyse</w:t>
      </w:r>
      <w:r w:rsidR="007D6B49" w:rsidRPr="00666939">
        <w:t>d</w:t>
      </w:r>
      <w:r w:rsidR="00860675" w:rsidRPr="00666939">
        <w:t xml:space="preserve"> on the “inte</w:t>
      </w:r>
      <w:r w:rsidR="007D6B49" w:rsidRPr="00666939">
        <w:t>nt to treat” basis, i.e. comparing</w:t>
      </w:r>
      <w:r w:rsidR="00860675" w:rsidRPr="00666939">
        <w:t xml:space="preserve"> outcomes for </w:t>
      </w:r>
      <w:r w:rsidR="003D678C" w:rsidRPr="00666939">
        <w:t xml:space="preserve">all individuals who were referred with outcomes for all individuals (in the </w:t>
      </w:r>
      <w:r w:rsidR="00F87A16">
        <w:t xml:space="preserve">target </w:t>
      </w:r>
      <w:r w:rsidR="003D678C" w:rsidRPr="00666939">
        <w:t>group for randomisation) who were not referred.</w:t>
      </w:r>
    </w:p>
    <w:p w:rsidR="003D678C" w:rsidRPr="00666939" w:rsidRDefault="003D678C" w:rsidP="00666939">
      <w:pPr>
        <w:spacing w:after="120" w:line="240" w:lineRule="auto"/>
      </w:pPr>
      <w:r w:rsidRPr="00666939">
        <w:t xml:space="preserve">The authors however point </w:t>
      </w:r>
      <w:r w:rsidR="00B949BF" w:rsidRPr="00666939">
        <w:t xml:space="preserve">out that a </w:t>
      </w:r>
      <w:r w:rsidRPr="00666939">
        <w:t xml:space="preserve">second problem arises with this type of comparison </w:t>
      </w:r>
      <w:r w:rsidR="007D6B49" w:rsidRPr="00666939">
        <w:t xml:space="preserve">due to </w:t>
      </w:r>
      <w:r w:rsidRPr="00666939">
        <w:t xml:space="preserve">the </w:t>
      </w:r>
      <w:r w:rsidR="00B949BF" w:rsidRPr="00666939">
        <w:t xml:space="preserve">continuous nature of the referral process, </w:t>
      </w:r>
      <w:r w:rsidRPr="00666939">
        <w:t>as follows (DEASP, 2019, p.44):</w:t>
      </w:r>
    </w:p>
    <w:p w:rsidR="00FB283B" w:rsidRPr="00666939" w:rsidRDefault="00CE01F6" w:rsidP="00666939">
      <w:pPr>
        <w:spacing w:after="120" w:line="240" w:lineRule="auto"/>
        <w:ind w:left="720"/>
      </w:pPr>
      <w:r w:rsidRPr="00666939">
        <w:t xml:space="preserve">“As seen below, a number of people who did not start </w:t>
      </w:r>
      <w:proofErr w:type="spellStart"/>
      <w:r w:rsidRPr="00666939">
        <w:t>JobPath</w:t>
      </w:r>
      <w:proofErr w:type="spellEnd"/>
      <w:r w:rsidRPr="00666939">
        <w:t xml:space="preserve"> in Q1 2016 did commence subsequently. It is problematic to remove these people from this study since, by definition, they are people who remain unemployed long enough to start </w:t>
      </w:r>
      <w:proofErr w:type="spellStart"/>
      <w:r w:rsidRPr="00666939">
        <w:t>JobPath</w:t>
      </w:r>
      <w:proofErr w:type="spellEnd"/>
      <w:r w:rsidRPr="00666939">
        <w:t xml:space="preserve"> in later periods, so that excluding them would bias the remainder of the control group towards those who left the Live Register bef</w:t>
      </w:r>
      <w:r w:rsidR="00B949BF" w:rsidRPr="00666939">
        <w:t xml:space="preserve">ore they could receive </w:t>
      </w:r>
      <w:proofErr w:type="spellStart"/>
      <w:r w:rsidR="00B949BF" w:rsidRPr="00666939">
        <w:t>JobPath</w:t>
      </w:r>
      <w:proofErr w:type="spellEnd"/>
      <w:r w:rsidR="00B949BF" w:rsidRPr="00666939">
        <w:t xml:space="preserve">. Equally, it is problematic to retain these cases in the control group because we know that they did in fact receive </w:t>
      </w:r>
      <w:proofErr w:type="spellStart"/>
      <w:r w:rsidR="00B949BF" w:rsidRPr="00666939">
        <w:t>JobPath</w:t>
      </w:r>
      <w:proofErr w:type="spellEnd"/>
      <w:r w:rsidR="00B949BF" w:rsidRPr="00666939">
        <w:t xml:space="preserve"> at a later point. The solution to this dilemma lies in applying dynamic treatment (see ‘Further Analysis’ below). In the present paper, however, all of those who do not start </w:t>
      </w:r>
      <w:proofErr w:type="spellStart"/>
      <w:r w:rsidR="00B949BF" w:rsidRPr="00666939">
        <w:t>JobPath</w:t>
      </w:r>
      <w:proofErr w:type="spellEnd"/>
      <w:r w:rsidR="00B949BF" w:rsidRPr="00666939">
        <w:t xml:space="preserve"> in Q1 2016 are retained.</w:t>
      </w:r>
    </w:p>
    <w:p w:rsidR="006520EB" w:rsidRPr="00666939" w:rsidRDefault="00F87A16" w:rsidP="00666939">
      <w:pPr>
        <w:spacing w:after="120" w:line="240" w:lineRule="auto"/>
      </w:pPr>
      <w:r>
        <w:t>The</w:t>
      </w:r>
      <w:r w:rsidR="00D7288A" w:rsidRPr="00666939">
        <w:t xml:space="preserve"> </w:t>
      </w:r>
      <w:r w:rsidR="00B949BF" w:rsidRPr="00666939">
        <w:t xml:space="preserve">‘Further Analysis’ section </w:t>
      </w:r>
      <w:r>
        <w:t xml:space="preserve">does not </w:t>
      </w:r>
      <w:r w:rsidR="00D7288A" w:rsidRPr="00666939">
        <w:t xml:space="preserve">in practice mention </w:t>
      </w:r>
      <w:r w:rsidR="00B949BF" w:rsidRPr="00666939">
        <w:t>‘dynamic treatment’</w:t>
      </w:r>
      <w:r w:rsidR="00D7288A" w:rsidRPr="00666939">
        <w:t xml:space="preserve"> o</w:t>
      </w:r>
      <w:r>
        <w:t xml:space="preserve">r any other planned solution to </w:t>
      </w:r>
      <w:r w:rsidR="00D7288A" w:rsidRPr="00666939">
        <w:t>this dilemma.</w:t>
      </w:r>
      <w:r w:rsidR="008863DD" w:rsidRPr="00666939">
        <w:t xml:space="preserve"> The c</w:t>
      </w:r>
      <w:r>
        <w:t xml:space="preserve">urrent note proposes a solution, starting with the </w:t>
      </w:r>
      <w:r w:rsidR="008863DD" w:rsidRPr="00666939">
        <w:t xml:space="preserve">observation that </w:t>
      </w:r>
      <w:r w:rsidR="00C1236D" w:rsidRPr="00666939">
        <w:t xml:space="preserve">the dilemma could in principle be solved by assigning, in Q1 2016, a </w:t>
      </w:r>
      <w:r w:rsidR="008863DD" w:rsidRPr="00666939">
        <w:t xml:space="preserve">future date for referral </w:t>
      </w:r>
      <w:r w:rsidR="00C1236D" w:rsidRPr="00666939">
        <w:t xml:space="preserve">to each individual who is </w:t>
      </w:r>
      <w:r w:rsidR="008863DD" w:rsidRPr="00666939">
        <w:t>eligible for referral i</w:t>
      </w:r>
      <w:r>
        <w:t xml:space="preserve">n Q1 2016, then arguing that </w:t>
      </w:r>
      <w:r w:rsidR="00C1236D" w:rsidRPr="00666939">
        <w:t xml:space="preserve">this technique </w:t>
      </w:r>
      <w:r w:rsidR="006520EB" w:rsidRPr="00666939">
        <w:t xml:space="preserve">can be simulated </w:t>
      </w:r>
      <w:r>
        <w:t xml:space="preserve">at the </w:t>
      </w:r>
      <w:r w:rsidR="006520EB" w:rsidRPr="00666939">
        <w:t xml:space="preserve">data processing </w:t>
      </w:r>
      <w:r>
        <w:t xml:space="preserve">stage </w:t>
      </w:r>
      <w:r w:rsidR="006520EB" w:rsidRPr="00666939">
        <w:t>without needing to be actually implemented</w:t>
      </w:r>
    </w:p>
    <w:p w:rsidR="00FB283B" w:rsidRPr="00666939" w:rsidRDefault="00FB283B" w:rsidP="00666939">
      <w:pPr>
        <w:pStyle w:val="Heading3"/>
        <w:spacing w:before="0" w:after="120" w:line="240" w:lineRule="auto"/>
        <w:rPr>
          <w:color w:val="auto"/>
        </w:rPr>
      </w:pPr>
      <w:r w:rsidRPr="00666939">
        <w:rPr>
          <w:color w:val="auto"/>
        </w:rPr>
        <w:lastRenderedPageBreak/>
        <w:t xml:space="preserve">Hypothetical </w:t>
      </w:r>
      <w:proofErr w:type="spellStart"/>
      <w:r w:rsidRPr="00666939">
        <w:rPr>
          <w:color w:val="auto"/>
        </w:rPr>
        <w:t>preallocation</w:t>
      </w:r>
      <w:proofErr w:type="spellEnd"/>
      <w:r w:rsidRPr="00666939">
        <w:rPr>
          <w:color w:val="auto"/>
        </w:rPr>
        <w:t xml:space="preserve"> of dates for </w:t>
      </w:r>
      <w:r w:rsidR="00D116ED" w:rsidRPr="00666939">
        <w:rPr>
          <w:color w:val="auto"/>
        </w:rPr>
        <w:t xml:space="preserve">future </w:t>
      </w:r>
      <w:r w:rsidRPr="00666939">
        <w:rPr>
          <w:color w:val="auto"/>
        </w:rPr>
        <w:t xml:space="preserve">referral to </w:t>
      </w:r>
      <w:proofErr w:type="spellStart"/>
      <w:r w:rsidRPr="00666939">
        <w:rPr>
          <w:color w:val="auto"/>
        </w:rPr>
        <w:t>Jobpath</w:t>
      </w:r>
      <w:proofErr w:type="spellEnd"/>
    </w:p>
    <w:p w:rsidR="00CE01F6" w:rsidRPr="00666939" w:rsidRDefault="00FB283B" w:rsidP="00666939">
      <w:pPr>
        <w:spacing w:after="120" w:line="240" w:lineRule="auto"/>
      </w:pPr>
      <w:r w:rsidRPr="00666939">
        <w:t xml:space="preserve">A </w:t>
      </w:r>
      <w:r w:rsidR="00CE01F6" w:rsidRPr="00666939">
        <w:t xml:space="preserve">somewhat more complex </w:t>
      </w:r>
      <w:r w:rsidRPr="00666939">
        <w:t xml:space="preserve">analysis </w:t>
      </w:r>
      <w:r w:rsidR="00CE01F6" w:rsidRPr="00666939">
        <w:t xml:space="preserve">of </w:t>
      </w:r>
      <w:proofErr w:type="spellStart"/>
      <w:r w:rsidRPr="00666939">
        <w:t>JobPath</w:t>
      </w:r>
      <w:proofErr w:type="spellEnd"/>
      <w:r w:rsidRPr="00666939">
        <w:t xml:space="preserve"> statistics</w:t>
      </w:r>
      <w:r w:rsidR="003D678C" w:rsidRPr="00666939">
        <w:t xml:space="preserve"> </w:t>
      </w:r>
      <w:r w:rsidRPr="00666939">
        <w:t xml:space="preserve">for </w:t>
      </w:r>
      <w:r w:rsidR="003D678C" w:rsidRPr="00666939">
        <w:t>the p</w:t>
      </w:r>
      <w:r w:rsidRPr="00666939">
        <w:t>eriod up to end 2017</w:t>
      </w:r>
      <w:r w:rsidR="003D678C" w:rsidRPr="00666939">
        <w:t xml:space="preserve"> </w:t>
      </w:r>
      <w:r w:rsidR="00CE01F6" w:rsidRPr="00666939">
        <w:t>could gen</w:t>
      </w:r>
      <w:r w:rsidRPr="00666939">
        <w:t xml:space="preserve">erate a statistic described as </w:t>
      </w:r>
      <w:r w:rsidR="00CE01F6" w:rsidRPr="00666939">
        <w:t xml:space="preserve">“the impact of receiving </w:t>
      </w:r>
      <w:proofErr w:type="spellStart"/>
      <w:r w:rsidR="00CE01F6" w:rsidRPr="00666939">
        <w:t>JobPath</w:t>
      </w:r>
      <w:proofErr w:type="spellEnd"/>
      <w:r w:rsidR="00CE01F6" w:rsidRPr="00666939">
        <w:t xml:space="preserve"> in Q1 2016 as compared with not receiving it </w:t>
      </w:r>
      <w:r w:rsidR="003D678C" w:rsidRPr="00666939">
        <w:t xml:space="preserve">at any time </w:t>
      </w:r>
      <w:r w:rsidR="00A975E2" w:rsidRPr="00666939">
        <w:t xml:space="preserve">up to </w:t>
      </w:r>
      <w:r w:rsidR="00CE01F6" w:rsidRPr="00666939">
        <w:t>end 2017”</w:t>
      </w:r>
      <w:r w:rsidR="009C66EF" w:rsidRPr="00666939">
        <w:t>.</w:t>
      </w:r>
    </w:p>
    <w:p w:rsidR="000526D4" w:rsidRPr="00666939" w:rsidRDefault="00E60425" w:rsidP="00666939">
      <w:pPr>
        <w:spacing w:after="120" w:line="240" w:lineRule="auto"/>
      </w:pPr>
      <w:r w:rsidRPr="00666939">
        <w:t xml:space="preserve">Here it is </w:t>
      </w:r>
      <w:r w:rsidR="009C66EF" w:rsidRPr="00666939">
        <w:t>assumed</w:t>
      </w:r>
      <w:r w:rsidRPr="00666939">
        <w:t xml:space="preserve"> </w:t>
      </w:r>
      <w:r w:rsidR="009C66EF" w:rsidRPr="00666939">
        <w:t xml:space="preserve">for </w:t>
      </w:r>
      <w:r w:rsidR="000526D4" w:rsidRPr="00666939">
        <w:t>presentational purposes</w:t>
      </w:r>
      <w:r w:rsidR="009C66EF" w:rsidRPr="00666939">
        <w:t xml:space="preserve"> that random assignment to </w:t>
      </w:r>
      <w:proofErr w:type="spellStart"/>
      <w:r w:rsidR="009C66EF" w:rsidRPr="00666939">
        <w:t>JobPath</w:t>
      </w:r>
      <w:proofErr w:type="spellEnd"/>
      <w:r w:rsidR="009C66EF" w:rsidRPr="00666939">
        <w:t xml:space="preserve"> takes place each quarter. DEASP (2019) does not mention a particular frequency</w:t>
      </w:r>
      <w:r w:rsidR="000526D4" w:rsidRPr="00666939">
        <w:t xml:space="preserve">, and </w:t>
      </w:r>
      <w:r w:rsidR="009C66EF" w:rsidRPr="00666939">
        <w:t xml:space="preserve">it may be that </w:t>
      </w:r>
      <w:r w:rsidR="000526D4" w:rsidRPr="00666939">
        <w:t xml:space="preserve">referrals by </w:t>
      </w:r>
      <w:r w:rsidR="009C66EF" w:rsidRPr="00666939">
        <w:t xml:space="preserve">random assignment </w:t>
      </w:r>
      <w:r w:rsidR="000526D4" w:rsidRPr="00666939">
        <w:t>can be made at any time</w:t>
      </w:r>
      <w:r w:rsidRPr="00666939">
        <w:t xml:space="preserve"> (</w:t>
      </w:r>
      <w:r w:rsidR="000526D4" w:rsidRPr="00666939">
        <w:t xml:space="preserve">as necessary to bring the </w:t>
      </w:r>
      <w:proofErr w:type="spellStart"/>
      <w:r w:rsidR="000526D4" w:rsidRPr="00666939">
        <w:t>JobPath</w:t>
      </w:r>
      <w:proofErr w:type="spellEnd"/>
      <w:r w:rsidR="000526D4" w:rsidRPr="00666939">
        <w:t xml:space="preserve"> </w:t>
      </w:r>
      <w:r w:rsidRPr="00666939">
        <w:t xml:space="preserve">provider’s active </w:t>
      </w:r>
      <w:r w:rsidR="000526D4" w:rsidRPr="00666939">
        <w:t xml:space="preserve">caseload at each location up </w:t>
      </w:r>
      <w:r w:rsidRPr="00666939">
        <w:t xml:space="preserve">to an agreed capacity, </w:t>
      </w:r>
      <w:r w:rsidR="000526D4" w:rsidRPr="00666939">
        <w:t>or according to other defined principles</w:t>
      </w:r>
      <w:r w:rsidRPr="00666939">
        <w:t>)</w:t>
      </w:r>
      <w:r w:rsidR="000526D4" w:rsidRPr="00666939">
        <w:t xml:space="preserve">. </w:t>
      </w:r>
      <w:r w:rsidRPr="00666939">
        <w:t xml:space="preserve">Assuming that </w:t>
      </w:r>
      <w:r w:rsidR="00F87A16">
        <w:t xml:space="preserve">the </w:t>
      </w:r>
      <w:r w:rsidRPr="00666939">
        <w:t>JLD records dates of entry to and exit from “available for referral” status and the date of any referral actually made, the referral strategies described here could in principle be applied to daily da</w:t>
      </w:r>
      <w:r w:rsidR="00F87A16">
        <w:t xml:space="preserve">ta, or to data binned into week or month periods, </w:t>
      </w:r>
      <w:r w:rsidRPr="00666939">
        <w:t>rather than quarters.</w:t>
      </w:r>
    </w:p>
    <w:p w:rsidR="001F3F60" w:rsidRPr="00666939" w:rsidRDefault="00CE01F6" w:rsidP="00666939">
      <w:pPr>
        <w:numPr>
          <w:ilvl w:val="0"/>
          <w:numId w:val="14"/>
        </w:numPr>
        <w:spacing w:after="120" w:line="240" w:lineRule="auto"/>
        <w:rPr>
          <w:rFonts w:eastAsia="Times New Roman"/>
        </w:rPr>
      </w:pPr>
      <w:r w:rsidRPr="00666939">
        <w:rPr>
          <w:rFonts w:eastAsia="Times New Roman"/>
        </w:rPr>
        <w:t>Imagine that all people eligi</w:t>
      </w:r>
      <w:r w:rsidR="00674DB7" w:rsidRPr="00666939">
        <w:rPr>
          <w:rFonts w:eastAsia="Times New Roman"/>
        </w:rPr>
        <w:t xml:space="preserve">ble for </w:t>
      </w:r>
      <w:proofErr w:type="spellStart"/>
      <w:r w:rsidR="00674DB7" w:rsidRPr="00666939">
        <w:rPr>
          <w:rFonts w:eastAsia="Times New Roman"/>
        </w:rPr>
        <w:t>JobPath</w:t>
      </w:r>
      <w:proofErr w:type="spellEnd"/>
      <w:r w:rsidR="00674DB7" w:rsidRPr="00666939">
        <w:rPr>
          <w:rFonts w:eastAsia="Times New Roman"/>
        </w:rPr>
        <w:t xml:space="preserve"> in Q1 2016 were, </w:t>
      </w:r>
      <w:r w:rsidRPr="00666939">
        <w:rPr>
          <w:rFonts w:eastAsia="Times New Roman"/>
        </w:rPr>
        <w:t xml:space="preserve">in Q1 </w:t>
      </w:r>
      <w:r w:rsidR="00674DB7" w:rsidRPr="00666939">
        <w:rPr>
          <w:rFonts w:eastAsia="Times New Roman"/>
        </w:rPr>
        <w:t xml:space="preserve">2016, </w:t>
      </w:r>
      <w:r w:rsidR="003D678C" w:rsidRPr="00666939">
        <w:rPr>
          <w:rFonts w:eastAsia="Times New Roman"/>
        </w:rPr>
        <w:t xml:space="preserve">randomly </w:t>
      </w:r>
      <w:proofErr w:type="spellStart"/>
      <w:r w:rsidR="00C57FEA" w:rsidRPr="00666939">
        <w:rPr>
          <w:rFonts w:eastAsia="Times New Roman"/>
        </w:rPr>
        <w:t>preallocated</w:t>
      </w:r>
      <w:proofErr w:type="spellEnd"/>
      <w:r w:rsidR="00C57FEA" w:rsidRPr="00666939">
        <w:rPr>
          <w:rFonts w:eastAsia="Times New Roman"/>
        </w:rPr>
        <w:t xml:space="preserve"> </w:t>
      </w:r>
      <w:r w:rsidR="003D678C" w:rsidRPr="00666939">
        <w:rPr>
          <w:rFonts w:eastAsia="Times New Roman"/>
        </w:rPr>
        <w:t xml:space="preserve">a </w:t>
      </w:r>
      <w:r w:rsidRPr="00666939">
        <w:rPr>
          <w:rFonts w:eastAsia="Times New Roman"/>
        </w:rPr>
        <w:t xml:space="preserve">date </w:t>
      </w:r>
      <w:r w:rsidR="007D0091" w:rsidRPr="00666939">
        <w:rPr>
          <w:rFonts w:eastAsia="Times New Roman"/>
        </w:rPr>
        <w:t>to be referred</w:t>
      </w:r>
      <w:r w:rsidR="00E60425" w:rsidRPr="00666939">
        <w:rPr>
          <w:rFonts w:eastAsia="Times New Roman"/>
        </w:rPr>
        <w:t xml:space="preserve">, </w:t>
      </w:r>
      <w:r w:rsidR="00674DB7" w:rsidRPr="00666939">
        <w:rPr>
          <w:rFonts w:eastAsia="Times New Roman"/>
        </w:rPr>
        <w:t xml:space="preserve">including a </w:t>
      </w:r>
      <w:r w:rsidRPr="00666939">
        <w:rPr>
          <w:rFonts w:eastAsia="Times New Roman"/>
        </w:rPr>
        <w:t xml:space="preserve">last category “not </w:t>
      </w:r>
      <w:r w:rsidR="007D0091" w:rsidRPr="00666939">
        <w:rPr>
          <w:rFonts w:eastAsia="Times New Roman"/>
        </w:rPr>
        <w:t xml:space="preserve">to be </w:t>
      </w:r>
      <w:r w:rsidRPr="00666939">
        <w:rPr>
          <w:rFonts w:eastAsia="Times New Roman"/>
        </w:rPr>
        <w:t xml:space="preserve">referred up to end 2017”. </w:t>
      </w:r>
      <w:r w:rsidR="007D0091" w:rsidRPr="00666939">
        <w:rPr>
          <w:rFonts w:eastAsia="Times New Roman"/>
        </w:rPr>
        <w:t>A comparison of o</w:t>
      </w:r>
      <w:r w:rsidR="00E60425" w:rsidRPr="00666939">
        <w:rPr>
          <w:rFonts w:eastAsia="Times New Roman"/>
        </w:rPr>
        <w:t xml:space="preserve">utcomes </w:t>
      </w:r>
      <w:r w:rsidR="00F06C73" w:rsidRPr="00666939">
        <w:rPr>
          <w:rFonts w:eastAsia="Times New Roman"/>
        </w:rPr>
        <w:t>fo</w:t>
      </w:r>
      <w:r w:rsidR="00E60425" w:rsidRPr="00666939">
        <w:rPr>
          <w:rFonts w:eastAsia="Times New Roman"/>
        </w:rPr>
        <w:t xml:space="preserve">r </w:t>
      </w:r>
      <w:r w:rsidRPr="00666939">
        <w:rPr>
          <w:rFonts w:eastAsia="Times New Roman"/>
        </w:rPr>
        <w:t>th</w:t>
      </w:r>
      <w:r w:rsidR="001F3F60" w:rsidRPr="00666939">
        <w:rPr>
          <w:rFonts w:eastAsia="Times New Roman"/>
        </w:rPr>
        <w:t>e Q1 2016 treatment group and this last category would provide an unbiased estimate of the im</w:t>
      </w:r>
      <w:r w:rsidR="00674DB7" w:rsidRPr="00666939">
        <w:rPr>
          <w:rFonts w:eastAsia="Times New Roman"/>
        </w:rPr>
        <w:t>pact of</w:t>
      </w:r>
      <w:r w:rsidR="00F06C73" w:rsidRPr="00666939">
        <w:rPr>
          <w:rFonts w:eastAsia="Times New Roman"/>
        </w:rPr>
        <w:t xml:space="preserve"> referral to </w:t>
      </w:r>
      <w:proofErr w:type="spellStart"/>
      <w:r w:rsidR="00F06C73" w:rsidRPr="00666939">
        <w:rPr>
          <w:rFonts w:eastAsia="Times New Roman"/>
        </w:rPr>
        <w:t>JobPath</w:t>
      </w:r>
      <w:proofErr w:type="spellEnd"/>
      <w:r w:rsidR="00F06C73" w:rsidRPr="00666939">
        <w:rPr>
          <w:rFonts w:eastAsia="Times New Roman"/>
        </w:rPr>
        <w:t xml:space="preserve"> in Q1 2016 against the alternative of non-referral, for each quarter up </w:t>
      </w:r>
      <w:r w:rsidR="001F3F60" w:rsidRPr="00666939">
        <w:rPr>
          <w:rFonts w:eastAsia="Times New Roman"/>
        </w:rPr>
        <w:t>to Q4 2017.</w:t>
      </w:r>
    </w:p>
    <w:p w:rsidR="007D0091" w:rsidRPr="00666939" w:rsidRDefault="00DB73FC" w:rsidP="00666939">
      <w:pPr>
        <w:numPr>
          <w:ilvl w:val="1"/>
          <w:numId w:val="14"/>
        </w:numPr>
        <w:spacing w:after="120" w:line="240" w:lineRule="auto"/>
        <w:rPr>
          <w:rFonts w:eastAsia="Times New Roman"/>
        </w:rPr>
      </w:pPr>
      <w:r w:rsidRPr="00666939">
        <w:rPr>
          <w:rFonts w:eastAsia="Times New Roman"/>
        </w:rPr>
        <w:t>A</w:t>
      </w:r>
      <w:r w:rsidR="00C57FEA" w:rsidRPr="00666939">
        <w:rPr>
          <w:rFonts w:eastAsia="Times New Roman"/>
        </w:rPr>
        <w:t xml:space="preserve"> general principle </w:t>
      </w:r>
      <w:r w:rsidR="001F3F60" w:rsidRPr="00666939">
        <w:rPr>
          <w:rFonts w:eastAsia="Times New Roman"/>
        </w:rPr>
        <w:t xml:space="preserve">is </w:t>
      </w:r>
      <w:r w:rsidR="00C57FEA" w:rsidRPr="00666939">
        <w:rPr>
          <w:rFonts w:eastAsia="Times New Roman"/>
        </w:rPr>
        <w:t xml:space="preserve">that </w:t>
      </w:r>
      <w:r w:rsidR="00CE01F6" w:rsidRPr="00666939">
        <w:rPr>
          <w:rFonts w:eastAsia="Times New Roman"/>
        </w:rPr>
        <w:t xml:space="preserve">after random assignment </w:t>
      </w:r>
      <w:r w:rsidR="00C57FEA" w:rsidRPr="00666939">
        <w:rPr>
          <w:rFonts w:eastAsia="Times New Roman"/>
        </w:rPr>
        <w:t xml:space="preserve">across </w:t>
      </w:r>
      <w:r w:rsidR="00CE01F6" w:rsidRPr="00666939">
        <w:rPr>
          <w:rFonts w:eastAsia="Times New Roman"/>
        </w:rPr>
        <w:t xml:space="preserve">multiple treatment statuses, </w:t>
      </w:r>
      <w:r w:rsidR="00F27E7A" w:rsidRPr="00666939">
        <w:rPr>
          <w:rFonts w:eastAsia="Times New Roman"/>
        </w:rPr>
        <w:t xml:space="preserve">a comparison </w:t>
      </w:r>
      <w:r w:rsidR="00F06C73" w:rsidRPr="00666939">
        <w:rPr>
          <w:rFonts w:eastAsia="Times New Roman"/>
        </w:rPr>
        <w:t xml:space="preserve">of </w:t>
      </w:r>
      <w:r w:rsidR="00CE01F6" w:rsidRPr="00666939">
        <w:rPr>
          <w:rFonts w:eastAsia="Times New Roman"/>
        </w:rPr>
        <w:t xml:space="preserve">outcomes for any two </w:t>
      </w:r>
      <w:r w:rsidR="00F06C73" w:rsidRPr="00666939">
        <w:rPr>
          <w:rFonts w:eastAsia="Times New Roman"/>
        </w:rPr>
        <w:t xml:space="preserve">treatment </w:t>
      </w:r>
      <w:r w:rsidR="00CE01F6" w:rsidRPr="00666939">
        <w:rPr>
          <w:rFonts w:eastAsia="Times New Roman"/>
        </w:rPr>
        <w:t xml:space="preserve">statuses </w:t>
      </w:r>
      <w:r w:rsidR="00F27E7A" w:rsidRPr="00666939">
        <w:rPr>
          <w:rFonts w:eastAsia="Times New Roman"/>
        </w:rPr>
        <w:t xml:space="preserve">is a valid estimator of impact </w:t>
      </w:r>
      <w:r w:rsidR="00F06C73" w:rsidRPr="00666939">
        <w:rPr>
          <w:rFonts w:eastAsia="Times New Roman"/>
        </w:rPr>
        <w:t>(</w:t>
      </w:r>
      <w:r w:rsidR="00F87A16">
        <w:rPr>
          <w:rFonts w:eastAsia="Times New Roman"/>
        </w:rPr>
        <w:t xml:space="preserve">the impact </w:t>
      </w:r>
      <w:r w:rsidR="00F27E7A" w:rsidRPr="00666939">
        <w:rPr>
          <w:rFonts w:eastAsia="Times New Roman"/>
        </w:rPr>
        <w:t xml:space="preserve">of </w:t>
      </w:r>
      <w:r w:rsidR="00A975E2" w:rsidRPr="00666939">
        <w:rPr>
          <w:rFonts w:eastAsia="Times New Roman"/>
        </w:rPr>
        <w:t xml:space="preserve">receiving </w:t>
      </w:r>
      <w:r w:rsidR="001F3F60" w:rsidRPr="00666939">
        <w:rPr>
          <w:rFonts w:eastAsia="Times New Roman"/>
        </w:rPr>
        <w:t>the first t</w:t>
      </w:r>
      <w:r w:rsidR="00F06C73" w:rsidRPr="00666939">
        <w:rPr>
          <w:rFonts w:eastAsia="Times New Roman"/>
        </w:rPr>
        <w:t>reatment rather than the second).</w:t>
      </w:r>
    </w:p>
    <w:p w:rsidR="00674DB7" w:rsidRPr="00666939" w:rsidRDefault="00674DB7" w:rsidP="00666939">
      <w:pPr>
        <w:numPr>
          <w:ilvl w:val="1"/>
          <w:numId w:val="14"/>
        </w:numPr>
        <w:spacing w:after="120" w:line="240" w:lineRule="auto"/>
        <w:rPr>
          <w:rFonts w:eastAsia="Times New Roman"/>
        </w:rPr>
      </w:pPr>
      <w:r w:rsidRPr="00666939">
        <w:rPr>
          <w:rFonts w:eastAsia="Times New Roman"/>
        </w:rPr>
        <w:t xml:space="preserve">The “intention to treat” principle would need to be applied </w:t>
      </w:r>
      <w:r w:rsidR="00DB73FC" w:rsidRPr="00666939">
        <w:rPr>
          <w:rFonts w:eastAsia="Times New Roman"/>
        </w:rPr>
        <w:t xml:space="preserve">as described above and </w:t>
      </w:r>
      <w:r w:rsidRPr="00666939">
        <w:rPr>
          <w:rFonts w:eastAsia="Times New Roman"/>
        </w:rPr>
        <w:t xml:space="preserve">also in the sense that those who </w:t>
      </w:r>
      <w:r w:rsidR="00DB73FC" w:rsidRPr="00666939">
        <w:rPr>
          <w:rFonts w:eastAsia="Times New Roman"/>
        </w:rPr>
        <w:t>dropped</w:t>
      </w:r>
      <w:r w:rsidRPr="00666939">
        <w:rPr>
          <w:rFonts w:eastAsia="Times New Roman"/>
        </w:rPr>
        <w:t xml:space="preserve"> their claim before end 2017 (so that referral to </w:t>
      </w:r>
      <w:proofErr w:type="spellStart"/>
      <w:r w:rsidRPr="00666939">
        <w:rPr>
          <w:rFonts w:eastAsia="Times New Roman"/>
        </w:rPr>
        <w:t>JobPath</w:t>
      </w:r>
      <w:proofErr w:type="spellEnd"/>
      <w:r w:rsidRPr="00666939">
        <w:rPr>
          <w:rFonts w:eastAsia="Times New Roman"/>
        </w:rPr>
        <w:t xml:space="preserve"> was no longer possible) are retained </w:t>
      </w:r>
      <w:r w:rsidR="00DB73FC" w:rsidRPr="00666939">
        <w:rPr>
          <w:rFonts w:eastAsia="Times New Roman"/>
        </w:rPr>
        <w:t xml:space="preserve">in the calculation of </w:t>
      </w:r>
      <w:r w:rsidRPr="00666939">
        <w:rPr>
          <w:rFonts w:eastAsia="Times New Roman"/>
        </w:rPr>
        <w:t>control group outcomes.</w:t>
      </w:r>
    </w:p>
    <w:p w:rsidR="00D116ED" w:rsidRPr="00666939" w:rsidRDefault="007D0091" w:rsidP="00666939">
      <w:pPr>
        <w:numPr>
          <w:ilvl w:val="1"/>
          <w:numId w:val="14"/>
        </w:numPr>
        <w:spacing w:after="120" w:line="240" w:lineRule="auto"/>
        <w:rPr>
          <w:rFonts w:eastAsia="Times New Roman"/>
        </w:rPr>
      </w:pPr>
      <w:proofErr w:type="spellStart"/>
      <w:r w:rsidRPr="00666939">
        <w:rPr>
          <w:rFonts w:eastAsia="Times New Roman"/>
        </w:rPr>
        <w:t>Preallocation</w:t>
      </w:r>
      <w:proofErr w:type="spellEnd"/>
      <w:r w:rsidRPr="00666939">
        <w:rPr>
          <w:rFonts w:eastAsia="Times New Roman"/>
        </w:rPr>
        <w:t xml:space="preserve"> status would have to not be revealed </w:t>
      </w:r>
      <w:r w:rsidR="00674DB7" w:rsidRPr="00666939">
        <w:rPr>
          <w:rFonts w:eastAsia="Times New Roman"/>
        </w:rPr>
        <w:t xml:space="preserve">prior to </w:t>
      </w:r>
      <w:r w:rsidR="00DB73FC" w:rsidRPr="00666939">
        <w:rPr>
          <w:rFonts w:eastAsia="Times New Roman"/>
        </w:rPr>
        <w:t>the (</w:t>
      </w:r>
      <w:proofErr w:type="spellStart"/>
      <w:r w:rsidR="00DB73FC" w:rsidRPr="00666939">
        <w:rPr>
          <w:rFonts w:eastAsia="Times New Roman"/>
        </w:rPr>
        <w:t>preallocated</w:t>
      </w:r>
      <w:proofErr w:type="spellEnd"/>
      <w:r w:rsidR="00DB73FC" w:rsidRPr="00666939">
        <w:rPr>
          <w:rFonts w:eastAsia="Times New Roman"/>
        </w:rPr>
        <w:t xml:space="preserve">) </w:t>
      </w:r>
      <w:r w:rsidRPr="00666939">
        <w:rPr>
          <w:rFonts w:eastAsia="Times New Roman"/>
        </w:rPr>
        <w:t xml:space="preserve">date </w:t>
      </w:r>
      <w:r w:rsidR="00DB73FC" w:rsidRPr="00666939">
        <w:rPr>
          <w:rFonts w:eastAsia="Times New Roman"/>
        </w:rPr>
        <w:t xml:space="preserve">for </w:t>
      </w:r>
      <w:r w:rsidRPr="00666939">
        <w:rPr>
          <w:rFonts w:eastAsia="Times New Roman"/>
        </w:rPr>
        <w:t>referral</w:t>
      </w:r>
      <w:r w:rsidR="001F3F60" w:rsidRPr="00666939">
        <w:rPr>
          <w:rFonts w:eastAsia="Times New Roman"/>
        </w:rPr>
        <w:t>, since an indiv</w:t>
      </w:r>
      <w:r w:rsidR="00674DB7" w:rsidRPr="00666939">
        <w:rPr>
          <w:rFonts w:eastAsia="Times New Roman"/>
        </w:rPr>
        <w:t xml:space="preserve">iduals’ knowledge of when they </w:t>
      </w:r>
      <w:r w:rsidR="00F06C73" w:rsidRPr="00666939">
        <w:rPr>
          <w:rFonts w:eastAsia="Times New Roman"/>
        </w:rPr>
        <w:t xml:space="preserve">will be referred may </w:t>
      </w:r>
      <w:r w:rsidR="001F3F60" w:rsidRPr="00666939">
        <w:rPr>
          <w:rFonts w:eastAsia="Times New Roman"/>
        </w:rPr>
        <w:t>affect thei</w:t>
      </w:r>
      <w:r w:rsidR="00F06C73" w:rsidRPr="00666939">
        <w:rPr>
          <w:rFonts w:eastAsia="Times New Roman"/>
        </w:rPr>
        <w:t>r beh</w:t>
      </w:r>
      <w:r w:rsidR="00F87A16">
        <w:rPr>
          <w:rFonts w:eastAsia="Times New Roman"/>
        </w:rPr>
        <w:t>aviour before the referral date.</w:t>
      </w:r>
    </w:p>
    <w:p w:rsidR="00D116ED" w:rsidRPr="00666939" w:rsidRDefault="00D116ED" w:rsidP="00666939">
      <w:pPr>
        <w:pStyle w:val="Heading3"/>
        <w:spacing w:before="0" w:after="120" w:line="240" w:lineRule="auto"/>
        <w:rPr>
          <w:rFonts w:eastAsia="Times New Roman"/>
          <w:color w:val="auto"/>
        </w:rPr>
      </w:pPr>
      <w:r w:rsidRPr="00666939">
        <w:rPr>
          <w:rFonts w:eastAsia="Times New Roman"/>
          <w:color w:val="auto"/>
        </w:rPr>
        <w:t xml:space="preserve">Implementation of virtual (simulated) </w:t>
      </w:r>
      <w:proofErr w:type="spellStart"/>
      <w:r w:rsidRPr="00666939">
        <w:rPr>
          <w:rFonts w:eastAsia="Times New Roman"/>
          <w:color w:val="auto"/>
        </w:rPr>
        <w:t>preallocation</w:t>
      </w:r>
      <w:proofErr w:type="spellEnd"/>
      <w:r w:rsidRPr="00666939">
        <w:rPr>
          <w:rFonts w:eastAsia="Times New Roman"/>
          <w:color w:val="auto"/>
        </w:rPr>
        <w:t xml:space="preserve"> of dates for future referral to </w:t>
      </w:r>
      <w:proofErr w:type="spellStart"/>
      <w:r w:rsidRPr="00666939">
        <w:rPr>
          <w:rFonts w:eastAsia="Times New Roman"/>
          <w:color w:val="auto"/>
        </w:rPr>
        <w:t>JobPath</w:t>
      </w:r>
      <w:proofErr w:type="spellEnd"/>
    </w:p>
    <w:p w:rsidR="007D7B43" w:rsidRPr="00666939" w:rsidRDefault="001F3F60" w:rsidP="00666939">
      <w:pPr>
        <w:numPr>
          <w:ilvl w:val="0"/>
          <w:numId w:val="14"/>
        </w:numPr>
        <w:spacing w:after="120" w:line="240" w:lineRule="auto"/>
        <w:rPr>
          <w:rFonts w:eastAsia="Times New Roman"/>
        </w:rPr>
      </w:pPr>
      <w:r w:rsidRPr="00666939">
        <w:rPr>
          <w:rFonts w:eastAsia="Times New Roman"/>
        </w:rPr>
        <w:t xml:space="preserve">It appears to be the case that, </w:t>
      </w:r>
      <w:r w:rsidR="007D0091" w:rsidRPr="00666939">
        <w:rPr>
          <w:rFonts w:eastAsia="Times New Roman"/>
        </w:rPr>
        <w:t>w</w:t>
      </w:r>
      <w:r w:rsidR="00A975E2" w:rsidRPr="00666939">
        <w:rPr>
          <w:rFonts w:eastAsia="Times New Roman"/>
        </w:rPr>
        <w:t xml:space="preserve">ith some </w:t>
      </w:r>
      <w:r w:rsidR="007D0091" w:rsidRPr="00666939">
        <w:rPr>
          <w:rFonts w:eastAsia="Times New Roman"/>
        </w:rPr>
        <w:t xml:space="preserve">additional </w:t>
      </w:r>
      <w:r w:rsidR="00A975E2" w:rsidRPr="00666939">
        <w:rPr>
          <w:rFonts w:eastAsia="Times New Roman"/>
        </w:rPr>
        <w:t>processing</w:t>
      </w:r>
      <w:r w:rsidR="007D0091" w:rsidRPr="00666939">
        <w:rPr>
          <w:rFonts w:eastAsia="Times New Roman"/>
        </w:rPr>
        <w:t xml:space="preserve"> of the available statistics</w:t>
      </w:r>
      <w:r w:rsidR="00A975E2" w:rsidRPr="00666939">
        <w:rPr>
          <w:rFonts w:eastAsia="Times New Roman"/>
        </w:rPr>
        <w:t xml:space="preserve">, </w:t>
      </w:r>
      <w:r w:rsidRPr="00666939">
        <w:rPr>
          <w:rFonts w:eastAsia="Times New Roman"/>
        </w:rPr>
        <w:t>impact</w:t>
      </w:r>
      <w:r w:rsidR="00CE01F6" w:rsidRPr="00666939">
        <w:rPr>
          <w:rFonts w:eastAsia="Times New Roman"/>
        </w:rPr>
        <w:t xml:space="preserve"> on this basis could </w:t>
      </w:r>
      <w:r w:rsidR="00674DB7" w:rsidRPr="00666939">
        <w:rPr>
          <w:rFonts w:eastAsia="Times New Roman"/>
        </w:rPr>
        <w:t xml:space="preserve">also </w:t>
      </w:r>
      <w:r w:rsidR="00CE01F6" w:rsidRPr="00666939">
        <w:rPr>
          <w:rFonts w:eastAsia="Times New Roman"/>
        </w:rPr>
        <w:t xml:space="preserve">be reported without literally </w:t>
      </w:r>
      <w:proofErr w:type="spellStart"/>
      <w:r w:rsidR="00CE01F6" w:rsidRPr="00666939">
        <w:rPr>
          <w:rFonts w:eastAsia="Times New Roman"/>
        </w:rPr>
        <w:t>preallocating</w:t>
      </w:r>
      <w:proofErr w:type="spellEnd"/>
      <w:r w:rsidR="00CE01F6" w:rsidRPr="00666939">
        <w:rPr>
          <w:rFonts w:eastAsia="Times New Roman"/>
        </w:rPr>
        <w:t xml:space="preserve"> a date for future referrals to the entire sample</w:t>
      </w:r>
      <w:r w:rsidR="00DB73FC" w:rsidRPr="00666939">
        <w:rPr>
          <w:rFonts w:eastAsia="Times New Roman"/>
        </w:rPr>
        <w:t xml:space="preserve"> in Q1 2016</w:t>
      </w:r>
      <w:r w:rsidR="00F06C73" w:rsidRPr="00666939">
        <w:rPr>
          <w:rFonts w:eastAsia="Times New Roman"/>
        </w:rPr>
        <w:t xml:space="preserve">. A </w:t>
      </w:r>
      <w:r w:rsidR="00DB73FC" w:rsidRPr="00666939">
        <w:rPr>
          <w:rFonts w:eastAsia="Times New Roman"/>
        </w:rPr>
        <w:t xml:space="preserve">retrospectively-simulated </w:t>
      </w:r>
      <w:proofErr w:type="spellStart"/>
      <w:r w:rsidR="00DB73FC" w:rsidRPr="00666939">
        <w:rPr>
          <w:rFonts w:eastAsia="Times New Roman"/>
        </w:rPr>
        <w:t>preallocation</w:t>
      </w:r>
      <w:proofErr w:type="spellEnd"/>
      <w:r w:rsidR="00DB73FC" w:rsidRPr="00666939">
        <w:rPr>
          <w:rFonts w:eastAsia="Times New Roman"/>
        </w:rPr>
        <w:t xml:space="preserve"> of </w:t>
      </w:r>
      <w:r w:rsidR="00F87A16">
        <w:rPr>
          <w:rFonts w:eastAsia="Times New Roman"/>
        </w:rPr>
        <w:t xml:space="preserve">future dates for </w:t>
      </w:r>
      <w:r w:rsidR="007D7B43" w:rsidRPr="00666939">
        <w:rPr>
          <w:rFonts w:eastAsia="Times New Roman"/>
        </w:rPr>
        <w:t xml:space="preserve">referral </w:t>
      </w:r>
      <w:r w:rsidR="00F06C73" w:rsidRPr="00666939">
        <w:rPr>
          <w:rFonts w:eastAsia="Times New Roman"/>
        </w:rPr>
        <w:t xml:space="preserve">can be used while retaining the </w:t>
      </w:r>
      <w:r w:rsidR="00DB73FC" w:rsidRPr="00666939">
        <w:rPr>
          <w:rFonts w:eastAsia="Times New Roman"/>
        </w:rPr>
        <w:t xml:space="preserve">statistical properties </w:t>
      </w:r>
      <w:r w:rsidR="007D7B43" w:rsidRPr="00666939">
        <w:rPr>
          <w:rFonts w:eastAsia="Times New Roman"/>
        </w:rPr>
        <w:t xml:space="preserve">of an actual </w:t>
      </w:r>
      <w:proofErr w:type="spellStart"/>
      <w:r w:rsidR="00DB73FC" w:rsidRPr="00666939">
        <w:rPr>
          <w:rFonts w:eastAsia="Times New Roman"/>
        </w:rPr>
        <w:t>preallocation</w:t>
      </w:r>
      <w:proofErr w:type="spellEnd"/>
      <w:r w:rsidR="00DB73FC" w:rsidRPr="00666939">
        <w:rPr>
          <w:rFonts w:eastAsia="Times New Roman"/>
        </w:rPr>
        <w:t xml:space="preserve"> </w:t>
      </w:r>
      <w:r w:rsidR="007D7B43" w:rsidRPr="00666939">
        <w:rPr>
          <w:rFonts w:eastAsia="Times New Roman"/>
        </w:rPr>
        <w:t xml:space="preserve">of </w:t>
      </w:r>
      <w:r w:rsidR="00F06C73" w:rsidRPr="00666939">
        <w:rPr>
          <w:rFonts w:eastAsia="Times New Roman"/>
        </w:rPr>
        <w:t xml:space="preserve">future dates for </w:t>
      </w:r>
      <w:r w:rsidR="007D7B43" w:rsidRPr="00666939">
        <w:rPr>
          <w:rFonts w:eastAsia="Times New Roman"/>
        </w:rPr>
        <w:t>referral</w:t>
      </w:r>
      <w:r w:rsidR="00DB73FC" w:rsidRPr="00666939">
        <w:rPr>
          <w:rFonts w:eastAsia="Times New Roman"/>
        </w:rPr>
        <w:t>.</w:t>
      </w:r>
      <w:r w:rsidR="00F06C73" w:rsidRPr="00666939">
        <w:rPr>
          <w:rFonts w:eastAsia="Times New Roman"/>
        </w:rPr>
        <w:t xml:space="preserve"> </w:t>
      </w:r>
      <w:r w:rsidR="00C57FEA" w:rsidRPr="00666939">
        <w:rPr>
          <w:rFonts w:eastAsia="Times New Roman"/>
        </w:rPr>
        <w:t xml:space="preserve">This is </w:t>
      </w:r>
      <w:r w:rsidR="00674DB7" w:rsidRPr="00666939">
        <w:rPr>
          <w:rFonts w:eastAsia="Times New Roman"/>
        </w:rPr>
        <w:t xml:space="preserve">a valuable flexibility when </w:t>
      </w:r>
      <w:r w:rsidRPr="00666939">
        <w:rPr>
          <w:rFonts w:eastAsia="Times New Roman"/>
        </w:rPr>
        <w:t xml:space="preserve">dynamic random assignment is </w:t>
      </w:r>
      <w:r w:rsidR="00674DB7" w:rsidRPr="00666939">
        <w:rPr>
          <w:rFonts w:eastAsia="Times New Roman"/>
        </w:rPr>
        <w:t>implemented in</w:t>
      </w:r>
      <w:r w:rsidR="00E67744" w:rsidRPr="00666939">
        <w:rPr>
          <w:rFonts w:eastAsia="Times New Roman"/>
        </w:rPr>
        <w:t xml:space="preserve"> an </w:t>
      </w:r>
      <w:r w:rsidR="00674DB7" w:rsidRPr="00666939">
        <w:rPr>
          <w:rFonts w:eastAsia="Times New Roman"/>
        </w:rPr>
        <w:t xml:space="preserve">ongoing </w:t>
      </w:r>
      <w:r w:rsidR="00005E25" w:rsidRPr="00666939">
        <w:rPr>
          <w:rFonts w:eastAsia="Times New Roman"/>
        </w:rPr>
        <w:t xml:space="preserve">operational </w:t>
      </w:r>
      <w:r w:rsidR="00F06C73" w:rsidRPr="00666939">
        <w:rPr>
          <w:rFonts w:eastAsia="Times New Roman"/>
        </w:rPr>
        <w:t xml:space="preserve">intervention, </w:t>
      </w:r>
      <w:r w:rsidR="00E67744" w:rsidRPr="00666939">
        <w:rPr>
          <w:rFonts w:eastAsia="Times New Roman"/>
        </w:rPr>
        <w:t xml:space="preserve">rather </w:t>
      </w:r>
      <w:r w:rsidR="00674DB7" w:rsidRPr="00666939">
        <w:rPr>
          <w:rFonts w:eastAsia="Times New Roman"/>
        </w:rPr>
        <w:t>than a fully-control</w:t>
      </w:r>
      <w:r w:rsidR="003C7DE4" w:rsidRPr="00666939">
        <w:rPr>
          <w:rFonts w:eastAsia="Times New Roman"/>
        </w:rPr>
        <w:t>led</w:t>
      </w:r>
      <w:r w:rsidR="00674DB7" w:rsidRPr="00666939">
        <w:rPr>
          <w:rFonts w:eastAsia="Times New Roman"/>
        </w:rPr>
        <w:t xml:space="preserve"> experiment</w:t>
      </w:r>
      <w:r w:rsidR="003C7DE4" w:rsidRPr="00666939">
        <w:rPr>
          <w:rFonts w:eastAsia="Times New Roman"/>
        </w:rPr>
        <w:t>al setting</w:t>
      </w:r>
      <w:r w:rsidR="00E67744" w:rsidRPr="00666939">
        <w:rPr>
          <w:rFonts w:eastAsia="Times New Roman"/>
        </w:rPr>
        <w:t>. T</w:t>
      </w:r>
      <w:r w:rsidR="00005E25" w:rsidRPr="00666939">
        <w:rPr>
          <w:rFonts w:eastAsia="Times New Roman"/>
        </w:rPr>
        <w:t xml:space="preserve">he </w:t>
      </w:r>
      <w:r w:rsidR="00CE01F6" w:rsidRPr="00666939">
        <w:rPr>
          <w:rFonts w:eastAsia="Times New Roman"/>
        </w:rPr>
        <w:t xml:space="preserve">number of places </w:t>
      </w:r>
      <w:r w:rsidR="00005E25" w:rsidRPr="00666939">
        <w:rPr>
          <w:rFonts w:eastAsia="Times New Roman"/>
        </w:rPr>
        <w:t xml:space="preserve">that will be available for new referrals to </w:t>
      </w:r>
      <w:proofErr w:type="spellStart"/>
      <w:r w:rsidR="00005E25" w:rsidRPr="00666939">
        <w:rPr>
          <w:rFonts w:eastAsia="Times New Roman"/>
        </w:rPr>
        <w:t>JobPath</w:t>
      </w:r>
      <w:proofErr w:type="spellEnd"/>
      <w:r w:rsidR="00005E25" w:rsidRPr="00666939">
        <w:rPr>
          <w:rFonts w:eastAsia="Times New Roman"/>
        </w:rPr>
        <w:t xml:space="preserve"> in </w:t>
      </w:r>
      <w:r w:rsidR="00674DB7" w:rsidRPr="00666939">
        <w:rPr>
          <w:rFonts w:eastAsia="Times New Roman"/>
        </w:rPr>
        <w:t>a future quarter</w:t>
      </w:r>
      <w:r w:rsidR="00005E25" w:rsidRPr="00666939">
        <w:rPr>
          <w:rFonts w:eastAsia="Times New Roman"/>
        </w:rPr>
        <w:t xml:space="preserve"> </w:t>
      </w:r>
      <w:r w:rsidR="00674DB7" w:rsidRPr="00666939">
        <w:rPr>
          <w:rFonts w:eastAsia="Times New Roman"/>
        </w:rPr>
        <w:t xml:space="preserve">is </w:t>
      </w:r>
      <w:r w:rsidR="00005E25" w:rsidRPr="00666939">
        <w:rPr>
          <w:rFonts w:eastAsia="Times New Roman"/>
        </w:rPr>
        <w:t xml:space="preserve">not known </w:t>
      </w:r>
      <w:r w:rsidR="00C57FEA" w:rsidRPr="00666939">
        <w:rPr>
          <w:rFonts w:eastAsia="Times New Roman"/>
        </w:rPr>
        <w:t>until shortly beforehand</w:t>
      </w:r>
      <w:r w:rsidR="00F06C73" w:rsidRPr="00666939">
        <w:rPr>
          <w:rFonts w:eastAsia="Times New Roman"/>
        </w:rPr>
        <w:t xml:space="preserve"> for various reasons, e.g. i</w:t>
      </w:r>
      <w:r w:rsidR="00005E25" w:rsidRPr="00666939">
        <w:rPr>
          <w:rFonts w:eastAsia="Times New Roman"/>
        </w:rPr>
        <w:t xml:space="preserve">t takes time for providers to get their operations up to speed; the proportion of referrals that </w:t>
      </w:r>
      <w:r w:rsidR="00674DB7" w:rsidRPr="00666939">
        <w:rPr>
          <w:rFonts w:eastAsia="Times New Roman"/>
        </w:rPr>
        <w:t xml:space="preserve">will </w:t>
      </w:r>
      <w:r w:rsidR="00005E25" w:rsidRPr="00666939">
        <w:rPr>
          <w:rFonts w:eastAsia="Times New Roman"/>
        </w:rPr>
        <w:t xml:space="preserve">result in </w:t>
      </w:r>
      <w:r w:rsidR="00E67744" w:rsidRPr="00666939">
        <w:rPr>
          <w:rFonts w:eastAsia="Times New Roman"/>
        </w:rPr>
        <w:t>commenc</w:t>
      </w:r>
      <w:r w:rsidR="00F87A16">
        <w:rPr>
          <w:rFonts w:eastAsia="Times New Roman"/>
        </w:rPr>
        <w:t xml:space="preserve">ement, </w:t>
      </w:r>
      <w:r w:rsidR="00E67744" w:rsidRPr="00666939">
        <w:rPr>
          <w:rFonts w:eastAsia="Times New Roman"/>
        </w:rPr>
        <w:t>pro</w:t>
      </w:r>
      <w:r w:rsidR="00F06C73" w:rsidRPr="00666939">
        <w:rPr>
          <w:rFonts w:eastAsia="Times New Roman"/>
        </w:rPr>
        <w:t xml:space="preserve">viders’ capacity, and </w:t>
      </w:r>
      <w:r w:rsidR="00E67744" w:rsidRPr="00666939">
        <w:rPr>
          <w:rFonts w:eastAsia="Times New Roman"/>
        </w:rPr>
        <w:t xml:space="preserve">the </w:t>
      </w:r>
      <w:r w:rsidR="00F06C73" w:rsidRPr="00666939">
        <w:rPr>
          <w:rFonts w:eastAsia="Times New Roman"/>
        </w:rPr>
        <w:t xml:space="preserve">average </w:t>
      </w:r>
      <w:r w:rsidR="00E67744" w:rsidRPr="00666939">
        <w:rPr>
          <w:rFonts w:eastAsia="Times New Roman"/>
        </w:rPr>
        <w:t xml:space="preserve">duration of participation in </w:t>
      </w:r>
      <w:proofErr w:type="spellStart"/>
      <w:r w:rsidR="00E67744" w:rsidRPr="00666939">
        <w:rPr>
          <w:rFonts w:eastAsia="Times New Roman"/>
        </w:rPr>
        <w:t>JobPath</w:t>
      </w:r>
      <w:proofErr w:type="spellEnd"/>
      <w:r w:rsidR="00E67744" w:rsidRPr="00666939">
        <w:rPr>
          <w:rFonts w:eastAsia="Times New Roman"/>
        </w:rPr>
        <w:t xml:space="preserve">, are not </w:t>
      </w:r>
      <w:r w:rsidR="00674DB7" w:rsidRPr="00666939">
        <w:rPr>
          <w:rFonts w:eastAsia="Times New Roman"/>
        </w:rPr>
        <w:t xml:space="preserve">predictable </w:t>
      </w:r>
      <w:r w:rsidR="00F06C73" w:rsidRPr="00666939">
        <w:rPr>
          <w:rFonts w:eastAsia="Times New Roman"/>
        </w:rPr>
        <w:t xml:space="preserve">far </w:t>
      </w:r>
      <w:r w:rsidR="00674DB7" w:rsidRPr="00666939">
        <w:rPr>
          <w:rFonts w:eastAsia="Times New Roman"/>
        </w:rPr>
        <w:t xml:space="preserve">in advance. </w:t>
      </w:r>
      <w:r w:rsidR="00F27E7A" w:rsidRPr="00666939">
        <w:rPr>
          <w:rFonts w:eastAsia="Times New Roman"/>
        </w:rPr>
        <w:t>R</w:t>
      </w:r>
      <w:r w:rsidR="00CE01F6" w:rsidRPr="00666939">
        <w:rPr>
          <w:rFonts w:eastAsia="Times New Roman"/>
        </w:rPr>
        <w:t xml:space="preserve">andom </w:t>
      </w:r>
      <w:r w:rsidR="00674DB7" w:rsidRPr="00666939">
        <w:rPr>
          <w:rFonts w:eastAsia="Times New Roman"/>
        </w:rPr>
        <w:t xml:space="preserve">assignment to the treatment </w:t>
      </w:r>
      <w:r w:rsidR="00F87A16">
        <w:rPr>
          <w:rFonts w:eastAsia="Times New Roman"/>
        </w:rPr>
        <w:t xml:space="preserve">will </w:t>
      </w:r>
      <w:r w:rsidR="00674DB7" w:rsidRPr="00666939">
        <w:rPr>
          <w:rFonts w:eastAsia="Times New Roman"/>
        </w:rPr>
        <w:t xml:space="preserve">therefore be done </w:t>
      </w:r>
      <w:r w:rsidR="00F87A16">
        <w:rPr>
          <w:rFonts w:eastAsia="Times New Roman"/>
        </w:rPr>
        <w:t>each quarter</w:t>
      </w:r>
      <w:r w:rsidR="00842597" w:rsidRPr="00666939">
        <w:rPr>
          <w:rFonts w:eastAsia="Times New Roman"/>
        </w:rPr>
        <w:t xml:space="preserve"> </w:t>
      </w:r>
      <w:r w:rsidR="00CE01F6" w:rsidRPr="00666939">
        <w:rPr>
          <w:rFonts w:eastAsia="Times New Roman"/>
        </w:rPr>
        <w:t xml:space="preserve">across </w:t>
      </w:r>
      <w:r w:rsidR="00842597" w:rsidRPr="00666939">
        <w:rPr>
          <w:rFonts w:eastAsia="Times New Roman"/>
        </w:rPr>
        <w:t xml:space="preserve">the entire group eligible for referral </w:t>
      </w:r>
      <w:r w:rsidR="00F06C73" w:rsidRPr="00666939">
        <w:rPr>
          <w:rFonts w:eastAsia="Times New Roman"/>
        </w:rPr>
        <w:t>at that time.</w:t>
      </w:r>
    </w:p>
    <w:p w:rsidR="00CE01F6" w:rsidRPr="00666939" w:rsidRDefault="007D7B43" w:rsidP="00666939">
      <w:pPr>
        <w:numPr>
          <w:ilvl w:val="0"/>
          <w:numId w:val="14"/>
        </w:numPr>
        <w:spacing w:after="120" w:line="240" w:lineRule="auto"/>
        <w:rPr>
          <w:rFonts w:eastAsia="Times New Roman"/>
        </w:rPr>
      </w:pPr>
      <w:r w:rsidRPr="00666939">
        <w:rPr>
          <w:rFonts w:eastAsia="Times New Roman"/>
        </w:rPr>
        <w:t>T</w:t>
      </w:r>
      <w:r w:rsidR="008B1D4E" w:rsidRPr="00666939">
        <w:rPr>
          <w:rFonts w:eastAsia="Times New Roman"/>
        </w:rPr>
        <w:t xml:space="preserve">he following </w:t>
      </w:r>
      <w:r w:rsidR="00F06C73" w:rsidRPr="00666939">
        <w:rPr>
          <w:rFonts w:eastAsia="Times New Roman"/>
        </w:rPr>
        <w:t xml:space="preserve">statistical </w:t>
      </w:r>
      <w:r w:rsidR="008B1D4E" w:rsidRPr="00666939">
        <w:rPr>
          <w:rFonts w:eastAsia="Times New Roman"/>
        </w:rPr>
        <w:t xml:space="preserve">procedure </w:t>
      </w:r>
      <w:r w:rsidRPr="00666939">
        <w:rPr>
          <w:rFonts w:eastAsia="Times New Roman"/>
        </w:rPr>
        <w:t>is proposed:</w:t>
      </w:r>
    </w:p>
    <w:p w:rsidR="00CE01F6" w:rsidRPr="00666939" w:rsidRDefault="00C57FEA" w:rsidP="00666939">
      <w:pPr>
        <w:numPr>
          <w:ilvl w:val="1"/>
          <w:numId w:val="14"/>
        </w:numPr>
        <w:spacing w:after="120" w:line="240" w:lineRule="auto"/>
        <w:rPr>
          <w:rFonts w:eastAsia="Times New Roman"/>
        </w:rPr>
      </w:pPr>
      <w:r w:rsidRPr="00666939">
        <w:rPr>
          <w:rFonts w:eastAsia="Times New Roman"/>
        </w:rPr>
        <w:t xml:space="preserve">Records </w:t>
      </w:r>
      <w:r w:rsidR="00CE01F6" w:rsidRPr="00666939">
        <w:rPr>
          <w:rFonts w:eastAsia="Times New Roman"/>
        </w:rPr>
        <w:t>(i.e. list</w:t>
      </w:r>
      <w:r w:rsidRPr="00666939">
        <w:rPr>
          <w:rFonts w:eastAsia="Times New Roman"/>
        </w:rPr>
        <w:t>s</w:t>
      </w:r>
      <w:r w:rsidR="00CE01F6" w:rsidRPr="00666939">
        <w:rPr>
          <w:rFonts w:eastAsia="Times New Roman"/>
        </w:rPr>
        <w:t xml:space="preserve"> of ID numbers) </w:t>
      </w:r>
      <w:r w:rsidRPr="00666939">
        <w:rPr>
          <w:rFonts w:eastAsia="Times New Roman"/>
        </w:rPr>
        <w:t xml:space="preserve">would be kept for </w:t>
      </w:r>
      <w:r w:rsidR="00CE01F6" w:rsidRPr="00666939">
        <w:rPr>
          <w:rFonts w:eastAsia="Times New Roman"/>
        </w:rPr>
        <w:t xml:space="preserve">the group </w:t>
      </w:r>
      <w:r w:rsidR="002B3243" w:rsidRPr="00666939">
        <w:rPr>
          <w:rFonts w:eastAsia="Times New Roman"/>
        </w:rPr>
        <w:t xml:space="preserve">eligible for referral </w:t>
      </w:r>
      <w:r w:rsidRPr="00666939">
        <w:rPr>
          <w:rFonts w:eastAsia="Times New Roman"/>
        </w:rPr>
        <w:t xml:space="preserve">in Q1 2016 </w:t>
      </w:r>
      <w:r w:rsidR="00CE01F6" w:rsidRPr="00666939">
        <w:rPr>
          <w:rFonts w:eastAsia="Times New Roman"/>
        </w:rPr>
        <w:t>and the subset of this gr</w:t>
      </w:r>
      <w:r w:rsidR="005D5290" w:rsidRPr="00666939">
        <w:rPr>
          <w:rFonts w:eastAsia="Times New Roman"/>
        </w:rPr>
        <w:t xml:space="preserve">oup that was actually referred </w:t>
      </w:r>
      <w:r w:rsidR="002B3243" w:rsidRPr="00666939">
        <w:rPr>
          <w:rFonts w:eastAsia="Times New Roman"/>
        </w:rPr>
        <w:t>in Q1 2016,</w:t>
      </w:r>
      <w:r w:rsidRPr="00666939">
        <w:rPr>
          <w:rFonts w:eastAsia="Times New Roman"/>
        </w:rPr>
        <w:t xml:space="preserve"> and similarly for </w:t>
      </w:r>
      <w:r w:rsidR="007D7B43" w:rsidRPr="00666939">
        <w:rPr>
          <w:rFonts w:eastAsia="Times New Roman"/>
        </w:rPr>
        <w:t xml:space="preserve">subsequent quarters (including only </w:t>
      </w:r>
      <w:r w:rsidR="008B1D4E" w:rsidRPr="00666939">
        <w:rPr>
          <w:rFonts w:eastAsia="Times New Roman"/>
        </w:rPr>
        <w:t xml:space="preserve">the </w:t>
      </w:r>
      <w:r w:rsidR="002B3243" w:rsidRPr="00666939">
        <w:rPr>
          <w:rFonts w:eastAsia="Times New Roman"/>
        </w:rPr>
        <w:t xml:space="preserve">people who </w:t>
      </w:r>
      <w:r w:rsidR="00C36331" w:rsidRPr="00666939">
        <w:rPr>
          <w:rFonts w:eastAsia="Times New Roman"/>
        </w:rPr>
        <w:t xml:space="preserve">were </w:t>
      </w:r>
      <w:r w:rsidR="002B3243" w:rsidRPr="00666939">
        <w:rPr>
          <w:rFonts w:eastAsia="Times New Roman"/>
        </w:rPr>
        <w:t xml:space="preserve">already </w:t>
      </w:r>
      <w:r w:rsidR="00C36331" w:rsidRPr="00666939">
        <w:rPr>
          <w:rFonts w:eastAsia="Times New Roman"/>
        </w:rPr>
        <w:t xml:space="preserve">in the group </w:t>
      </w:r>
      <w:r w:rsidR="002B3243" w:rsidRPr="00666939">
        <w:rPr>
          <w:rFonts w:eastAsia="Times New Roman"/>
        </w:rPr>
        <w:t>eligible for referral</w:t>
      </w:r>
      <w:r w:rsidR="009C66EF" w:rsidRPr="00666939">
        <w:rPr>
          <w:rFonts w:eastAsia="Times New Roman"/>
        </w:rPr>
        <w:t xml:space="preserve"> in Q1 2016).</w:t>
      </w:r>
    </w:p>
    <w:p w:rsidR="002B3243" w:rsidRPr="00666939" w:rsidRDefault="00CE01F6" w:rsidP="00666939">
      <w:pPr>
        <w:numPr>
          <w:ilvl w:val="1"/>
          <w:numId w:val="14"/>
        </w:numPr>
        <w:spacing w:after="120" w:line="240" w:lineRule="auto"/>
        <w:rPr>
          <w:rFonts w:eastAsia="Times New Roman"/>
        </w:rPr>
      </w:pPr>
      <w:r w:rsidRPr="00666939">
        <w:rPr>
          <w:rFonts w:eastAsia="Times New Roman"/>
        </w:rPr>
        <w:t xml:space="preserve">When Q2 2016 randomisation has taken place, </w:t>
      </w:r>
      <w:r w:rsidR="002B3243" w:rsidRPr="00666939">
        <w:rPr>
          <w:rFonts w:eastAsia="Times New Roman"/>
        </w:rPr>
        <w:t xml:space="preserve">the number of </w:t>
      </w:r>
      <w:r w:rsidR="00C36331" w:rsidRPr="00666939">
        <w:rPr>
          <w:rFonts w:eastAsia="Times New Roman"/>
        </w:rPr>
        <w:t xml:space="preserve">people </w:t>
      </w:r>
      <w:r w:rsidR="002B3243" w:rsidRPr="00666939">
        <w:rPr>
          <w:rFonts w:eastAsia="Times New Roman"/>
        </w:rPr>
        <w:t xml:space="preserve">who </w:t>
      </w:r>
      <w:r w:rsidR="00C36331" w:rsidRPr="00666939">
        <w:rPr>
          <w:rFonts w:eastAsia="Times New Roman"/>
        </w:rPr>
        <w:t xml:space="preserve">would have had to be </w:t>
      </w:r>
      <w:r w:rsidRPr="00666939">
        <w:rPr>
          <w:rFonts w:eastAsia="Times New Roman"/>
        </w:rPr>
        <w:t>pre</w:t>
      </w:r>
      <w:r w:rsidR="005D5290" w:rsidRPr="00666939">
        <w:rPr>
          <w:rFonts w:eastAsia="Times New Roman"/>
        </w:rPr>
        <w:t>-</w:t>
      </w:r>
      <w:r w:rsidRPr="00666939">
        <w:rPr>
          <w:rFonts w:eastAsia="Times New Roman"/>
        </w:rPr>
        <w:t xml:space="preserve">allocated </w:t>
      </w:r>
      <w:r w:rsidR="007D7B43" w:rsidRPr="00666939">
        <w:rPr>
          <w:rFonts w:eastAsia="Times New Roman"/>
        </w:rPr>
        <w:t>in Q1 2016</w:t>
      </w:r>
      <w:r w:rsidR="009A2FC6" w:rsidRPr="00666939">
        <w:rPr>
          <w:rFonts w:eastAsia="Times New Roman"/>
        </w:rPr>
        <w:t xml:space="preserve"> </w:t>
      </w:r>
      <w:r w:rsidRPr="00666939">
        <w:rPr>
          <w:rFonts w:eastAsia="Times New Roman"/>
        </w:rPr>
        <w:t xml:space="preserve">to the </w:t>
      </w:r>
      <w:r w:rsidR="00C57FEA" w:rsidRPr="00666939">
        <w:rPr>
          <w:rFonts w:eastAsia="Times New Roman"/>
        </w:rPr>
        <w:t xml:space="preserve">group </w:t>
      </w:r>
      <w:proofErr w:type="spellStart"/>
      <w:r w:rsidR="00F87A16">
        <w:rPr>
          <w:rFonts w:eastAsia="Times New Roman"/>
        </w:rPr>
        <w:t>preallocated</w:t>
      </w:r>
      <w:proofErr w:type="spellEnd"/>
      <w:r w:rsidR="00F87A16">
        <w:rPr>
          <w:rFonts w:eastAsia="Times New Roman"/>
        </w:rPr>
        <w:t xml:space="preserve"> </w:t>
      </w:r>
      <w:r w:rsidR="00F06C73" w:rsidRPr="00666939">
        <w:rPr>
          <w:rFonts w:eastAsia="Times New Roman"/>
        </w:rPr>
        <w:t>for referral</w:t>
      </w:r>
      <w:r w:rsidR="00C57FEA" w:rsidRPr="00666939">
        <w:rPr>
          <w:rFonts w:eastAsia="Times New Roman"/>
        </w:rPr>
        <w:t xml:space="preserve"> in Q2 2016</w:t>
      </w:r>
      <w:r w:rsidR="008B1D4E" w:rsidRPr="00666939">
        <w:rPr>
          <w:rFonts w:eastAsia="Times New Roman"/>
        </w:rPr>
        <w:t xml:space="preserve">, in order </w:t>
      </w:r>
      <w:r w:rsidR="009A2FC6" w:rsidRPr="00666939">
        <w:rPr>
          <w:rFonts w:eastAsia="Times New Roman"/>
        </w:rPr>
        <w:t xml:space="preserve">to generate </w:t>
      </w:r>
      <w:r w:rsidR="008B1D4E" w:rsidRPr="00666939">
        <w:rPr>
          <w:rFonts w:eastAsia="Times New Roman"/>
        </w:rPr>
        <w:t xml:space="preserve">the outcome number of referrals, </w:t>
      </w:r>
      <w:r w:rsidR="002B3243" w:rsidRPr="00666939">
        <w:rPr>
          <w:rFonts w:eastAsia="Times New Roman"/>
        </w:rPr>
        <w:t xml:space="preserve">is calculated. It is </w:t>
      </w:r>
      <w:r w:rsidR="005D5290" w:rsidRPr="00666939">
        <w:rPr>
          <w:rFonts w:eastAsia="Times New Roman"/>
        </w:rPr>
        <w:t>the numb</w:t>
      </w:r>
      <w:r w:rsidR="00C36331" w:rsidRPr="00666939">
        <w:rPr>
          <w:rFonts w:eastAsia="Times New Roman"/>
        </w:rPr>
        <w:t>er actually referred in Q2 2016</w:t>
      </w:r>
      <w:r w:rsidR="009A2FC6" w:rsidRPr="00666939">
        <w:rPr>
          <w:rFonts w:eastAsia="Times New Roman"/>
        </w:rPr>
        <w:t xml:space="preserve">, </w:t>
      </w:r>
      <w:r w:rsidR="005D5290" w:rsidRPr="00666939">
        <w:rPr>
          <w:rFonts w:eastAsia="Times New Roman"/>
        </w:rPr>
        <w:t xml:space="preserve">multiplied by the ratio of the </w:t>
      </w:r>
      <w:r w:rsidR="00C36331" w:rsidRPr="00666939">
        <w:rPr>
          <w:rFonts w:eastAsia="Times New Roman"/>
        </w:rPr>
        <w:t xml:space="preserve">number </w:t>
      </w:r>
      <w:r w:rsidR="009A2FC6" w:rsidRPr="00666939">
        <w:rPr>
          <w:rFonts w:eastAsia="Times New Roman"/>
        </w:rPr>
        <w:t xml:space="preserve">eligible </w:t>
      </w:r>
      <w:r w:rsidR="008B1D4E" w:rsidRPr="00666939">
        <w:rPr>
          <w:rFonts w:eastAsia="Times New Roman"/>
        </w:rPr>
        <w:t xml:space="preserve">for referral </w:t>
      </w:r>
      <w:r w:rsidR="009A2FC6" w:rsidRPr="00666939">
        <w:rPr>
          <w:rFonts w:eastAsia="Times New Roman"/>
        </w:rPr>
        <w:t xml:space="preserve">but not </w:t>
      </w:r>
      <w:r w:rsidR="008B1D4E" w:rsidRPr="00666939">
        <w:rPr>
          <w:rFonts w:eastAsia="Times New Roman"/>
        </w:rPr>
        <w:t xml:space="preserve">actually </w:t>
      </w:r>
      <w:r w:rsidR="009A2FC6" w:rsidRPr="00666939">
        <w:rPr>
          <w:rFonts w:eastAsia="Times New Roman"/>
        </w:rPr>
        <w:t xml:space="preserve">referred </w:t>
      </w:r>
      <w:r w:rsidR="002B3243" w:rsidRPr="00666939">
        <w:rPr>
          <w:rFonts w:eastAsia="Times New Roman"/>
        </w:rPr>
        <w:t xml:space="preserve">in </w:t>
      </w:r>
      <w:r w:rsidRPr="00666939">
        <w:rPr>
          <w:rFonts w:eastAsia="Times New Roman"/>
        </w:rPr>
        <w:t xml:space="preserve">Q1 2016 </w:t>
      </w:r>
      <w:r w:rsidR="005D5290" w:rsidRPr="00666939">
        <w:rPr>
          <w:rFonts w:eastAsia="Times New Roman"/>
        </w:rPr>
        <w:t xml:space="preserve">to the </w:t>
      </w:r>
      <w:r w:rsidR="00C36331" w:rsidRPr="00666939">
        <w:rPr>
          <w:rFonts w:eastAsia="Times New Roman"/>
        </w:rPr>
        <w:t xml:space="preserve">number </w:t>
      </w:r>
      <w:r w:rsidR="002B3243" w:rsidRPr="00666939">
        <w:rPr>
          <w:rFonts w:eastAsia="Times New Roman"/>
        </w:rPr>
        <w:t xml:space="preserve">still eligible </w:t>
      </w:r>
      <w:r w:rsidR="008B1D4E" w:rsidRPr="00666939">
        <w:rPr>
          <w:rFonts w:eastAsia="Times New Roman"/>
        </w:rPr>
        <w:t xml:space="preserve">for referral </w:t>
      </w:r>
      <w:r w:rsidR="009A2FC6" w:rsidRPr="00666939">
        <w:rPr>
          <w:rFonts w:eastAsia="Times New Roman"/>
        </w:rPr>
        <w:t xml:space="preserve">in </w:t>
      </w:r>
      <w:r w:rsidR="005D5290" w:rsidRPr="00666939">
        <w:rPr>
          <w:rFonts w:eastAsia="Times New Roman"/>
        </w:rPr>
        <w:t>Q2 2016.</w:t>
      </w:r>
      <w:r w:rsidR="00A975E2" w:rsidRPr="00666939">
        <w:rPr>
          <w:rFonts w:eastAsia="Times New Roman"/>
        </w:rPr>
        <w:t xml:space="preserve"> This ratio is the inverse of </w:t>
      </w:r>
      <w:r w:rsidR="00F06C73" w:rsidRPr="00666939">
        <w:rPr>
          <w:rFonts w:eastAsia="Times New Roman"/>
        </w:rPr>
        <w:t xml:space="preserve">the </w:t>
      </w:r>
      <w:r w:rsidR="00522583" w:rsidRPr="00666939">
        <w:rPr>
          <w:rFonts w:eastAsia="Times New Roman"/>
        </w:rPr>
        <w:lastRenderedPageBreak/>
        <w:t>quarter</w:t>
      </w:r>
      <w:r w:rsidR="00F06C73" w:rsidRPr="00666939">
        <w:rPr>
          <w:rFonts w:eastAsia="Times New Roman"/>
        </w:rPr>
        <w:t>ly</w:t>
      </w:r>
      <w:r w:rsidR="00522583" w:rsidRPr="00666939">
        <w:rPr>
          <w:rFonts w:eastAsia="Times New Roman"/>
        </w:rPr>
        <w:t xml:space="preserve"> </w:t>
      </w:r>
      <w:r w:rsidR="00A975E2" w:rsidRPr="00666939">
        <w:rPr>
          <w:rFonts w:eastAsia="Times New Roman"/>
        </w:rPr>
        <w:t xml:space="preserve">survival rate </w:t>
      </w:r>
      <w:r w:rsidR="007D7B43" w:rsidRPr="00666939">
        <w:rPr>
          <w:rFonts w:eastAsia="Times New Roman"/>
        </w:rPr>
        <w:t xml:space="preserve">on </w:t>
      </w:r>
      <w:r w:rsidR="00F87A16">
        <w:rPr>
          <w:rFonts w:eastAsia="Times New Roman"/>
        </w:rPr>
        <w:t>(</w:t>
      </w:r>
      <w:r w:rsidR="007D7B43" w:rsidRPr="00666939">
        <w:rPr>
          <w:rFonts w:eastAsia="Times New Roman"/>
        </w:rPr>
        <w:t xml:space="preserve">net of </w:t>
      </w:r>
      <w:r w:rsidR="00522583" w:rsidRPr="00666939">
        <w:rPr>
          <w:rFonts w:eastAsia="Times New Roman"/>
        </w:rPr>
        <w:t xml:space="preserve">exits </w:t>
      </w:r>
      <w:r w:rsidR="009A2FC6" w:rsidRPr="00666939">
        <w:rPr>
          <w:rFonts w:eastAsia="Times New Roman"/>
        </w:rPr>
        <w:t xml:space="preserve">due to </w:t>
      </w:r>
      <w:r w:rsidR="00522583" w:rsidRPr="00666939">
        <w:rPr>
          <w:rFonts w:eastAsia="Times New Roman"/>
        </w:rPr>
        <w:t xml:space="preserve">employment, </w:t>
      </w:r>
      <w:r w:rsidR="009A2FC6" w:rsidRPr="00666939">
        <w:rPr>
          <w:rFonts w:eastAsia="Times New Roman"/>
        </w:rPr>
        <w:t xml:space="preserve">transfer </w:t>
      </w:r>
      <w:r w:rsidR="00522583" w:rsidRPr="00666939">
        <w:rPr>
          <w:rFonts w:eastAsia="Times New Roman"/>
        </w:rPr>
        <w:t>to a different benefit, emigration, etc.</w:t>
      </w:r>
      <w:r w:rsidR="00F06C73" w:rsidRPr="00666939">
        <w:rPr>
          <w:rFonts w:eastAsia="Times New Roman"/>
        </w:rPr>
        <w:t xml:space="preserve">) </w:t>
      </w:r>
      <w:r w:rsidR="00F87A16">
        <w:rPr>
          <w:rFonts w:eastAsia="Times New Roman"/>
        </w:rPr>
        <w:t>on the Live Register (</w:t>
      </w:r>
      <w:r w:rsidR="00F06C73" w:rsidRPr="00666939">
        <w:rPr>
          <w:rFonts w:eastAsia="Times New Roman"/>
        </w:rPr>
        <w:t xml:space="preserve">for </w:t>
      </w:r>
      <w:r w:rsidR="007D7B43" w:rsidRPr="00666939">
        <w:rPr>
          <w:rFonts w:eastAsia="Times New Roman"/>
        </w:rPr>
        <w:t>the group “e</w:t>
      </w:r>
      <w:r w:rsidR="00F06C73" w:rsidRPr="00666939">
        <w:rPr>
          <w:rFonts w:eastAsia="Times New Roman"/>
        </w:rPr>
        <w:t xml:space="preserve">ligible for referral in Q1 2016 </w:t>
      </w:r>
      <w:r w:rsidR="007D7B43" w:rsidRPr="00666939">
        <w:rPr>
          <w:rFonts w:eastAsia="Times New Roman"/>
        </w:rPr>
        <w:t>but not referred</w:t>
      </w:r>
      <w:r w:rsidR="00F06C73" w:rsidRPr="00666939">
        <w:rPr>
          <w:rFonts w:eastAsia="Times New Roman"/>
        </w:rPr>
        <w:t xml:space="preserve"> then</w:t>
      </w:r>
      <w:r w:rsidR="00F87A16">
        <w:rPr>
          <w:rFonts w:eastAsia="Times New Roman"/>
        </w:rPr>
        <w:t>”).</w:t>
      </w:r>
    </w:p>
    <w:p w:rsidR="00CE01F6" w:rsidRPr="00666939" w:rsidRDefault="00CE01F6" w:rsidP="00666939">
      <w:pPr>
        <w:numPr>
          <w:ilvl w:val="1"/>
          <w:numId w:val="14"/>
        </w:numPr>
        <w:spacing w:after="120" w:line="240" w:lineRule="auto"/>
        <w:rPr>
          <w:rFonts w:eastAsia="Times New Roman"/>
        </w:rPr>
      </w:pPr>
      <w:r w:rsidRPr="00666939">
        <w:rPr>
          <w:rFonts w:eastAsia="Times New Roman"/>
        </w:rPr>
        <w:t xml:space="preserve">Individuals in the group </w:t>
      </w:r>
      <w:r w:rsidR="008B1D4E" w:rsidRPr="00666939">
        <w:rPr>
          <w:rFonts w:eastAsia="Times New Roman"/>
        </w:rPr>
        <w:t xml:space="preserve">that was </w:t>
      </w:r>
      <w:r w:rsidR="009A2FC6" w:rsidRPr="00666939">
        <w:rPr>
          <w:rFonts w:eastAsia="Times New Roman"/>
        </w:rPr>
        <w:t xml:space="preserve">eligible for referral in </w:t>
      </w:r>
      <w:r w:rsidR="005D5290" w:rsidRPr="00666939">
        <w:rPr>
          <w:rFonts w:eastAsia="Times New Roman"/>
        </w:rPr>
        <w:t>Q1 2016</w:t>
      </w:r>
      <w:r w:rsidRPr="00666939">
        <w:rPr>
          <w:rFonts w:eastAsia="Times New Roman"/>
        </w:rPr>
        <w:t xml:space="preserve"> </w:t>
      </w:r>
      <w:r w:rsidR="009A2FC6" w:rsidRPr="00666939">
        <w:rPr>
          <w:rFonts w:eastAsia="Times New Roman"/>
        </w:rPr>
        <w:t xml:space="preserve">but not referred </w:t>
      </w:r>
      <w:r w:rsidR="00F06C73" w:rsidRPr="00666939">
        <w:rPr>
          <w:rFonts w:eastAsia="Times New Roman"/>
        </w:rPr>
        <w:t xml:space="preserve">then are </w:t>
      </w:r>
      <w:r w:rsidR="005D5290" w:rsidRPr="00666939">
        <w:rPr>
          <w:rFonts w:eastAsia="Times New Roman"/>
        </w:rPr>
        <w:t xml:space="preserve">selected at random and added to </w:t>
      </w:r>
      <w:r w:rsidR="00C36331" w:rsidRPr="00666939">
        <w:rPr>
          <w:rFonts w:eastAsia="Times New Roman"/>
        </w:rPr>
        <w:t xml:space="preserve">the </w:t>
      </w:r>
      <w:r w:rsidRPr="00666939">
        <w:rPr>
          <w:rFonts w:eastAsia="Times New Roman"/>
        </w:rPr>
        <w:t xml:space="preserve">group </w:t>
      </w:r>
      <w:r w:rsidR="005D5290" w:rsidRPr="00666939">
        <w:rPr>
          <w:rFonts w:eastAsia="Times New Roman"/>
        </w:rPr>
        <w:t xml:space="preserve">actually </w:t>
      </w:r>
      <w:r w:rsidRPr="00666939">
        <w:rPr>
          <w:rFonts w:eastAsia="Times New Roman"/>
        </w:rPr>
        <w:t>referred in Q2 2016</w:t>
      </w:r>
      <w:r w:rsidR="00F06C73" w:rsidRPr="00666939">
        <w:rPr>
          <w:rFonts w:eastAsia="Times New Roman"/>
        </w:rPr>
        <w:t xml:space="preserve">, </w:t>
      </w:r>
      <w:r w:rsidR="008B1D4E" w:rsidRPr="00666939">
        <w:rPr>
          <w:rFonts w:eastAsia="Times New Roman"/>
        </w:rPr>
        <w:t xml:space="preserve">until a </w:t>
      </w:r>
      <w:r w:rsidR="00F06C73" w:rsidRPr="00666939">
        <w:rPr>
          <w:rFonts w:eastAsia="Times New Roman"/>
        </w:rPr>
        <w:t>group o</w:t>
      </w:r>
      <w:r w:rsidR="00F87A16">
        <w:rPr>
          <w:rFonts w:eastAsia="Times New Roman"/>
        </w:rPr>
        <w:t xml:space="preserve">f the right total size </w:t>
      </w:r>
      <w:r w:rsidR="00D32098">
        <w:rPr>
          <w:rFonts w:eastAsia="Times New Roman"/>
        </w:rPr>
        <w:t xml:space="preserve">has been created, which can be </w:t>
      </w:r>
      <w:r w:rsidR="00F87A16">
        <w:rPr>
          <w:rFonts w:eastAsia="Times New Roman"/>
        </w:rPr>
        <w:t xml:space="preserve">labelled </w:t>
      </w:r>
      <w:r w:rsidR="009A2FC6" w:rsidRPr="00666939">
        <w:rPr>
          <w:rFonts w:eastAsia="Times New Roman"/>
        </w:rPr>
        <w:t>“pseudo-</w:t>
      </w:r>
      <w:proofErr w:type="spellStart"/>
      <w:r w:rsidR="00B55FAA" w:rsidRPr="00666939">
        <w:rPr>
          <w:rFonts w:eastAsia="Times New Roman"/>
        </w:rPr>
        <w:t>preallocated</w:t>
      </w:r>
      <w:proofErr w:type="spellEnd"/>
      <w:r w:rsidR="00B55FAA" w:rsidRPr="00666939">
        <w:rPr>
          <w:rFonts w:eastAsia="Times New Roman"/>
        </w:rPr>
        <w:t xml:space="preserve">” in Q1 2016 </w:t>
      </w:r>
      <w:r w:rsidR="00FE1B3A" w:rsidRPr="00666939">
        <w:rPr>
          <w:rFonts w:eastAsia="Times New Roman"/>
        </w:rPr>
        <w:t>to</w:t>
      </w:r>
      <w:r w:rsidR="008B1D4E" w:rsidRPr="00666939">
        <w:rPr>
          <w:rFonts w:eastAsia="Times New Roman"/>
        </w:rPr>
        <w:t xml:space="preserve"> referral in Q2 2016.</w:t>
      </w:r>
    </w:p>
    <w:p w:rsidR="00CE01F6" w:rsidRPr="00666939" w:rsidRDefault="00CE01F6" w:rsidP="00666939">
      <w:pPr>
        <w:numPr>
          <w:ilvl w:val="1"/>
          <w:numId w:val="14"/>
        </w:numPr>
        <w:spacing w:after="120" w:line="240" w:lineRule="auto"/>
        <w:rPr>
          <w:rFonts w:eastAsia="Times New Roman"/>
        </w:rPr>
      </w:pPr>
      <w:r w:rsidRPr="00666939">
        <w:rPr>
          <w:rFonts w:eastAsia="Times New Roman"/>
        </w:rPr>
        <w:t>Repeat</w:t>
      </w:r>
      <w:r w:rsidR="00FD38A3" w:rsidRPr="00666939">
        <w:rPr>
          <w:rFonts w:eastAsia="Times New Roman"/>
        </w:rPr>
        <w:t>ing this procedure each quarter (with the individuals “pseudo-</w:t>
      </w:r>
      <w:proofErr w:type="spellStart"/>
      <w:r w:rsidR="00FD38A3" w:rsidRPr="00666939">
        <w:rPr>
          <w:rFonts w:eastAsia="Times New Roman"/>
        </w:rPr>
        <w:t>preallocated</w:t>
      </w:r>
      <w:proofErr w:type="spellEnd"/>
      <w:r w:rsidR="00FD38A3" w:rsidRPr="00666939">
        <w:rPr>
          <w:rFonts w:eastAsia="Times New Roman"/>
        </w:rPr>
        <w:t>” in Q1 2016 to referral in Q2 2016 removed from the pool available for “pseudo-</w:t>
      </w:r>
      <w:proofErr w:type="spellStart"/>
      <w:r w:rsidR="00FD38A3" w:rsidRPr="00666939">
        <w:rPr>
          <w:rFonts w:eastAsia="Times New Roman"/>
        </w:rPr>
        <w:t>preallocation</w:t>
      </w:r>
      <w:proofErr w:type="spellEnd"/>
      <w:r w:rsidR="00FD38A3" w:rsidRPr="00666939">
        <w:rPr>
          <w:rFonts w:eastAsia="Times New Roman"/>
        </w:rPr>
        <w:t xml:space="preserve">” to referral in Q3 2016, </w:t>
      </w:r>
      <w:proofErr w:type="spellStart"/>
      <w:r w:rsidR="00FD38A3" w:rsidRPr="00666939">
        <w:rPr>
          <w:rFonts w:eastAsia="Times New Roman"/>
        </w:rPr>
        <w:t>etc</w:t>
      </w:r>
      <w:proofErr w:type="spellEnd"/>
      <w:r w:rsidR="00FD38A3" w:rsidRPr="00666939">
        <w:rPr>
          <w:rFonts w:eastAsia="Times New Roman"/>
        </w:rPr>
        <w:t>),</w:t>
      </w:r>
      <w:r w:rsidRPr="00666939">
        <w:rPr>
          <w:rFonts w:eastAsia="Times New Roman"/>
        </w:rPr>
        <w:t xml:space="preserve"> by end 2017 the whole sample that was available for randomisation in Q1 2016 will </w:t>
      </w:r>
      <w:r w:rsidR="009A2FC6" w:rsidRPr="00666939">
        <w:rPr>
          <w:rFonts w:eastAsia="Times New Roman"/>
        </w:rPr>
        <w:t xml:space="preserve">have been </w:t>
      </w:r>
      <w:r w:rsidRPr="00666939">
        <w:rPr>
          <w:rFonts w:eastAsia="Times New Roman"/>
        </w:rPr>
        <w:t xml:space="preserve">allocated </w:t>
      </w:r>
      <w:r w:rsidR="00C57FEA" w:rsidRPr="00666939">
        <w:rPr>
          <w:rFonts w:eastAsia="Times New Roman"/>
        </w:rPr>
        <w:t xml:space="preserve">across the </w:t>
      </w:r>
      <w:r w:rsidRPr="00666939">
        <w:rPr>
          <w:rFonts w:eastAsia="Times New Roman"/>
        </w:rPr>
        <w:t>groups “actually referred in Q1</w:t>
      </w:r>
      <w:r w:rsidR="00FE1B3A" w:rsidRPr="00666939">
        <w:rPr>
          <w:rFonts w:eastAsia="Times New Roman"/>
        </w:rPr>
        <w:t xml:space="preserve"> 2016”, “pseudo-</w:t>
      </w:r>
      <w:proofErr w:type="spellStart"/>
      <w:r w:rsidR="00FE1B3A" w:rsidRPr="00666939">
        <w:rPr>
          <w:rFonts w:eastAsia="Times New Roman"/>
        </w:rPr>
        <w:t>preallocated</w:t>
      </w:r>
      <w:proofErr w:type="spellEnd"/>
      <w:r w:rsidR="00FE1B3A" w:rsidRPr="00666939">
        <w:rPr>
          <w:rFonts w:eastAsia="Times New Roman"/>
        </w:rPr>
        <w:t xml:space="preserve"> to </w:t>
      </w:r>
      <w:r w:rsidRPr="00666939">
        <w:rPr>
          <w:rFonts w:eastAsia="Times New Roman"/>
        </w:rPr>
        <w:t>referral in Q2</w:t>
      </w:r>
      <w:r w:rsidR="00FE1B3A" w:rsidRPr="00666939">
        <w:rPr>
          <w:rFonts w:eastAsia="Times New Roman"/>
        </w:rPr>
        <w:t xml:space="preserve"> 2016”, “pseudo-</w:t>
      </w:r>
      <w:proofErr w:type="spellStart"/>
      <w:r w:rsidR="00FE1B3A" w:rsidRPr="00666939">
        <w:rPr>
          <w:rFonts w:eastAsia="Times New Roman"/>
        </w:rPr>
        <w:t>preallocated</w:t>
      </w:r>
      <w:proofErr w:type="spellEnd"/>
      <w:r w:rsidR="00FE1B3A" w:rsidRPr="00666939">
        <w:rPr>
          <w:rFonts w:eastAsia="Times New Roman"/>
        </w:rPr>
        <w:t xml:space="preserve"> to</w:t>
      </w:r>
      <w:r w:rsidRPr="00666939">
        <w:rPr>
          <w:rFonts w:eastAsia="Times New Roman"/>
        </w:rPr>
        <w:t xml:space="preserve"> referral in </w:t>
      </w:r>
      <w:r w:rsidR="00C57FEA" w:rsidRPr="00666939">
        <w:rPr>
          <w:rFonts w:eastAsia="Times New Roman"/>
        </w:rPr>
        <w:t>Q3 2016”</w:t>
      </w:r>
      <w:r w:rsidR="00B55FAA" w:rsidRPr="00666939">
        <w:rPr>
          <w:rFonts w:eastAsia="Times New Roman"/>
        </w:rPr>
        <w:t xml:space="preserve">, etc., and </w:t>
      </w:r>
      <w:r w:rsidR="009A2FC6" w:rsidRPr="00666939">
        <w:rPr>
          <w:rFonts w:eastAsia="Times New Roman"/>
        </w:rPr>
        <w:t xml:space="preserve">a </w:t>
      </w:r>
      <w:r w:rsidRPr="00666939">
        <w:rPr>
          <w:rFonts w:eastAsia="Times New Roman"/>
        </w:rPr>
        <w:t xml:space="preserve">final </w:t>
      </w:r>
      <w:r w:rsidR="00C57FEA" w:rsidRPr="00666939">
        <w:rPr>
          <w:rFonts w:eastAsia="Times New Roman"/>
        </w:rPr>
        <w:t>(residual</w:t>
      </w:r>
      <w:r w:rsidR="00B55FAA" w:rsidRPr="00666939">
        <w:rPr>
          <w:rFonts w:eastAsia="Times New Roman"/>
        </w:rPr>
        <w:t>) group “pseudo-</w:t>
      </w:r>
      <w:proofErr w:type="spellStart"/>
      <w:r w:rsidR="00B55FAA" w:rsidRPr="00666939">
        <w:rPr>
          <w:rFonts w:eastAsia="Times New Roman"/>
        </w:rPr>
        <w:t>preallocated</w:t>
      </w:r>
      <w:proofErr w:type="spellEnd"/>
      <w:r w:rsidR="00B55FAA" w:rsidRPr="00666939">
        <w:rPr>
          <w:rFonts w:eastAsia="Times New Roman"/>
        </w:rPr>
        <w:t xml:space="preserve"> for </w:t>
      </w:r>
      <w:r w:rsidR="00C57FEA" w:rsidRPr="00666939">
        <w:rPr>
          <w:rFonts w:eastAsia="Times New Roman"/>
        </w:rPr>
        <w:t>non-referral up to end 2017”.</w:t>
      </w:r>
    </w:p>
    <w:p w:rsidR="00CE01F6" w:rsidRPr="00666939" w:rsidRDefault="00CE01F6" w:rsidP="00666939">
      <w:pPr>
        <w:numPr>
          <w:ilvl w:val="1"/>
          <w:numId w:val="14"/>
        </w:numPr>
        <w:spacing w:after="120" w:line="240" w:lineRule="auto"/>
      </w:pPr>
      <w:r w:rsidRPr="00666939">
        <w:rPr>
          <w:rFonts w:eastAsia="Times New Roman"/>
        </w:rPr>
        <w:t>By</w:t>
      </w:r>
      <w:r w:rsidR="00C57FEA" w:rsidRPr="00666939">
        <w:rPr>
          <w:rFonts w:eastAsia="Times New Roman"/>
        </w:rPr>
        <w:t xml:space="preserve"> the beauty of randomisation</w:t>
      </w:r>
      <w:r w:rsidR="00FD38A3" w:rsidRPr="00666939">
        <w:rPr>
          <w:rFonts w:eastAsia="Times New Roman"/>
        </w:rPr>
        <w:t xml:space="preserve"> - </w:t>
      </w:r>
      <w:r w:rsidR="00E53BBF" w:rsidRPr="00666939">
        <w:rPr>
          <w:rFonts w:eastAsia="Times New Roman"/>
        </w:rPr>
        <w:t xml:space="preserve">and given that </w:t>
      </w:r>
      <w:proofErr w:type="spellStart"/>
      <w:r w:rsidR="008B1D4E" w:rsidRPr="00666939">
        <w:rPr>
          <w:rFonts w:eastAsia="Times New Roman"/>
        </w:rPr>
        <w:t>preallocation</w:t>
      </w:r>
      <w:proofErr w:type="spellEnd"/>
      <w:r w:rsidR="008B1D4E" w:rsidRPr="00666939">
        <w:rPr>
          <w:rFonts w:eastAsia="Times New Roman"/>
        </w:rPr>
        <w:t xml:space="preserve"> dat</w:t>
      </w:r>
      <w:r w:rsidR="00FD38A3" w:rsidRPr="00666939">
        <w:rPr>
          <w:rFonts w:eastAsia="Times New Roman"/>
        </w:rPr>
        <w:t xml:space="preserve">es are not revealed in advance </w:t>
      </w:r>
      <w:r w:rsidR="008B1D4E" w:rsidRPr="00666939">
        <w:rPr>
          <w:rFonts w:eastAsia="Times New Roman"/>
        </w:rPr>
        <w:t>of the actual referral</w:t>
      </w:r>
      <w:r w:rsidR="00FD38A3" w:rsidRPr="00666939">
        <w:rPr>
          <w:rFonts w:eastAsia="Times New Roman"/>
        </w:rPr>
        <w:t xml:space="preserve"> and therefore have no impact on outcomes until the referrals actually occur - </w:t>
      </w:r>
      <w:r w:rsidR="00E53BBF" w:rsidRPr="00666939">
        <w:rPr>
          <w:rFonts w:eastAsia="Times New Roman"/>
        </w:rPr>
        <w:t xml:space="preserve">a </w:t>
      </w:r>
      <w:r w:rsidRPr="00666939">
        <w:rPr>
          <w:rFonts w:eastAsia="Times New Roman"/>
        </w:rPr>
        <w:t>comparison of o</w:t>
      </w:r>
      <w:r w:rsidR="00F136E0" w:rsidRPr="00666939">
        <w:rPr>
          <w:rFonts w:eastAsia="Times New Roman"/>
        </w:rPr>
        <w:t>utcomes between any two of the</w:t>
      </w:r>
      <w:r w:rsidRPr="00666939">
        <w:rPr>
          <w:rFonts w:eastAsia="Times New Roman"/>
        </w:rPr>
        <w:t xml:space="preserve"> “pseudo-</w:t>
      </w:r>
      <w:proofErr w:type="spellStart"/>
      <w:r w:rsidRPr="00666939">
        <w:rPr>
          <w:rFonts w:eastAsia="Times New Roman"/>
        </w:rPr>
        <w:t>preallocated</w:t>
      </w:r>
      <w:proofErr w:type="spellEnd"/>
      <w:r w:rsidRPr="00666939">
        <w:rPr>
          <w:rFonts w:eastAsia="Times New Roman"/>
        </w:rPr>
        <w:t xml:space="preserve">” groups will have </w:t>
      </w:r>
      <w:r w:rsidR="00F136E0" w:rsidRPr="00666939">
        <w:rPr>
          <w:rFonts w:eastAsia="Times New Roman"/>
        </w:rPr>
        <w:t xml:space="preserve">the same </w:t>
      </w:r>
      <w:r w:rsidRPr="00666939">
        <w:rPr>
          <w:rFonts w:eastAsia="Times New Roman"/>
        </w:rPr>
        <w:t xml:space="preserve">statistical properties </w:t>
      </w:r>
      <w:r w:rsidR="00F136E0" w:rsidRPr="00666939">
        <w:rPr>
          <w:rFonts w:eastAsia="Times New Roman"/>
        </w:rPr>
        <w:t xml:space="preserve">as a comparison based on </w:t>
      </w:r>
      <w:proofErr w:type="spellStart"/>
      <w:r w:rsidR="00C57FEA" w:rsidRPr="00666939">
        <w:rPr>
          <w:rFonts w:eastAsia="Times New Roman"/>
        </w:rPr>
        <w:t>preallocation</w:t>
      </w:r>
      <w:r w:rsidR="007D7B43" w:rsidRPr="00666939">
        <w:rPr>
          <w:rFonts w:eastAsia="Times New Roman"/>
        </w:rPr>
        <w:t>s</w:t>
      </w:r>
      <w:proofErr w:type="spellEnd"/>
      <w:r w:rsidR="007D7B43" w:rsidRPr="00666939">
        <w:rPr>
          <w:rFonts w:eastAsia="Times New Roman"/>
        </w:rPr>
        <w:t xml:space="preserve"> </w:t>
      </w:r>
      <w:r w:rsidR="00FD38A3" w:rsidRPr="00666939">
        <w:rPr>
          <w:rFonts w:eastAsia="Times New Roman"/>
        </w:rPr>
        <w:t xml:space="preserve">that were </w:t>
      </w:r>
      <w:r w:rsidR="007D7B43" w:rsidRPr="00666939">
        <w:rPr>
          <w:rFonts w:eastAsia="Times New Roman"/>
        </w:rPr>
        <w:t xml:space="preserve">actually </w:t>
      </w:r>
      <w:r w:rsidR="00C57FEA" w:rsidRPr="00666939">
        <w:rPr>
          <w:rFonts w:eastAsia="Times New Roman"/>
        </w:rPr>
        <w:t>done in Q1 2016</w:t>
      </w:r>
      <w:r w:rsidR="007D7B43" w:rsidRPr="00666939">
        <w:rPr>
          <w:rFonts w:eastAsia="Times New Roman"/>
        </w:rPr>
        <w:t>.</w:t>
      </w:r>
    </w:p>
    <w:p w:rsidR="007D7B43" w:rsidRPr="00666939" w:rsidRDefault="00E53BBF" w:rsidP="00666939">
      <w:pPr>
        <w:numPr>
          <w:ilvl w:val="0"/>
          <w:numId w:val="14"/>
        </w:numPr>
        <w:spacing w:after="120" w:line="240" w:lineRule="auto"/>
      </w:pPr>
      <w:r w:rsidRPr="00666939">
        <w:rPr>
          <w:rFonts w:eastAsia="Times New Roman"/>
        </w:rPr>
        <w:t xml:space="preserve">A </w:t>
      </w:r>
      <w:r w:rsidR="00CE01F6" w:rsidRPr="00666939">
        <w:rPr>
          <w:rFonts w:eastAsia="Times New Roman"/>
        </w:rPr>
        <w:t xml:space="preserve">comparison of outcomes for the group </w:t>
      </w:r>
      <w:r w:rsidR="00D32098">
        <w:rPr>
          <w:rFonts w:eastAsia="Times New Roman"/>
        </w:rPr>
        <w:t xml:space="preserve">actually </w:t>
      </w:r>
      <w:r w:rsidR="00CE01F6" w:rsidRPr="00666939">
        <w:rPr>
          <w:rFonts w:eastAsia="Times New Roman"/>
        </w:rPr>
        <w:t xml:space="preserve">referred in Q1 2016 vs. the group </w:t>
      </w:r>
      <w:r w:rsidR="002B59F5" w:rsidRPr="00666939">
        <w:rPr>
          <w:rFonts w:eastAsia="Times New Roman"/>
        </w:rPr>
        <w:t>pseudo-</w:t>
      </w:r>
      <w:proofErr w:type="spellStart"/>
      <w:r w:rsidR="00CE01F6" w:rsidRPr="00666939">
        <w:rPr>
          <w:rFonts w:eastAsia="Times New Roman"/>
        </w:rPr>
        <w:t>preallocated</w:t>
      </w:r>
      <w:proofErr w:type="spellEnd"/>
      <w:r w:rsidR="00CE01F6" w:rsidRPr="00666939">
        <w:rPr>
          <w:rFonts w:eastAsia="Times New Roman"/>
        </w:rPr>
        <w:t xml:space="preserve"> to </w:t>
      </w:r>
      <w:r w:rsidR="00F136E0" w:rsidRPr="00666939">
        <w:rPr>
          <w:rFonts w:eastAsia="Times New Roman"/>
        </w:rPr>
        <w:t>“</w:t>
      </w:r>
      <w:r w:rsidR="002B59F5" w:rsidRPr="00666939">
        <w:rPr>
          <w:rFonts w:eastAsia="Times New Roman"/>
        </w:rPr>
        <w:t>non-</w:t>
      </w:r>
      <w:r w:rsidR="00CE01F6" w:rsidRPr="00666939">
        <w:rPr>
          <w:rFonts w:eastAsia="Times New Roman"/>
        </w:rPr>
        <w:t xml:space="preserve">referral </w:t>
      </w:r>
      <w:r w:rsidR="002B59F5" w:rsidRPr="00666939">
        <w:rPr>
          <w:rFonts w:eastAsia="Times New Roman"/>
        </w:rPr>
        <w:t xml:space="preserve">up to </w:t>
      </w:r>
      <w:r w:rsidR="00CE01F6" w:rsidRPr="00666939">
        <w:rPr>
          <w:rFonts w:eastAsia="Times New Roman"/>
        </w:rPr>
        <w:t xml:space="preserve">end 2017” will </w:t>
      </w:r>
      <w:r w:rsidRPr="00666939">
        <w:rPr>
          <w:rFonts w:eastAsia="Times New Roman"/>
        </w:rPr>
        <w:t xml:space="preserve">then provide an unbiased estimate for </w:t>
      </w:r>
      <w:r w:rsidR="00CE01F6" w:rsidRPr="00666939">
        <w:rPr>
          <w:rFonts w:eastAsia="Times New Roman"/>
        </w:rPr>
        <w:t xml:space="preserve">the impact of </w:t>
      </w:r>
      <w:r w:rsidRPr="00666939">
        <w:rPr>
          <w:rFonts w:eastAsia="Times New Roman"/>
        </w:rPr>
        <w:t xml:space="preserve">referral to </w:t>
      </w:r>
      <w:proofErr w:type="spellStart"/>
      <w:r w:rsidR="00CE01F6" w:rsidRPr="00666939">
        <w:rPr>
          <w:rFonts w:eastAsia="Times New Roman"/>
        </w:rPr>
        <w:t>JobPath</w:t>
      </w:r>
      <w:proofErr w:type="spellEnd"/>
      <w:r w:rsidR="00CE01F6" w:rsidRPr="00666939">
        <w:rPr>
          <w:rFonts w:eastAsia="Times New Roman"/>
        </w:rPr>
        <w:t xml:space="preserve"> </w:t>
      </w:r>
      <w:r w:rsidR="007D7B43" w:rsidRPr="00666939">
        <w:rPr>
          <w:rFonts w:eastAsia="Times New Roman"/>
        </w:rPr>
        <w:t xml:space="preserve">in Q1 2016 during </w:t>
      </w:r>
      <w:r w:rsidR="002B59F5" w:rsidRPr="00666939">
        <w:rPr>
          <w:rFonts w:eastAsia="Times New Roman"/>
        </w:rPr>
        <w:t xml:space="preserve">the first 7 quarters after </w:t>
      </w:r>
      <w:r w:rsidR="00C36331" w:rsidRPr="00666939">
        <w:rPr>
          <w:rFonts w:eastAsia="Times New Roman"/>
        </w:rPr>
        <w:t>referral</w:t>
      </w:r>
      <w:r w:rsidR="007D7B43" w:rsidRPr="00666939">
        <w:rPr>
          <w:rFonts w:eastAsia="Times New Roman"/>
        </w:rPr>
        <w:t xml:space="preserve"> (although </w:t>
      </w:r>
      <w:r w:rsidRPr="00666939">
        <w:rPr>
          <w:rFonts w:eastAsia="Times New Roman"/>
        </w:rPr>
        <w:t xml:space="preserve">not including threat effects </w:t>
      </w:r>
      <w:r w:rsidR="00FD38A3" w:rsidRPr="00666939">
        <w:rPr>
          <w:rFonts w:eastAsia="Times New Roman"/>
        </w:rPr>
        <w:t xml:space="preserve">where </w:t>
      </w:r>
      <w:r w:rsidR="00D32098">
        <w:rPr>
          <w:rFonts w:eastAsia="Times New Roman"/>
        </w:rPr>
        <w:t xml:space="preserve">the </w:t>
      </w:r>
      <w:r w:rsidR="00B55FAA" w:rsidRPr="00666939">
        <w:rPr>
          <w:rFonts w:eastAsia="Times New Roman"/>
        </w:rPr>
        <w:t xml:space="preserve">general </w:t>
      </w:r>
      <w:r w:rsidR="007D7B43" w:rsidRPr="00666939">
        <w:rPr>
          <w:rFonts w:eastAsia="Times New Roman"/>
        </w:rPr>
        <w:t xml:space="preserve">risk of </w:t>
      </w:r>
      <w:r w:rsidR="00FD38A3" w:rsidRPr="00666939">
        <w:rPr>
          <w:rFonts w:eastAsia="Times New Roman"/>
        </w:rPr>
        <w:t xml:space="preserve">future </w:t>
      </w:r>
      <w:r w:rsidR="007D7B43" w:rsidRPr="00666939">
        <w:rPr>
          <w:rFonts w:eastAsia="Times New Roman"/>
        </w:rPr>
        <w:t xml:space="preserve">referral to </w:t>
      </w:r>
      <w:proofErr w:type="spellStart"/>
      <w:r w:rsidR="007D7B43" w:rsidRPr="00666939">
        <w:rPr>
          <w:rFonts w:eastAsia="Times New Roman"/>
        </w:rPr>
        <w:t>JobPath</w:t>
      </w:r>
      <w:proofErr w:type="spellEnd"/>
      <w:r w:rsidR="00D32098">
        <w:rPr>
          <w:rFonts w:eastAsia="Times New Roman"/>
        </w:rPr>
        <w:t xml:space="preserve"> affects behaviour – threat effects</w:t>
      </w:r>
      <w:r w:rsidR="00FD38A3" w:rsidRPr="00666939">
        <w:rPr>
          <w:rFonts w:eastAsia="Times New Roman"/>
        </w:rPr>
        <w:t xml:space="preserve"> might </w:t>
      </w:r>
      <w:r w:rsidR="00D32098">
        <w:rPr>
          <w:rFonts w:eastAsia="Times New Roman"/>
        </w:rPr>
        <w:t>be the same for different treatment groups</w:t>
      </w:r>
      <w:r w:rsidR="00C47A8B" w:rsidRPr="00666939">
        <w:rPr>
          <w:rFonts w:eastAsia="Times New Roman"/>
        </w:rPr>
        <w:t>).</w:t>
      </w:r>
    </w:p>
    <w:p w:rsidR="00CE01F6" w:rsidRPr="00666939" w:rsidRDefault="00E53BBF" w:rsidP="00666939">
      <w:pPr>
        <w:spacing w:after="120" w:line="240" w:lineRule="auto"/>
      </w:pPr>
      <w:r w:rsidRPr="00666939">
        <w:rPr>
          <w:rFonts w:eastAsia="Times New Roman"/>
        </w:rPr>
        <w:t xml:space="preserve">Comparisons </w:t>
      </w:r>
      <w:r w:rsidR="00FD38A3" w:rsidRPr="00666939">
        <w:rPr>
          <w:rFonts w:eastAsia="Times New Roman"/>
        </w:rPr>
        <w:t xml:space="preserve">of </w:t>
      </w:r>
      <w:r w:rsidR="002B59F5" w:rsidRPr="00666939">
        <w:rPr>
          <w:rFonts w:eastAsia="Times New Roman"/>
        </w:rPr>
        <w:t>outcome</w:t>
      </w:r>
      <w:r w:rsidR="00FD38A3" w:rsidRPr="00666939">
        <w:rPr>
          <w:rFonts w:eastAsia="Times New Roman"/>
        </w:rPr>
        <w:t>s</w:t>
      </w:r>
      <w:r w:rsidR="002B59F5" w:rsidRPr="00666939">
        <w:rPr>
          <w:rFonts w:eastAsia="Times New Roman"/>
        </w:rPr>
        <w:t xml:space="preserve"> for </w:t>
      </w:r>
      <w:r w:rsidRPr="00666939">
        <w:rPr>
          <w:rFonts w:eastAsia="Times New Roman"/>
        </w:rPr>
        <w:t>groups</w:t>
      </w:r>
      <w:r w:rsidR="00B55FAA" w:rsidRPr="00666939">
        <w:rPr>
          <w:rFonts w:eastAsia="Times New Roman"/>
        </w:rPr>
        <w:t xml:space="preserve"> </w:t>
      </w:r>
      <w:r w:rsidR="00FD38A3" w:rsidRPr="00666939">
        <w:rPr>
          <w:rFonts w:eastAsia="Times New Roman"/>
        </w:rPr>
        <w:t>other than “Q1 2016” vs. “non-referral up to end 2017” c</w:t>
      </w:r>
      <w:r w:rsidR="00C36331" w:rsidRPr="00666939">
        <w:rPr>
          <w:rFonts w:eastAsia="Times New Roman"/>
        </w:rPr>
        <w:t xml:space="preserve">ould </w:t>
      </w:r>
      <w:r w:rsidR="00D32098">
        <w:rPr>
          <w:rFonts w:eastAsia="Times New Roman"/>
        </w:rPr>
        <w:t>be useful</w:t>
      </w:r>
      <w:r w:rsidRPr="00666939">
        <w:rPr>
          <w:rFonts w:eastAsia="Times New Roman"/>
        </w:rPr>
        <w:t>:</w:t>
      </w:r>
    </w:p>
    <w:p w:rsidR="00CE01F6" w:rsidRPr="00666939" w:rsidRDefault="00F136E0" w:rsidP="00666939">
      <w:pPr>
        <w:numPr>
          <w:ilvl w:val="1"/>
          <w:numId w:val="14"/>
        </w:numPr>
        <w:spacing w:after="120" w:line="240" w:lineRule="auto"/>
      </w:pPr>
      <w:r w:rsidRPr="00666939">
        <w:rPr>
          <w:rFonts w:eastAsia="Times New Roman"/>
        </w:rPr>
        <w:t xml:space="preserve">For averaging out random error, e.g. if the Q1 2016 sample is small, </w:t>
      </w:r>
      <w:r w:rsidR="00D32098">
        <w:rPr>
          <w:rFonts w:eastAsia="Times New Roman"/>
        </w:rPr>
        <w:t xml:space="preserve">application of the </w:t>
      </w:r>
      <w:r w:rsidRPr="00666939">
        <w:rPr>
          <w:rFonts w:eastAsia="Times New Roman"/>
        </w:rPr>
        <w:t xml:space="preserve">procedure </w:t>
      </w:r>
      <w:r w:rsidR="00FD38A3" w:rsidRPr="00666939">
        <w:rPr>
          <w:rFonts w:eastAsia="Times New Roman"/>
        </w:rPr>
        <w:t xml:space="preserve">to the Q2 2016 sample would provide a useful </w:t>
      </w:r>
      <w:r w:rsidR="00D32098">
        <w:rPr>
          <w:rFonts w:eastAsia="Times New Roman"/>
        </w:rPr>
        <w:t>second reading.</w:t>
      </w:r>
    </w:p>
    <w:p w:rsidR="00CE01F6" w:rsidRPr="00666939" w:rsidRDefault="00CE01F6" w:rsidP="00666939">
      <w:pPr>
        <w:numPr>
          <w:ilvl w:val="1"/>
          <w:numId w:val="14"/>
        </w:numPr>
        <w:spacing w:after="120" w:line="240" w:lineRule="auto"/>
      </w:pPr>
      <w:r w:rsidRPr="00666939">
        <w:rPr>
          <w:rFonts w:eastAsia="Times New Roman"/>
        </w:rPr>
        <w:t xml:space="preserve">For examining how the impact of </w:t>
      </w:r>
      <w:proofErr w:type="spellStart"/>
      <w:r w:rsidRPr="00666939">
        <w:rPr>
          <w:rFonts w:eastAsia="Times New Roman"/>
        </w:rPr>
        <w:t>JobPath</w:t>
      </w:r>
      <w:proofErr w:type="spellEnd"/>
      <w:r w:rsidRPr="00666939">
        <w:rPr>
          <w:rFonts w:eastAsia="Times New Roman"/>
        </w:rPr>
        <w:t xml:space="preserve"> varies w</w:t>
      </w:r>
      <w:r w:rsidR="001D5670" w:rsidRPr="00666939">
        <w:rPr>
          <w:rFonts w:eastAsia="Times New Roman"/>
        </w:rPr>
        <w:t xml:space="preserve">ith elapsed duration on the LR: in the procedure described, </w:t>
      </w:r>
      <w:r w:rsidR="008853DB" w:rsidRPr="00666939">
        <w:rPr>
          <w:rFonts w:eastAsia="Times New Roman"/>
        </w:rPr>
        <w:t>o</w:t>
      </w:r>
      <w:r w:rsidR="002B59F5" w:rsidRPr="00666939">
        <w:rPr>
          <w:rFonts w:eastAsia="Times New Roman"/>
        </w:rPr>
        <w:t xml:space="preserve">nly individuals in the group eligible for randomisation in Q1 2016 are included in </w:t>
      </w:r>
      <w:r w:rsidR="00F136E0" w:rsidRPr="00666939">
        <w:rPr>
          <w:rFonts w:eastAsia="Times New Roman"/>
        </w:rPr>
        <w:t xml:space="preserve">outcome </w:t>
      </w:r>
      <w:r w:rsidR="002B59F5" w:rsidRPr="00666939">
        <w:rPr>
          <w:rFonts w:eastAsia="Times New Roman"/>
        </w:rPr>
        <w:t>statistics for later quarters</w:t>
      </w:r>
      <w:r w:rsidR="00F136E0" w:rsidRPr="00666939">
        <w:rPr>
          <w:rFonts w:eastAsia="Times New Roman"/>
        </w:rPr>
        <w:t>. T</w:t>
      </w:r>
      <w:r w:rsidR="001D5670" w:rsidRPr="00666939">
        <w:rPr>
          <w:rFonts w:eastAsia="Times New Roman"/>
        </w:rPr>
        <w:t>herefore a “Q2 2017 vs Q3</w:t>
      </w:r>
      <w:r w:rsidR="00D32098">
        <w:rPr>
          <w:rFonts w:eastAsia="Times New Roman"/>
        </w:rPr>
        <w:t xml:space="preserve"> 2017” comparison </w:t>
      </w:r>
      <w:r w:rsidR="00F136E0" w:rsidRPr="00666939">
        <w:rPr>
          <w:rFonts w:eastAsia="Times New Roman"/>
        </w:rPr>
        <w:t xml:space="preserve">estimates impact for a target </w:t>
      </w:r>
      <w:r w:rsidR="002B59F5" w:rsidRPr="00666939">
        <w:rPr>
          <w:rFonts w:eastAsia="Times New Roman"/>
        </w:rPr>
        <w:t xml:space="preserve">group that has been on the LR </w:t>
      </w:r>
      <w:r w:rsidR="00B55FAA" w:rsidRPr="00666939">
        <w:rPr>
          <w:rFonts w:eastAsia="Times New Roman"/>
        </w:rPr>
        <w:t xml:space="preserve">about </w:t>
      </w:r>
      <w:r w:rsidRPr="00666939">
        <w:rPr>
          <w:rFonts w:eastAsia="Times New Roman"/>
        </w:rPr>
        <w:t xml:space="preserve">year </w:t>
      </w:r>
      <w:r w:rsidR="00F136E0" w:rsidRPr="00666939">
        <w:rPr>
          <w:rFonts w:eastAsia="Times New Roman"/>
        </w:rPr>
        <w:t xml:space="preserve">longer, on average, </w:t>
      </w:r>
      <w:r w:rsidR="001D5670" w:rsidRPr="00666939">
        <w:rPr>
          <w:rFonts w:eastAsia="Times New Roman"/>
        </w:rPr>
        <w:t>than a “Q2 2016 vs Q3 2016” comparison.</w:t>
      </w:r>
    </w:p>
    <w:p w:rsidR="00CE01F6" w:rsidRPr="00666939" w:rsidRDefault="00CE01F6" w:rsidP="00666939">
      <w:pPr>
        <w:spacing w:after="120" w:line="240" w:lineRule="auto"/>
        <w:rPr>
          <w:rFonts w:eastAsia="Times New Roman"/>
        </w:rPr>
      </w:pPr>
      <w:r w:rsidRPr="00666939">
        <w:rPr>
          <w:rFonts w:eastAsia="Times New Roman"/>
        </w:rPr>
        <w:t xml:space="preserve">If </w:t>
      </w:r>
      <w:proofErr w:type="spellStart"/>
      <w:r w:rsidRPr="00666939">
        <w:rPr>
          <w:rFonts w:eastAsia="Times New Roman"/>
        </w:rPr>
        <w:t>JobPath</w:t>
      </w:r>
      <w:proofErr w:type="spellEnd"/>
      <w:r w:rsidRPr="00666939">
        <w:rPr>
          <w:rFonts w:eastAsia="Times New Roman"/>
        </w:rPr>
        <w:t xml:space="preserve"> remained in place for</w:t>
      </w:r>
      <w:r w:rsidR="00D116ED" w:rsidRPr="00666939">
        <w:rPr>
          <w:rFonts w:eastAsia="Times New Roman"/>
        </w:rPr>
        <w:t xml:space="preserve"> many</w:t>
      </w:r>
      <w:r w:rsidRPr="00666939">
        <w:rPr>
          <w:rFonts w:eastAsia="Times New Roman"/>
        </w:rPr>
        <w:t xml:space="preserve"> years, </w:t>
      </w:r>
      <w:r w:rsidR="00F136E0" w:rsidRPr="00666939">
        <w:rPr>
          <w:rFonts w:eastAsia="Times New Roman"/>
        </w:rPr>
        <w:t xml:space="preserve">the </w:t>
      </w:r>
      <w:r w:rsidRPr="00666939">
        <w:rPr>
          <w:rFonts w:eastAsia="Times New Roman"/>
        </w:rPr>
        <w:t xml:space="preserve">full set of </w:t>
      </w:r>
      <w:r w:rsidR="00D116ED" w:rsidRPr="00666939">
        <w:rPr>
          <w:rFonts w:eastAsia="Times New Roman"/>
        </w:rPr>
        <w:t xml:space="preserve">historical </w:t>
      </w:r>
      <w:r w:rsidR="001D5670" w:rsidRPr="00666939">
        <w:rPr>
          <w:rFonts w:eastAsia="Times New Roman"/>
        </w:rPr>
        <w:t xml:space="preserve">data </w:t>
      </w:r>
      <w:r w:rsidRPr="00666939">
        <w:rPr>
          <w:rFonts w:eastAsia="Times New Roman"/>
        </w:rPr>
        <w:t xml:space="preserve">could </w:t>
      </w:r>
      <w:r w:rsidR="00F136E0" w:rsidRPr="00666939">
        <w:rPr>
          <w:rFonts w:eastAsia="Times New Roman"/>
        </w:rPr>
        <w:t xml:space="preserve">allow modelling of </w:t>
      </w:r>
      <w:r w:rsidRPr="00666939">
        <w:rPr>
          <w:rFonts w:eastAsia="Times New Roman"/>
        </w:rPr>
        <w:t>how impact has varied with calendar date (the imp</w:t>
      </w:r>
      <w:r w:rsidR="008853DB" w:rsidRPr="00666939">
        <w:rPr>
          <w:rFonts w:eastAsia="Times New Roman"/>
        </w:rPr>
        <w:t xml:space="preserve">act </w:t>
      </w:r>
      <w:r w:rsidR="00F136E0" w:rsidRPr="00666939">
        <w:rPr>
          <w:rFonts w:eastAsia="Times New Roman"/>
        </w:rPr>
        <w:t>c</w:t>
      </w:r>
      <w:r w:rsidR="001D5670" w:rsidRPr="00666939">
        <w:rPr>
          <w:rFonts w:eastAsia="Times New Roman"/>
        </w:rPr>
        <w:t>ould change</w:t>
      </w:r>
      <w:r w:rsidR="008853DB" w:rsidRPr="00666939">
        <w:rPr>
          <w:rFonts w:eastAsia="Times New Roman"/>
        </w:rPr>
        <w:t xml:space="preserve"> </w:t>
      </w:r>
      <w:r w:rsidR="00B55FAA" w:rsidRPr="00666939">
        <w:rPr>
          <w:rFonts w:eastAsia="Times New Roman"/>
        </w:rPr>
        <w:t xml:space="preserve">as the </w:t>
      </w:r>
      <w:proofErr w:type="spellStart"/>
      <w:r w:rsidR="00FD38A3" w:rsidRPr="00666939">
        <w:rPr>
          <w:rFonts w:eastAsia="Times New Roman"/>
        </w:rPr>
        <w:t>Jobpath</w:t>
      </w:r>
      <w:proofErr w:type="spellEnd"/>
      <w:r w:rsidR="00FD38A3" w:rsidRPr="00666939">
        <w:rPr>
          <w:rFonts w:eastAsia="Times New Roman"/>
        </w:rPr>
        <w:t xml:space="preserve"> </w:t>
      </w:r>
      <w:r w:rsidR="00B55FAA" w:rsidRPr="00666939">
        <w:rPr>
          <w:rFonts w:eastAsia="Times New Roman"/>
        </w:rPr>
        <w:t>system settles</w:t>
      </w:r>
      <w:r w:rsidRPr="00666939">
        <w:rPr>
          <w:rFonts w:eastAsia="Times New Roman"/>
        </w:rPr>
        <w:t xml:space="preserve"> down</w:t>
      </w:r>
      <w:r w:rsidR="001D5670" w:rsidRPr="00666939">
        <w:rPr>
          <w:rFonts w:eastAsia="Times New Roman"/>
        </w:rPr>
        <w:t>, with</w:t>
      </w:r>
      <w:r w:rsidR="00F136E0" w:rsidRPr="00666939">
        <w:rPr>
          <w:rFonts w:eastAsia="Times New Roman"/>
        </w:rPr>
        <w:t xml:space="preserve"> the macroeconomic cycle, etc.), </w:t>
      </w:r>
      <w:r w:rsidRPr="00666939">
        <w:rPr>
          <w:rFonts w:eastAsia="Times New Roman"/>
        </w:rPr>
        <w:t xml:space="preserve">jobseeker duration on </w:t>
      </w:r>
      <w:r w:rsidR="008853DB" w:rsidRPr="00666939">
        <w:rPr>
          <w:rFonts w:eastAsia="Times New Roman"/>
        </w:rPr>
        <w:t>the LR at the time of referral</w:t>
      </w:r>
      <w:r w:rsidR="001D5670" w:rsidRPr="00666939">
        <w:rPr>
          <w:rFonts w:eastAsia="Times New Roman"/>
        </w:rPr>
        <w:t xml:space="preserve">, and </w:t>
      </w:r>
      <w:r w:rsidR="00FD38A3" w:rsidRPr="00666939">
        <w:rPr>
          <w:rFonts w:eastAsia="Times New Roman"/>
        </w:rPr>
        <w:t xml:space="preserve">variant </w:t>
      </w:r>
      <w:r w:rsidR="00F136E0" w:rsidRPr="00666939">
        <w:rPr>
          <w:rFonts w:eastAsia="Times New Roman"/>
        </w:rPr>
        <w:t>treatment</w:t>
      </w:r>
      <w:r w:rsidR="00FD38A3" w:rsidRPr="00666939">
        <w:rPr>
          <w:rFonts w:eastAsia="Times New Roman"/>
        </w:rPr>
        <w:t>s</w:t>
      </w:r>
      <w:r w:rsidR="00F136E0" w:rsidRPr="00666939">
        <w:rPr>
          <w:rFonts w:eastAsia="Times New Roman"/>
        </w:rPr>
        <w:t xml:space="preserve"> such as second </w:t>
      </w:r>
      <w:r w:rsidRPr="00666939">
        <w:rPr>
          <w:rFonts w:eastAsia="Times New Roman"/>
        </w:rPr>
        <w:t>referral</w:t>
      </w:r>
      <w:r w:rsidR="00C47A8B" w:rsidRPr="00666939">
        <w:rPr>
          <w:rFonts w:eastAsia="Times New Roman"/>
        </w:rPr>
        <w:t>s</w:t>
      </w:r>
      <w:r w:rsidRPr="00666939">
        <w:rPr>
          <w:rFonts w:eastAsia="Times New Roman"/>
        </w:rPr>
        <w:t xml:space="preserve"> </w:t>
      </w:r>
      <w:r w:rsidR="001D5670" w:rsidRPr="00666939">
        <w:rPr>
          <w:rFonts w:eastAsia="Times New Roman"/>
        </w:rPr>
        <w:t xml:space="preserve">to </w:t>
      </w:r>
      <w:proofErr w:type="spellStart"/>
      <w:r w:rsidR="00B55FAA" w:rsidRPr="00666939">
        <w:rPr>
          <w:rFonts w:eastAsia="Times New Roman"/>
        </w:rPr>
        <w:t>JobPath</w:t>
      </w:r>
      <w:proofErr w:type="spellEnd"/>
      <w:r w:rsidR="00B55FAA" w:rsidRPr="00666939">
        <w:rPr>
          <w:rFonts w:eastAsia="Times New Roman"/>
        </w:rPr>
        <w:t xml:space="preserve">. </w:t>
      </w:r>
      <w:r w:rsidR="008853DB" w:rsidRPr="00666939">
        <w:rPr>
          <w:rFonts w:eastAsia="Times New Roman"/>
        </w:rPr>
        <w:t>R</w:t>
      </w:r>
      <w:r w:rsidRPr="00666939">
        <w:rPr>
          <w:rFonts w:eastAsia="Times New Roman"/>
        </w:rPr>
        <w:t xml:space="preserve">andomisation </w:t>
      </w:r>
      <w:r w:rsidR="008853DB" w:rsidRPr="00666939">
        <w:rPr>
          <w:rFonts w:eastAsia="Times New Roman"/>
        </w:rPr>
        <w:t xml:space="preserve">makes it </w:t>
      </w:r>
      <w:r w:rsidR="001D5670" w:rsidRPr="00666939">
        <w:rPr>
          <w:rFonts w:eastAsia="Times New Roman"/>
        </w:rPr>
        <w:t xml:space="preserve">in principle </w:t>
      </w:r>
      <w:r w:rsidR="008853DB" w:rsidRPr="00666939">
        <w:rPr>
          <w:rFonts w:eastAsia="Times New Roman"/>
        </w:rPr>
        <w:t xml:space="preserve">possible </w:t>
      </w:r>
      <w:r w:rsidR="007D3F8E" w:rsidRPr="00666939">
        <w:rPr>
          <w:rFonts w:eastAsia="Times New Roman"/>
        </w:rPr>
        <w:t xml:space="preserve">to </w:t>
      </w:r>
      <w:r w:rsidR="008853DB" w:rsidRPr="00666939">
        <w:rPr>
          <w:rFonts w:eastAsia="Times New Roman"/>
        </w:rPr>
        <w:t xml:space="preserve">estimate </w:t>
      </w:r>
      <w:r w:rsidRPr="00666939">
        <w:rPr>
          <w:rFonts w:eastAsia="Times New Roman"/>
        </w:rPr>
        <w:t xml:space="preserve">the impact of </w:t>
      </w:r>
      <w:r w:rsidR="001D5670" w:rsidRPr="00666939">
        <w:rPr>
          <w:rFonts w:eastAsia="Times New Roman"/>
        </w:rPr>
        <w:t xml:space="preserve">multiple implementation </w:t>
      </w:r>
      <w:r w:rsidR="00F136E0" w:rsidRPr="00666939">
        <w:rPr>
          <w:rFonts w:eastAsia="Times New Roman"/>
        </w:rPr>
        <w:t xml:space="preserve">parameters that </w:t>
      </w:r>
      <w:r w:rsidR="00C47A8B" w:rsidRPr="00666939">
        <w:rPr>
          <w:rFonts w:eastAsia="Times New Roman"/>
        </w:rPr>
        <w:t>vary</w:t>
      </w:r>
      <w:r w:rsidR="007D3F8E" w:rsidRPr="00666939">
        <w:rPr>
          <w:rFonts w:eastAsia="Times New Roman"/>
        </w:rPr>
        <w:t xml:space="preserve"> within the data window.</w:t>
      </w:r>
    </w:p>
    <w:p w:rsidR="00D116ED" w:rsidRPr="00666939" w:rsidRDefault="00D116ED" w:rsidP="00666939">
      <w:pPr>
        <w:pStyle w:val="Heading3"/>
        <w:spacing w:before="0" w:after="120" w:line="240" w:lineRule="auto"/>
        <w:rPr>
          <w:rFonts w:eastAsia="Times New Roman"/>
          <w:color w:val="auto"/>
        </w:rPr>
      </w:pPr>
      <w:r w:rsidRPr="00666939">
        <w:rPr>
          <w:rFonts w:eastAsia="Times New Roman"/>
          <w:color w:val="auto"/>
        </w:rPr>
        <w:t>Repeat simulation runs</w:t>
      </w:r>
    </w:p>
    <w:p w:rsidR="001058C8" w:rsidRPr="00666939" w:rsidRDefault="001058C8" w:rsidP="00666939">
      <w:pPr>
        <w:spacing w:after="120" w:line="240" w:lineRule="auto"/>
      </w:pPr>
      <w:r w:rsidRPr="00666939">
        <w:t xml:space="preserve">The simulated </w:t>
      </w:r>
      <w:proofErr w:type="spellStart"/>
      <w:r w:rsidRPr="00666939">
        <w:t>preallocation</w:t>
      </w:r>
      <w:proofErr w:type="spellEnd"/>
      <w:r w:rsidRPr="00666939">
        <w:t xml:space="preserve"> procedure involves adding </w:t>
      </w:r>
      <w:r w:rsidR="007D3F8E" w:rsidRPr="00666939">
        <w:t>randomly selected individuals (</w:t>
      </w:r>
      <w:r w:rsidRPr="00666939">
        <w:t xml:space="preserve">from the </w:t>
      </w:r>
      <w:r w:rsidRPr="00666939">
        <w:rPr>
          <w:rFonts w:eastAsia="Times New Roman"/>
        </w:rPr>
        <w:t>group that was eligible for referral in Q1 2016</w:t>
      </w:r>
      <w:r w:rsidR="007D3F8E" w:rsidRPr="00666939">
        <w:rPr>
          <w:rFonts w:eastAsia="Times New Roman"/>
        </w:rPr>
        <w:t xml:space="preserve"> </w:t>
      </w:r>
      <w:r w:rsidRPr="00666939">
        <w:rPr>
          <w:rFonts w:eastAsia="Times New Roman"/>
        </w:rPr>
        <w:t>but not actually referred in either Q1 2016</w:t>
      </w:r>
      <w:r w:rsidR="00FE1B3A" w:rsidRPr="00666939">
        <w:rPr>
          <w:rFonts w:eastAsia="Times New Roman"/>
        </w:rPr>
        <w:t xml:space="preserve"> or Q2 2016</w:t>
      </w:r>
      <w:r w:rsidR="007D3F8E" w:rsidRPr="00666939">
        <w:rPr>
          <w:rFonts w:eastAsia="Times New Roman"/>
        </w:rPr>
        <w:t>)</w:t>
      </w:r>
      <w:r w:rsidR="00FE1B3A" w:rsidRPr="00666939">
        <w:rPr>
          <w:rFonts w:eastAsia="Times New Roman"/>
        </w:rPr>
        <w:t xml:space="preserve">, </w:t>
      </w:r>
      <w:r w:rsidRPr="00666939">
        <w:rPr>
          <w:rFonts w:eastAsia="Times New Roman"/>
        </w:rPr>
        <w:t xml:space="preserve">to </w:t>
      </w:r>
      <w:r w:rsidR="00FE1B3A" w:rsidRPr="00666939">
        <w:rPr>
          <w:rFonts w:eastAsia="Times New Roman"/>
        </w:rPr>
        <w:t xml:space="preserve">make up the group </w:t>
      </w:r>
      <w:r w:rsidR="007D3F8E" w:rsidRPr="00666939">
        <w:rPr>
          <w:rFonts w:eastAsia="Times New Roman"/>
        </w:rPr>
        <w:t>“pseudo-</w:t>
      </w:r>
      <w:proofErr w:type="spellStart"/>
      <w:r w:rsidR="00FE1B3A" w:rsidRPr="00666939">
        <w:rPr>
          <w:rFonts w:eastAsia="Times New Roman"/>
        </w:rPr>
        <w:t>preallocated</w:t>
      </w:r>
      <w:proofErr w:type="spellEnd"/>
      <w:r w:rsidR="007D3F8E" w:rsidRPr="00666939">
        <w:rPr>
          <w:rFonts w:eastAsia="Times New Roman"/>
        </w:rPr>
        <w:t>”</w:t>
      </w:r>
      <w:r w:rsidR="00FE1B3A" w:rsidRPr="00666939">
        <w:rPr>
          <w:rFonts w:eastAsia="Times New Roman"/>
        </w:rPr>
        <w:t xml:space="preserve"> in Q1 2016 to referral in </w:t>
      </w:r>
      <w:r w:rsidRPr="00666939">
        <w:rPr>
          <w:rFonts w:eastAsia="Times New Roman"/>
        </w:rPr>
        <w:t>Q2 2016</w:t>
      </w:r>
      <w:r w:rsidR="00FE1B3A" w:rsidRPr="00666939">
        <w:rPr>
          <w:rFonts w:eastAsia="Times New Roman"/>
        </w:rPr>
        <w:t>. Chance variation in th</w:t>
      </w:r>
      <w:r w:rsidR="007D3F8E" w:rsidRPr="00666939">
        <w:rPr>
          <w:rFonts w:eastAsia="Times New Roman"/>
        </w:rPr>
        <w:t xml:space="preserve">e </w:t>
      </w:r>
      <w:r w:rsidR="00FE1B3A" w:rsidRPr="00666939">
        <w:rPr>
          <w:rFonts w:eastAsia="Times New Roman"/>
        </w:rPr>
        <w:t xml:space="preserve">random selection process could be </w:t>
      </w:r>
      <w:r w:rsidR="007D3F8E" w:rsidRPr="00666939">
        <w:rPr>
          <w:rFonts w:eastAsia="Times New Roman"/>
        </w:rPr>
        <w:t>minimised by running the pseudo-</w:t>
      </w:r>
      <w:proofErr w:type="spellStart"/>
      <w:r w:rsidR="007D3F8E" w:rsidRPr="00666939">
        <w:rPr>
          <w:rFonts w:eastAsia="Times New Roman"/>
        </w:rPr>
        <w:t>preallocation</w:t>
      </w:r>
      <w:proofErr w:type="spellEnd"/>
      <w:r w:rsidR="007D3F8E" w:rsidRPr="00666939">
        <w:rPr>
          <w:rFonts w:eastAsia="Times New Roman"/>
        </w:rPr>
        <w:t xml:space="preserve"> </w:t>
      </w:r>
      <w:r w:rsidR="00D32098">
        <w:rPr>
          <w:rFonts w:eastAsia="Times New Roman"/>
        </w:rPr>
        <w:t xml:space="preserve">randomisations repeatedly </w:t>
      </w:r>
      <w:r w:rsidR="007D3F8E" w:rsidRPr="00666939">
        <w:rPr>
          <w:rFonts w:eastAsia="Times New Roman"/>
        </w:rPr>
        <w:t xml:space="preserve">and taking an average of the outcomes. (Estimates from a </w:t>
      </w:r>
      <w:r w:rsidR="00D32098">
        <w:rPr>
          <w:rFonts w:eastAsia="Times New Roman"/>
        </w:rPr>
        <w:t xml:space="preserve">single run are already unbiased, </w:t>
      </w:r>
      <w:r w:rsidR="007D3F8E" w:rsidRPr="00666939">
        <w:rPr>
          <w:rFonts w:eastAsia="Times New Roman"/>
        </w:rPr>
        <w:t xml:space="preserve">but estimates averaging across multiple runs </w:t>
      </w:r>
      <w:r w:rsidR="00D32098">
        <w:rPr>
          <w:rFonts w:eastAsia="Times New Roman"/>
        </w:rPr>
        <w:t xml:space="preserve">will </w:t>
      </w:r>
      <w:r w:rsidR="007D3F8E" w:rsidRPr="00666939">
        <w:rPr>
          <w:rFonts w:eastAsia="Times New Roman"/>
        </w:rPr>
        <w:t>have lower variance).</w:t>
      </w:r>
    </w:p>
    <w:p w:rsidR="001058C8" w:rsidRPr="00666939" w:rsidRDefault="001058C8" w:rsidP="00666939">
      <w:pPr>
        <w:spacing w:after="120" w:line="240" w:lineRule="auto"/>
        <w:rPr>
          <w:rFonts w:asciiTheme="majorHAnsi" w:eastAsia="Times New Roman" w:hAnsiTheme="majorHAnsi" w:cstheme="majorBidi"/>
          <w:b/>
          <w:bCs/>
        </w:rPr>
      </w:pPr>
      <w:r w:rsidRPr="00666939">
        <w:rPr>
          <w:rFonts w:asciiTheme="majorHAnsi" w:eastAsia="Times New Roman" w:hAnsiTheme="majorHAnsi" w:cstheme="majorBidi"/>
          <w:b/>
          <w:bCs/>
        </w:rPr>
        <w:t>Subgroup analysis</w:t>
      </w:r>
    </w:p>
    <w:p w:rsidR="007D3F8E" w:rsidRPr="00666939" w:rsidRDefault="007D3F8E" w:rsidP="00666939">
      <w:pPr>
        <w:spacing w:after="120" w:line="240" w:lineRule="auto"/>
      </w:pPr>
      <w:r w:rsidRPr="00666939">
        <w:t xml:space="preserve">Since the simulated </w:t>
      </w:r>
      <w:proofErr w:type="spellStart"/>
      <w:r w:rsidRPr="00666939">
        <w:t>preallocation</w:t>
      </w:r>
      <w:proofErr w:type="spellEnd"/>
      <w:r w:rsidRPr="00666939">
        <w:t xml:space="preserve"> procedure</w:t>
      </w:r>
      <w:r w:rsidR="00D32098">
        <w:t xml:space="preserve"> identifies specific sets of individuals making up the </w:t>
      </w:r>
      <w:r w:rsidR="008B4526" w:rsidRPr="00666939">
        <w:t>treatment and control group</w:t>
      </w:r>
      <w:r w:rsidR="00D32098">
        <w:t xml:space="preserve">s, </w:t>
      </w:r>
      <w:r w:rsidRPr="00666939">
        <w:t xml:space="preserve">outcomes </w:t>
      </w:r>
      <w:r w:rsidR="008B4526" w:rsidRPr="00666939">
        <w:t xml:space="preserve">can </w:t>
      </w:r>
      <w:r w:rsidRPr="00666939">
        <w:t xml:space="preserve">easily be </w:t>
      </w:r>
      <w:proofErr w:type="spellStart"/>
      <w:r w:rsidR="008B4526" w:rsidRPr="00666939">
        <w:t>tablulated</w:t>
      </w:r>
      <w:proofErr w:type="spellEnd"/>
      <w:r w:rsidR="008B4526" w:rsidRPr="00666939">
        <w:t xml:space="preserve"> for </w:t>
      </w:r>
      <w:r w:rsidRPr="00666939">
        <w:t xml:space="preserve">subgroups </w:t>
      </w:r>
      <w:r w:rsidR="008B4526" w:rsidRPr="00666939">
        <w:t>defined by individual variables both time-</w:t>
      </w:r>
      <w:r w:rsidRPr="00666939">
        <w:t>invariant</w:t>
      </w:r>
      <w:r w:rsidR="008B4526" w:rsidRPr="00666939">
        <w:t>s</w:t>
      </w:r>
      <w:r w:rsidRPr="00666939">
        <w:t xml:space="preserve"> (sex, date of birth, etc.) and </w:t>
      </w:r>
      <w:r w:rsidR="008B4526" w:rsidRPr="00666939">
        <w:t xml:space="preserve">recent-event variables (e.g. first child born less than 4 years </w:t>
      </w:r>
      <w:r w:rsidR="008B4526" w:rsidRPr="00666939">
        <w:lastRenderedPageBreak/>
        <w:t xml:space="preserve">before Q1 2016), insofar as </w:t>
      </w:r>
      <w:r w:rsidR="00D32098">
        <w:t xml:space="preserve">sufficient </w:t>
      </w:r>
      <w:r w:rsidR="008B4526" w:rsidRPr="00666939">
        <w:t>data are available</w:t>
      </w:r>
      <w:r w:rsidR="00D32098">
        <w:t>. T</w:t>
      </w:r>
      <w:r w:rsidR="008B4526" w:rsidRPr="00666939">
        <w:t xml:space="preserve">his may be operationally more helpful than </w:t>
      </w:r>
      <w:r w:rsidR="00D32098">
        <w:t xml:space="preserve">regression </w:t>
      </w:r>
      <w:r w:rsidR="008B4526" w:rsidRPr="00666939">
        <w:t xml:space="preserve">analysis </w:t>
      </w:r>
      <w:r w:rsidR="00D32098">
        <w:t xml:space="preserve">that uses these as explanatory variables - </w:t>
      </w:r>
      <w:r w:rsidR="008B4526" w:rsidRPr="00666939">
        <w:t>although one approach does not preclude the other.</w:t>
      </w:r>
    </w:p>
    <w:p w:rsidR="00D116ED" w:rsidRPr="00666939" w:rsidRDefault="00D116ED" w:rsidP="00666939">
      <w:pPr>
        <w:pStyle w:val="Heading3"/>
        <w:spacing w:before="0" w:after="120" w:line="240" w:lineRule="auto"/>
        <w:rPr>
          <w:rFonts w:eastAsia="Times New Roman"/>
          <w:color w:val="auto"/>
        </w:rPr>
      </w:pPr>
      <w:r w:rsidRPr="00666939">
        <w:rPr>
          <w:rFonts w:eastAsia="Times New Roman"/>
          <w:color w:val="auto"/>
        </w:rPr>
        <w:t>Applicability to a wide range of ongoing operations</w:t>
      </w:r>
    </w:p>
    <w:p w:rsidR="008B4526" w:rsidRPr="00666939" w:rsidRDefault="00D116ED" w:rsidP="00666939">
      <w:pPr>
        <w:spacing w:after="120" w:line="240" w:lineRule="auto"/>
        <w:rPr>
          <w:rFonts w:eastAsia="Times New Roman"/>
        </w:rPr>
      </w:pPr>
      <w:r w:rsidRPr="00666939">
        <w:rPr>
          <w:rFonts w:eastAsia="Times New Roman"/>
        </w:rPr>
        <w:t>The</w:t>
      </w:r>
      <w:r w:rsidR="00941E55" w:rsidRPr="00666939">
        <w:rPr>
          <w:rFonts w:eastAsia="Times New Roman"/>
        </w:rPr>
        <w:t xml:space="preserve"> </w:t>
      </w:r>
      <w:r w:rsidR="00DD28F8" w:rsidRPr="00666939">
        <w:rPr>
          <w:rFonts w:eastAsia="Times New Roman"/>
        </w:rPr>
        <w:t>“</w:t>
      </w:r>
      <w:r w:rsidR="00941E55" w:rsidRPr="00666939">
        <w:rPr>
          <w:rFonts w:eastAsia="Times New Roman"/>
        </w:rPr>
        <w:t>p</w:t>
      </w:r>
      <w:r w:rsidR="001D5670" w:rsidRPr="00666939">
        <w:rPr>
          <w:rFonts w:eastAsia="Times New Roman"/>
        </w:rPr>
        <w:t>seudo-</w:t>
      </w:r>
      <w:proofErr w:type="spellStart"/>
      <w:r w:rsidR="001D5670" w:rsidRPr="00666939">
        <w:rPr>
          <w:rFonts w:eastAsia="Times New Roman"/>
        </w:rPr>
        <w:t>preallocation</w:t>
      </w:r>
      <w:proofErr w:type="spellEnd"/>
      <w:r w:rsidR="001D5670" w:rsidRPr="00666939">
        <w:rPr>
          <w:rFonts w:eastAsia="Times New Roman"/>
        </w:rPr>
        <w:t xml:space="preserve">” </w:t>
      </w:r>
      <w:r w:rsidR="00DD28F8" w:rsidRPr="00666939">
        <w:rPr>
          <w:rFonts w:eastAsia="Times New Roman"/>
        </w:rPr>
        <w:t xml:space="preserve">analysis </w:t>
      </w:r>
      <w:r w:rsidRPr="00666939">
        <w:rPr>
          <w:rFonts w:eastAsia="Times New Roman"/>
        </w:rPr>
        <w:t>that identifies</w:t>
      </w:r>
      <w:r w:rsidR="00C47A8B" w:rsidRPr="00666939">
        <w:rPr>
          <w:rFonts w:eastAsia="Times New Roman"/>
        </w:rPr>
        <w:t xml:space="preserve"> </w:t>
      </w:r>
      <w:r w:rsidR="00D32098">
        <w:rPr>
          <w:rFonts w:eastAsia="Times New Roman"/>
        </w:rPr>
        <w:t>a specific set of individuals as the control group</w:t>
      </w:r>
      <w:r w:rsidR="00C47A8B" w:rsidRPr="00666939">
        <w:rPr>
          <w:rFonts w:eastAsia="Times New Roman"/>
        </w:rPr>
        <w:t xml:space="preserve"> </w:t>
      </w:r>
      <w:r w:rsidR="00C83B82" w:rsidRPr="00666939">
        <w:rPr>
          <w:rFonts w:eastAsia="Times New Roman"/>
        </w:rPr>
        <w:t xml:space="preserve">would </w:t>
      </w:r>
      <w:r w:rsidRPr="00666939">
        <w:rPr>
          <w:rFonts w:eastAsia="Times New Roman"/>
        </w:rPr>
        <w:t xml:space="preserve">enhance the value of embedding </w:t>
      </w:r>
      <w:r w:rsidR="00F136E0" w:rsidRPr="00666939">
        <w:rPr>
          <w:rFonts w:eastAsia="Times New Roman"/>
        </w:rPr>
        <w:t>randomis</w:t>
      </w:r>
      <w:r w:rsidR="00C47A8B" w:rsidRPr="00666939">
        <w:rPr>
          <w:rFonts w:eastAsia="Times New Roman"/>
        </w:rPr>
        <w:t xml:space="preserve">ed </w:t>
      </w:r>
      <w:r w:rsidR="00F136E0" w:rsidRPr="00666939">
        <w:rPr>
          <w:rFonts w:eastAsia="Times New Roman"/>
        </w:rPr>
        <w:t>assignment</w:t>
      </w:r>
      <w:r w:rsidRPr="00666939">
        <w:rPr>
          <w:rFonts w:eastAsia="Times New Roman"/>
        </w:rPr>
        <w:t xml:space="preserve">s </w:t>
      </w:r>
      <w:r w:rsidR="00F136E0" w:rsidRPr="00666939">
        <w:rPr>
          <w:rFonts w:eastAsia="Times New Roman"/>
        </w:rPr>
        <w:t>to a treatment</w:t>
      </w:r>
      <w:r w:rsidR="00D32098">
        <w:rPr>
          <w:rFonts w:eastAsia="Times New Roman"/>
        </w:rPr>
        <w:t xml:space="preserve"> </w:t>
      </w:r>
      <w:r w:rsidRPr="00666939">
        <w:rPr>
          <w:rFonts w:eastAsia="Times New Roman"/>
        </w:rPr>
        <w:t>i</w:t>
      </w:r>
      <w:r w:rsidR="00D32098">
        <w:rPr>
          <w:rFonts w:eastAsia="Times New Roman"/>
        </w:rPr>
        <w:t xml:space="preserve">nto </w:t>
      </w:r>
      <w:r w:rsidRPr="00666939">
        <w:rPr>
          <w:rFonts w:eastAsia="Times New Roman"/>
        </w:rPr>
        <w:t>a wid</w:t>
      </w:r>
      <w:r w:rsidR="00D32098">
        <w:rPr>
          <w:rFonts w:eastAsia="Times New Roman"/>
        </w:rPr>
        <w:t>e range of ongoing operations.</w:t>
      </w:r>
    </w:p>
    <w:p w:rsidR="001058C8" w:rsidRPr="00666939" w:rsidRDefault="00C83B82" w:rsidP="00666939">
      <w:pPr>
        <w:pStyle w:val="ListParagraph"/>
        <w:numPr>
          <w:ilvl w:val="0"/>
          <w:numId w:val="18"/>
        </w:numPr>
        <w:spacing w:after="120" w:line="240" w:lineRule="auto"/>
        <w:rPr>
          <w:rFonts w:eastAsia="Times New Roman"/>
        </w:rPr>
      </w:pPr>
      <w:r w:rsidRPr="00666939">
        <w:rPr>
          <w:rFonts w:eastAsia="Times New Roman"/>
        </w:rPr>
        <w:t xml:space="preserve">For example, </w:t>
      </w:r>
      <w:r w:rsidR="00941E55" w:rsidRPr="00666939">
        <w:rPr>
          <w:rFonts w:eastAsia="Times New Roman"/>
        </w:rPr>
        <w:t xml:space="preserve">a </w:t>
      </w:r>
      <w:r w:rsidRPr="00666939">
        <w:rPr>
          <w:rFonts w:eastAsia="Times New Roman"/>
        </w:rPr>
        <w:t xml:space="preserve">national </w:t>
      </w:r>
      <w:r w:rsidR="00941E55" w:rsidRPr="00666939">
        <w:rPr>
          <w:rFonts w:eastAsia="Times New Roman"/>
        </w:rPr>
        <w:t xml:space="preserve">health service </w:t>
      </w:r>
      <w:r w:rsidRPr="00666939">
        <w:rPr>
          <w:rFonts w:eastAsia="Times New Roman"/>
        </w:rPr>
        <w:t xml:space="preserve">policy could be that </w:t>
      </w:r>
    </w:p>
    <w:p w:rsidR="001058C8" w:rsidRPr="00666939" w:rsidRDefault="00C83B82" w:rsidP="00666939">
      <w:pPr>
        <w:pStyle w:val="ListParagraph"/>
        <w:numPr>
          <w:ilvl w:val="0"/>
          <w:numId w:val="19"/>
        </w:numPr>
        <w:spacing w:after="120" w:line="240" w:lineRule="auto"/>
        <w:rPr>
          <w:rFonts w:eastAsia="Times New Roman"/>
        </w:rPr>
      </w:pPr>
      <w:r w:rsidRPr="00666939">
        <w:rPr>
          <w:rFonts w:eastAsia="Times New Roman"/>
        </w:rPr>
        <w:t xml:space="preserve">men at risk of prostate cancer </w:t>
      </w:r>
      <w:r w:rsidR="00DD28F8" w:rsidRPr="00666939">
        <w:rPr>
          <w:rFonts w:eastAsia="Times New Roman"/>
        </w:rPr>
        <w:t xml:space="preserve">who test </w:t>
      </w:r>
      <w:r w:rsidRPr="00666939">
        <w:rPr>
          <w:rFonts w:eastAsia="Times New Roman"/>
        </w:rPr>
        <w:t xml:space="preserve">with a PSA (prostate-specific antigen) level above a high threshold are </w:t>
      </w:r>
      <w:r w:rsidR="00941E55" w:rsidRPr="00666939">
        <w:rPr>
          <w:rFonts w:eastAsia="Times New Roman"/>
        </w:rPr>
        <w:t xml:space="preserve">immediately </w:t>
      </w:r>
      <w:r w:rsidRPr="00666939">
        <w:rPr>
          <w:rFonts w:eastAsia="Times New Roman"/>
        </w:rPr>
        <w:t xml:space="preserve">referred to an intensive treatment </w:t>
      </w:r>
      <w:r w:rsidR="001058C8" w:rsidRPr="00666939">
        <w:rPr>
          <w:rFonts w:eastAsia="Times New Roman"/>
        </w:rPr>
        <w:t>regime</w:t>
      </w:r>
    </w:p>
    <w:p w:rsidR="001058C8" w:rsidRPr="00666939" w:rsidRDefault="00C83B82" w:rsidP="00666939">
      <w:pPr>
        <w:pStyle w:val="ListParagraph"/>
        <w:numPr>
          <w:ilvl w:val="0"/>
          <w:numId w:val="19"/>
        </w:numPr>
        <w:spacing w:after="120" w:line="240" w:lineRule="auto"/>
        <w:rPr>
          <w:rFonts w:eastAsia="Times New Roman"/>
        </w:rPr>
      </w:pPr>
      <w:r w:rsidRPr="00666939">
        <w:rPr>
          <w:rFonts w:eastAsia="Times New Roman"/>
        </w:rPr>
        <w:t xml:space="preserve">men with a PSA level below a low threshold </w:t>
      </w:r>
      <w:r w:rsidR="00DD28F8" w:rsidRPr="00666939">
        <w:rPr>
          <w:rFonts w:eastAsia="Times New Roman"/>
        </w:rPr>
        <w:t xml:space="preserve">are </w:t>
      </w:r>
      <w:r w:rsidR="00D06321" w:rsidRPr="00666939">
        <w:rPr>
          <w:rFonts w:eastAsia="Times New Roman"/>
        </w:rPr>
        <w:t>dropped from monitoring</w:t>
      </w:r>
    </w:p>
    <w:p w:rsidR="001058C8" w:rsidRPr="00666939" w:rsidRDefault="00DD28F8" w:rsidP="00666939">
      <w:pPr>
        <w:pStyle w:val="ListParagraph"/>
        <w:numPr>
          <w:ilvl w:val="0"/>
          <w:numId w:val="19"/>
        </w:numPr>
        <w:spacing w:after="120" w:line="240" w:lineRule="auto"/>
        <w:rPr>
          <w:rFonts w:eastAsia="Times New Roman"/>
        </w:rPr>
      </w:pPr>
      <w:proofErr w:type="gramStart"/>
      <w:r w:rsidRPr="00666939">
        <w:rPr>
          <w:rFonts w:eastAsia="Times New Roman"/>
        </w:rPr>
        <w:t>men</w:t>
      </w:r>
      <w:proofErr w:type="gramEnd"/>
      <w:r w:rsidRPr="00666939">
        <w:rPr>
          <w:rFonts w:eastAsia="Times New Roman"/>
        </w:rPr>
        <w:t xml:space="preserve"> </w:t>
      </w:r>
      <w:r w:rsidR="00941E55" w:rsidRPr="00666939">
        <w:rPr>
          <w:rFonts w:eastAsia="Times New Roman"/>
        </w:rPr>
        <w:t xml:space="preserve">with an intermediate level are </w:t>
      </w:r>
      <w:r w:rsidR="00D06321" w:rsidRPr="00666939">
        <w:rPr>
          <w:rFonts w:eastAsia="Times New Roman"/>
        </w:rPr>
        <w:t xml:space="preserve">referred at random </w:t>
      </w:r>
      <w:r w:rsidR="001058C8" w:rsidRPr="00666939">
        <w:rPr>
          <w:rFonts w:eastAsia="Times New Roman"/>
        </w:rPr>
        <w:t xml:space="preserve">(each quarter, or each week) </w:t>
      </w:r>
      <w:r w:rsidR="003D6E18" w:rsidRPr="00666939">
        <w:rPr>
          <w:rFonts w:eastAsia="Times New Roman"/>
        </w:rPr>
        <w:t>to a service that offers intens</w:t>
      </w:r>
      <w:r w:rsidR="001058C8" w:rsidRPr="00666939">
        <w:rPr>
          <w:rFonts w:eastAsia="Times New Roman"/>
        </w:rPr>
        <w:t xml:space="preserve">ive treatment: the </w:t>
      </w:r>
      <w:r w:rsidR="00941E55" w:rsidRPr="00666939">
        <w:rPr>
          <w:rFonts w:eastAsia="Times New Roman"/>
        </w:rPr>
        <w:t xml:space="preserve">proportion </w:t>
      </w:r>
      <w:r w:rsidR="00C47A8B" w:rsidRPr="00666939">
        <w:rPr>
          <w:rFonts w:eastAsia="Times New Roman"/>
        </w:rPr>
        <w:t>referred might vary</w:t>
      </w:r>
      <w:r w:rsidR="003D6E18" w:rsidRPr="00666939">
        <w:rPr>
          <w:rFonts w:eastAsia="Times New Roman"/>
        </w:rPr>
        <w:t xml:space="preserve"> </w:t>
      </w:r>
      <w:r w:rsidRPr="00666939">
        <w:rPr>
          <w:rFonts w:eastAsia="Times New Roman"/>
        </w:rPr>
        <w:t xml:space="preserve">depending </w:t>
      </w:r>
      <w:r w:rsidR="00941E55" w:rsidRPr="00666939">
        <w:rPr>
          <w:rFonts w:eastAsia="Times New Roman"/>
        </w:rPr>
        <w:t xml:space="preserve">e.g. </w:t>
      </w:r>
      <w:r w:rsidRPr="00666939">
        <w:rPr>
          <w:rFonts w:eastAsia="Times New Roman"/>
        </w:rPr>
        <w:t>on capacity available in the</w:t>
      </w:r>
      <w:r w:rsidR="001058C8" w:rsidRPr="00666939">
        <w:rPr>
          <w:rFonts w:eastAsia="Times New Roman"/>
        </w:rPr>
        <w:t xml:space="preserve"> intensive treatment service</w:t>
      </w:r>
      <w:r w:rsidR="00D06321" w:rsidRPr="00666939">
        <w:rPr>
          <w:rFonts w:eastAsia="Times New Roman"/>
        </w:rPr>
        <w:t>.</w:t>
      </w:r>
    </w:p>
    <w:p w:rsidR="00941E55" w:rsidRPr="00666939" w:rsidRDefault="001058C8" w:rsidP="00666939">
      <w:pPr>
        <w:spacing w:after="120" w:line="240" w:lineRule="auto"/>
        <w:ind w:left="720"/>
        <w:rPr>
          <w:rFonts w:eastAsia="Times New Roman"/>
        </w:rPr>
      </w:pPr>
      <w:r w:rsidRPr="00666939">
        <w:rPr>
          <w:rFonts w:eastAsia="Times New Roman"/>
        </w:rPr>
        <w:t xml:space="preserve">In this case, a </w:t>
      </w:r>
      <w:r w:rsidR="00DD28F8" w:rsidRPr="00666939">
        <w:rPr>
          <w:rFonts w:eastAsia="Times New Roman"/>
        </w:rPr>
        <w:t>“</w:t>
      </w:r>
      <w:r w:rsidR="00D06321" w:rsidRPr="00666939">
        <w:rPr>
          <w:rFonts w:eastAsia="Times New Roman"/>
        </w:rPr>
        <w:t>pseudo-</w:t>
      </w:r>
      <w:proofErr w:type="spellStart"/>
      <w:r w:rsidR="00D06321" w:rsidRPr="00666939">
        <w:rPr>
          <w:rFonts w:eastAsia="Times New Roman"/>
        </w:rPr>
        <w:t>preallocation</w:t>
      </w:r>
      <w:proofErr w:type="spellEnd"/>
      <w:r w:rsidR="00D06321" w:rsidRPr="00666939">
        <w:rPr>
          <w:rFonts w:eastAsia="Times New Roman"/>
        </w:rPr>
        <w:t>” analysis w</w:t>
      </w:r>
      <w:r w:rsidR="00DD28F8" w:rsidRPr="00666939">
        <w:rPr>
          <w:rFonts w:eastAsia="Times New Roman"/>
        </w:rPr>
        <w:t xml:space="preserve">ould </w:t>
      </w:r>
      <w:r w:rsidR="00D06321" w:rsidRPr="00666939">
        <w:rPr>
          <w:rFonts w:eastAsia="Times New Roman"/>
        </w:rPr>
        <w:t xml:space="preserve">give </w:t>
      </w:r>
      <w:r w:rsidR="00DD28F8" w:rsidRPr="00666939">
        <w:rPr>
          <w:rFonts w:eastAsia="Times New Roman"/>
        </w:rPr>
        <w:t xml:space="preserve">an unbiased estimate for </w:t>
      </w:r>
      <w:r w:rsidR="00D06321" w:rsidRPr="00666939">
        <w:rPr>
          <w:rFonts w:eastAsia="Times New Roman"/>
        </w:rPr>
        <w:t xml:space="preserve">the </w:t>
      </w:r>
      <w:r w:rsidR="00941E55" w:rsidRPr="00666939">
        <w:rPr>
          <w:rFonts w:eastAsia="Times New Roman"/>
        </w:rPr>
        <w:t xml:space="preserve">future </w:t>
      </w:r>
      <w:r w:rsidR="00DD28F8" w:rsidRPr="00666939">
        <w:rPr>
          <w:rFonts w:eastAsia="Times New Roman"/>
        </w:rPr>
        <w:t xml:space="preserve">mortality </w:t>
      </w:r>
      <w:r w:rsidR="00CC1C8E" w:rsidRPr="00666939">
        <w:rPr>
          <w:rFonts w:eastAsia="Times New Roman"/>
        </w:rPr>
        <w:t>and quality-of-life profile</w:t>
      </w:r>
      <w:r w:rsidR="00D06321" w:rsidRPr="00666939">
        <w:rPr>
          <w:rFonts w:eastAsia="Times New Roman"/>
        </w:rPr>
        <w:t>s</w:t>
      </w:r>
      <w:r w:rsidR="00CC1C8E" w:rsidRPr="00666939">
        <w:rPr>
          <w:rFonts w:eastAsia="Times New Roman"/>
        </w:rPr>
        <w:t xml:space="preserve"> of </w:t>
      </w:r>
      <w:r w:rsidR="00D06321" w:rsidRPr="00666939">
        <w:rPr>
          <w:rFonts w:eastAsia="Times New Roman"/>
        </w:rPr>
        <w:t xml:space="preserve">the members of </w:t>
      </w:r>
      <w:r w:rsidRPr="00666939">
        <w:rPr>
          <w:rFonts w:eastAsia="Times New Roman"/>
        </w:rPr>
        <w:t>the</w:t>
      </w:r>
      <w:r w:rsidR="00D06321" w:rsidRPr="00666939">
        <w:rPr>
          <w:rFonts w:eastAsia="Times New Roman"/>
        </w:rPr>
        <w:t xml:space="preserve"> </w:t>
      </w:r>
      <w:r w:rsidR="00CC1C8E" w:rsidRPr="00666939">
        <w:rPr>
          <w:rFonts w:eastAsia="Times New Roman"/>
        </w:rPr>
        <w:t xml:space="preserve">intermediate </w:t>
      </w:r>
      <w:r w:rsidRPr="00666939">
        <w:rPr>
          <w:rFonts w:eastAsia="Times New Roman"/>
        </w:rPr>
        <w:t xml:space="preserve">group, comparing those </w:t>
      </w:r>
      <w:r w:rsidR="00D06321" w:rsidRPr="00666939">
        <w:rPr>
          <w:rFonts w:eastAsia="Times New Roman"/>
        </w:rPr>
        <w:t xml:space="preserve">who were </w:t>
      </w:r>
      <w:r w:rsidR="003D6E18" w:rsidRPr="00666939">
        <w:rPr>
          <w:rFonts w:eastAsia="Times New Roman"/>
        </w:rPr>
        <w:t xml:space="preserve">referred </w:t>
      </w:r>
      <w:r w:rsidRPr="00666939">
        <w:rPr>
          <w:rFonts w:eastAsia="Times New Roman"/>
        </w:rPr>
        <w:t xml:space="preserve">to the intensive treatment service immediately with </w:t>
      </w:r>
      <w:r w:rsidR="00941E55" w:rsidRPr="00666939">
        <w:rPr>
          <w:rFonts w:eastAsia="Times New Roman"/>
        </w:rPr>
        <w:t xml:space="preserve">those </w:t>
      </w:r>
      <w:r w:rsidR="00C47A8B" w:rsidRPr="00666939">
        <w:rPr>
          <w:rFonts w:eastAsia="Times New Roman"/>
        </w:rPr>
        <w:t xml:space="preserve">who were </w:t>
      </w:r>
      <w:r w:rsidR="00DD28F8" w:rsidRPr="00666939">
        <w:rPr>
          <w:rFonts w:eastAsia="Times New Roman"/>
        </w:rPr>
        <w:t xml:space="preserve">not </w:t>
      </w:r>
      <w:r w:rsidR="003D6E18" w:rsidRPr="00666939">
        <w:rPr>
          <w:rFonts w:eastAsia="Times New Roman"/>
        </w:rPr>
        <w:t xml:space="preserve">referred for at least </w:t>
      </w:r>
      <w:r w:rsidR="00C47A8B" w:rsidRPr="00666939">
        <w:rPr>
          <w:rFonts w:eastAsia="Times New Roman"/>
        </w:rPr>
        <w:t xml:space="preserve">the next </w:t>
      </w:r>
      <w:r w:rsidR="00941E55" w:rsidRPr="00666939">
        <w:rPr>
          <w:rFonts w:eastAsia="Times New Roman"/>
        </w:rPr>
        <w:t>several years.</w:t>
      </w:r>
    </w:p>
    <w:p w:rsidR="008A41A3" w:rsidRPr="00666939" w:rsidRDefault="00C10542" w:rsidP="00666939">
      <w:pPr>
        <w:spacing w:after="120" w:line="240" w:lineRule="auto"/>
        <w:rPr>
          <w:rFonts w:eastAsia="Times New Roman"/>
        </w:rPr>
      </w:pPr>
      <w:r w:rsidRPr="00666939">
        <w:rPr>
          <w:rFonts w:eastAsia="Times New Roman"/>
        </w:rPr>
        <w:t>In many areas</w:t>
      </w:r>
      <w:r w:rsidR="00D32098">
        <w:rPr>
          <w:rFonts w:eastAsia="Times New Roman"/>
        </w:rPr>
        <w:t xml:space="preserve"> of life</w:t>
      </w:r>
      <w:r w:rsidRPr="00666939">
        <w:rPr>
          <w:rFonts w:eastAsia="Times New Roman"/>
        </w:rPr>
        <w:t xml:space="preserve">, wisdom about </w:t>
      </w:r>
      <w:r w:rsidR="008B4526" w:rsidRPr="00666939">
        <w:rPr>
          <w:rFonts w:eastAsia="Times New Roman"/>
        </w:rPr>
        <w:t xml:space="preserve">the effectiveness of different approaches </w:t>
      </w:r>
      <w:r w:rsidR="008A41A3" w:rsidRPr="00666939">
        <w:rPr>
          <w:rFonts w:eastAsia="Times New Roman"/>
        </w:rPr>
        <w:t xml:space="preserve">still lies largely with </w:t>
      </w:r>
      <w:r w:rsidR="00D32098">
        <w:rPr>
          <w:rFonts w:eastAsia="Times New Roman"/>
        </w:rPr>
        <w:t xml:space="preserve">a </w:t>
      </w:r>
      <w:r w:rsidRPr="00666939">
        <w:rPr>
          <w:rFonts w:eastAsia="Times New Roman"/>
        </w:rPr>
        <w:t xml:space="preserve">few individuals who have closely observed </w:t>
      </w:r>
      <w:r w:rsidR="008A41A3" w:rsidRPr="00666939">
        <w:rPr>
          <w:rFonts w:eastAsia="Times New Roman"/>
        </w:rPr>
        <w:t xml:space="preserve">the implementation of different approaches </w:t>
      </w:r>
      <w:r w:rsidRPr="00666939">
        <w:rPr>
          <w:rFonts w:eastAsia="Times New Roman"/>
        </w:rPr>
        <w:t xml:space="preserve">and </w:t>
      </w:r>
      <w:r w:rsidR="00D32098">
        <w:rPr>
          <w:rFonts w:eastAsia="Times New Roman"/>
        </w:rPr>
        <w:t xml:space="preserve">the </w:t>
      </w:r>
      <w:r w:rsidRPr="00666939">
        <w:rPr>
          <w:rFonts w:eastAsia="Times New Roman"/>
        </w:rPr>
        <w:t xml:space="preserve">results for many years. </w:t>
      </w:r>
      <w:r w:rsidR="00D32098">
        <w:rPr>
          <w:rFonts w:eastAsia="Times New Roman"/>
        </w:rPr>
        <w:t>W</w:t>
      </w:r>
      <w:r w:rsidRPr="00666939">
        <w:rPr>
          <w:rFonts w:eastAsia="Times New Roman"/>
        </w:rPr>
        <w:t xml:space="preserve">here a systematic management framework </w:t>
      </w:r>
      <w:r w:rsidR="00D32098">
        <w:rPr>
          <w:rFonts w:eastAsia="Times New Roman"/>
        </w:rPr>
        <w:t xml:space="preserve">and outcome measures exist –which might be in just one region, or just </w:t>
      </w:r>
      <w:r w:rsidRPr="00666939">
        <w:rPr>
          <w:rFonts w:eastAsia="Times New Roman"/>
        </w:rPr>
        <w:t xml:space="preserve">operations of </w:t>
      </w:r>
      <w:r w:rsidR="00D32098">
        <w:rPr>
          <w:rFonts w:eastAsia="Times New Roman"/>
        </w:rPr>
        <w:t xml:space="preserve">one company - </w:t>
      </w:r>
      <w:r w:rsidR="003C7DE4" w:rsidRPr="00666939">
        <w:rPr>
          <w:rFonts w:eastAsia="Times New Roman"/>
        </w:rPr>
        <w:t>dynamic</w:t>
      </w:r>
      <w:r w:rsidR="00E87F39" w:rsidRPr="00666939">
        <w:rPr>
          <w:rFonts w:eastAsia="Times New Roman"/>
        </w:rPr>
        <w:t xml:space="preserve"> </w:t>
      </w:r>
      <w:r w:rsidR="00C92C53" w:rsidRPr="00666939">
        <w:rPr>
          <w:rFonts w:eastAsia="Times New Roman"/>
        </w:rPr>
        <w:t xml:space="preserve">random assignment </w:t>
      </w:r>
      <w:r w:rsidR="008A41A3" w:rsidRPr="00666939">
        <w:rPr>
          <w:rFonts w:eastAsia="Times New Roman"/>
        </w:rPr>
        <w:t xml:space="preserve">across certain </w:t>
      </w:r>
      <w:r w:rsidR="00C92C53" w:rsidRPr="00666939">
        <w:rPr>
          <w:rFonts w:eastAsia="Times New Roman"/>
        </w:rPr>
        <w:t xml:space="preserve">alternative treatments </w:t>
      </w:r>
      <w:r w:rsidR="00E87F39" w:rsidRPr="00666939">
        <w:rPr>
          <w:rFonts w:eastAsia="Times New Roman"/>
        </w:rPr>
        <w:t>could be feasible</w:t>
      </w:r>
      <w:r w:rsidR="00365DD1">
        <w:rPr>
          <w:rFonts w:eastAsia="Times New Roman"/>
        </w:rPr>
        <w:t>. For example, in agriculture</w:t>
      </w:r>
      <w:r w:rsidR="00E87F39" w:rsidRPr="00666939">
        <w:rPr>
          <w:rFonts w:eastAsia="Times New Roman"/>
        </w:rPr>
        <w:t xml:space="preserve"> varying </w:t>
      </w:r>
      <w:r w:rsidR="008A41A3" w:rsidRPr="00666939">
        <w:rPr>
          <w:rFonts w:eastAsia="Times New Roman"/>
        </w:rPr>
        <w:t xml:space="preserve">the </w:t>
      </w:r>
      <w:r w:rsidR="00E87F39" w:rsidRPr="00666939">
        <w:rPr>
          <w:rFonts w:eastAsia="Times New Roman"/>
        </w:rPr>
        <w:t>fertilisers or crop rotation sequences; in retail management, allowing</w:t>
      </w:r>
      <w:r w:rsidR="008A41A3" w:rsidRPr="00666939">
        <w:rPr>
          <w:rFonts w:eastAsia="Times New Roman"/>
        </w:rPr>
        <w:t xml:space="preserve"> </w:t>
      </w:r>
      <w:r w:rsidR="00365DD1">
        <w:rPr>
          <w:rFonts w:eastAsia="Times New Roman"/>
        </w:rPr>
        <w:t xml:space="preserve">some outlets to use different </w:t>
      </w:r>
      <w:r w:rsidR="00E87F39" w:rsidRPr="00666939">
        <w:rPr>
          <w:rFonts w:eastAsia="Times New Roman"/>
        </w:rPr>
        <w:t xml:space="preserve">staff hiring criteria or sales promotion </w:t>
      </w:r>
      <w:r w:rsidR="00ED14E0" w:rsidRPr="00666939">
        <w:rPr>
          <w:rFonts w:eastAsia="Times New Roman"/>
        </w:rPr>
        <w:t>methods.</w:t>
      </w:r>
    </w:p>
    <w:p w:rsidR="00ED14E0" w:rsidRPr="00666939" w:rsidRDefault="006520EB" w:rsidP="00666939">
      <w:pPr>
        <w:pStyle w:val="Heading3"/>
        <w:spacing w:before="0" w:after="120" w:line="240" w:lineRule="auto"/>
        <w:rPr>
          <w:rFonts w:eastAsia="Times New Roman"/>
          <w:color w:val="auto"/>
        </w:rPr>
      </w:pPr>
      <w:r w:rsidRPr="00666939">
        <w:rPr>
          <w:rFonts w:eastAsia="Times New Roman"/>
          <w:color w:val="auto"/>
        </w:rPr>
        <w:t>A c</w:t>
      </w:r>
      <w:r w:rsidR="00FC4388" w:rsidRPr="00666939">
        <w:rPr>
          <w:rFonts w:eastAsia="Times New Roman"/>
          <w:color w:val="auto"/>
        </w:rPr>
        <w:t>omparison with inverse probability weighting</w:t>
      </w:r>
      <w:r w:rsidRPr="00666939">
        <w:rPr>
          <w:rFonts w:eastAsia="Times New Roman"/>
          <w:color w:val="auto"/>
        </w:rPr>
        <w:t xml:space="preserve"> of dynamic treatment assignment situations</w:t>
      </w:r>
    </w:p>
    <w:p w:rsidR="006520EB" w:rsidRPr="00666939" w:rsidRDefault="00FC4388" w:rsidP="00666939">
      <w:pPr>
        <w:spacing w:after="120" w:line="240" w:lineRule="auto"/>
        <w:rPr>
          <w:rFonts w:eastAsia="Times New Roman"/>
        </w:rPr>
      </w:pPr>
      <w:proofErr w:type="spellStart"/>
      <w:r w:rsidRPr="00666939">
        <w:rPr>
          <w:rFonts w:eastAsia="Times New Roman"/>
        </w:rPr>
        <w:t>Vikstrom</w:t>
      </w:r>
      <w:proofErr w:type="spellEnd"/>
      <w:r w:rsidRPr="00666939">
        <w:rPr>
          <w:rFonts w:eastAsia="Times New Roman"/>
        </w:rPr>
        <w:t xml:space="preserve"> (2017) considers an environment in which treatment</w:t>
      </w:r>
      <w:r w:rsidR="006520EB" w:rsidRPr="00666939">
        <w:rPr>
          <w:rFonts w:eastAsia="Times New Roman"/>
        </w:rPr>
        <w:t xml:space="preserve"> can occur at any point in time, </w:t>
      </w:r>
      <w:r w:rsidRPr="00666939">
        <w:rPr>
          <w:rFonts w:eastAsia="Times New Roman"/>
        </w:rPr>
        <w:t xml:space="preserve">and the probability of allocation to a treatment at each time can be modelled as a function of covariates in the </w:t>
      </w:r>
      <w:r w:rsidR="006520EB" w:rsidRPr="00666939">
        <w:rPr>
          <w:rFonts w:eastAsia="Times New Roman"/>
        </w:rPr>
        <w:t xml:space="preserve">available </w:t>
      </w:r>
      <w:r w:rsidRPr="00666939">
        <w:rPr>
          <w:rFonts w:eastAsia="Times New Roman"/>
        </w:rPr>
        <w:t xml:space="preserve">data set. </w:t>
      </w:r>
      <w:proofErr w:type="spellStart"/>
      <w:r w:rsidRPr="00666939">
        <w:rPr>
          <w:rFonts w:eastAsia="Times New Roman"/>
        </w:rPr>
        <w:t>Vikstrom’s</w:t>
      </w:r>
      <w:proofErr w:type="spellEnd"/>
      <w:r w:rsidRPr="00666939">
        <w:rPr>
          <w:rFonts w:eastAsia="Times New Roman"/>
        </w:rPr>
        <w:t xml:space="preserve"> </w:t>
      </w:r>
      <w:r w:rsidR="003C7DE4" w:rsidRPr="00666939">
        <w:rPr>
          <w:rFonts w:eastAsia="Times New Roman"/>
        </w:rPr>
        <w:t xml:space="preserve">description of the impact </w:t>
      </w:r>
      <w:r w:rsidR="006520EB" w:rsidRPr="00666939">
        <w:rPr>
          <w:rFonts w:eastAsia="Times New Roman"/>
        </w:rPr>
        <w:t xml:space="preserve">estimates that can be generated, </w:t>
      </w:r>
      <w:r w:rsidR="003C7DE4" w:rsidRPr="00666939">
        <w:rPr>
          <w:rFonts w:eastAsia="Times New Roman"/>
        </w:rPr>
        <w:t xml:space="preserve">and the </w:t>
      </w:r>
      <w:r w:rsidR="006520EB" w:rsidRPr="00666939">
        <w:rPr>
          <w:rFonts w:eastAsia="Times New Roman"/>
        </w:rPr>
        <w:t xml:space="preserve">conditions for their validity, </w:t>
      </w:r>
      <w:r w:rsidR="003C7DE4" w:rsidRPr="00666939">
        <w:rPr>
          <w:rFonts w:eastAsia="Times New Roman"/>
        </w:rPr>
        <w:t xml:space="preserve">has parallels with the </w:t>
      </w:r>
      <w:r w:rsidR="006520EB" w:rsidRPr="00666939">
        <w:rPr>
          <w:rFonts w:eastAsia="Times New Roman"/>
        </w:rPr>
        <w:t xml:space="preserve">description here of </w:t>
      </w:r>
      <w:r w:rsidR="00B949BF" w:rsidRPr="00666939">
        <w:rPr>
          <w:rFonts w:eastAsia="Times New Roman"/>
        </w:rPr>
        <w:t>s</w:t>
      </w:r>
      <w:r w:rsidR="003C7DE4" w:rsidRPr="00666939">
        <w:rPr>
          <w:rFonts w:eastAsia="Times New Roman"/>
        </w:rPr>
        <w:t xml:space="preserve">ituations </w:t>
      </w:r>
      <w:r w:rsidR="006520EB" w:rsidRPr="00666939">
        <w:rPr>
          <w:rFonts w:eastAsia="Times New Roman"/>
        </w:rPr>
        <w:t xml:space="preserve">where the </w:t>
      </w:r>
      <w:r w:rsidR="003C7DE4" w:rsidRPr="00666939">
        <w:rPr>
          <w:rFonts w:eastAsia="Times New Roman"/>
        </w:rPr>
        <w:t xml:space="preserve">dynamic </w:t>
      </w:r>
      <w:r w:rsidR="006520EB" w:rsidRPr="00666939">
        <w:rPr>
          <w:rFonts w:eastAsia="Times New Roman"/>
        </w:rPr>
        <w:t xml:space="preserve">treatment </w:t>
      </w:r>
      <w:r w:rsidR="003C7DE4" w:rsidRPr="00666939">
        <w:rPr>
          <w:rFonts w:eastAsia="Times New Roman"/>
        </w:rPr>
        <w:t xml:space="preserve">assignment </w:t>
      </w:r>
      <w:r w:rsidR="006520EB" w:rsidRPr="00666939">
        <w:rPr>
          <w:rFonts w:eastAsia="Times New Roman"/>
        </w:rPr>
        <w:t>is randomised.</w:t>
      </w:r>
    </w:p>
    <w:p w:rsidR="006520EB" w:rsidRPr="00666939" w:rsidRDefault="006520EB" w:rsidP="00666939">
      <w:pPr>
        <w:pStyle w:val="ListParagraph"/>
        <w:numPr>
          <w:ilvl w:val="0"/>
          <w:numId w:val="20"/>
        </w:numPr>
        <w:spacing w:after="120" w:line="240" w:lineRule="auto"/>
        <w:rPr>
          <w:rFonts w:eastAsia="Times New Roman"/>
        </w:rPr>
      </w:pPr>
      <w:proofErr w:type="spellStart"/>
      <w:r w:rsidRPr="00666939">
        <w:t>Vikstrom</w:t>
      </w:r>
      <w:proofErr w:type="spellEnd"/>
      <w:r w:rsidRPr="00666939">
        <w:t xml:space="preserve"> (2017) provides a “dynamic inverse probability weighting (DIPW) estimator for the average treatment eﬀect on the treated for treatment in a certain period against no</w:t>
      </w:r>
      <w:r w:rsidR="00365DD1">
        <w:t xml:space="preserve"> treatment now nor thereafter”.</w:t>
      </w:r>
    </w:p>
    <w:p w:rsidR="006520EB" w:rsidRPr="00666939" w:rsidRDefault="006520EB" w:rsidP="00666939">
      <w:pPr>
        <w:pStyle w:val="ListParagraph"/>
        <w:numPr>
          <w:ilvl w:val="1"/>
          <w:numId w:val="20"/>
        </w:numPr>
        <w:spacing w:after="120" w:line="240" w:lineRule="auto"/>
        <w:rPr>
          <w:rFonts w:eastAsia="Times New Roman"/>
        </w:rPr>
      </w:pPr>
      <w:proofErr w:type="spellStart"/>
      <w:r w:rsidRPr="00666939">
        <w:t>Vikstrom’s</w:t>
      </w:r>
      <w:proofErr w:type="spellEnd"/>
      <w:r w:rsidRPr="00666939">
        <w:t xml:space="preserve"> estimator is thus a solution, in a related context, to the “dilemma” described in DEASP (2019).</w:t>
      </w:r>
    </w:p>
    <w:p w:rsidR="000D35F9" w:rsidRPr="00666939" w:rsidRDefault="006520EB" w:rsidP="00666939">
      <w:pPr>
        <w:pStyle w:val="ListParagraph"/>
        <w:numPr>
          <w:ilvl w:val="1"/>
          <w:numId w:val="20"/>
        </w:numPr>
        <w:spacing w:after="120" w:line="240" w:lineRule="auto"/>
        <w:rPr>
          <w:rFonts w:eastAsia="Times New Roman"/>
        </w:rPr>
      </w:pPr>
      <w:proofErr w:type="spellStart"/>
      <w:r w:rsidRPr="00666939">
        <w:rPr>
          <w:rFonts w:eastAsia="Times New Roman"/>
        </w:rPr>
        <w:t>Vikstrom’s</w:t>
      </w:r>
      <w:proofErr w:type="spellEnd"/>
      <w:r w:rsidRPr="00666939">
        <w:rPr>
          <w:rFonts w:eastAsia="Times New Roman"/>
        </w:rPr>
        <w:t xml:space="preserve"> </w:t>
      </w:r>
      <w:r w:rsidR="000D35F9" w:rsidRPr="00666939">
        <w:rPr>
          <w:rFonts w:eastAsia="Times New Roman"/>
        </w:rPr>
        <w:t>“inverse probability weighting” refers to the “probability of obtaining treatment in period s given survival until time period s and covariates X”</w:t>
      </w:r>
      <w:r w:rsidR="00932CA9" w:rsidRPr="00666939">
        <w:rPr>
          <w:rFonts w:eastAsia="Times New Roman"/>
        </w:rPr>
        <w:t xml:space="preserve">. This </w:t>
      </w:r>
      <w:r w:rsidR="000D35F9" w:rsidRPr="00666939">
        <w:rPr>
          <w:rFonts w:eastAsia="Times New Roman"/>
        </w:rPr>
        <w:t xml:space="preserve">resembles the approach </w:t>
      </w:r>
      <w:r w:rsidR="00932CA9" w:rsidRPr="00666939">
        <w:rPr>
          <w:rFonts w:eastAsia="Times New Roman"/>
        </w:rPr>
        <w:t xml:space="preserve">described here, </w:t>
      </w:r>
      <w:r w:rsidR="000D35F9" w:rsidRPr="00666939">
        <w:rPr>
          <w:rFonts w:eastAsia="Times New Roman"/>
        </w:rPr>
        <w:t xml:space="preserve">where the number of individuals simulated to have been </w:t>
      </w:r>
      <w:proofErr w:type="spellStart"/>
      <w:r w:rsidR="000D35F9" w:rsidRPr="00666939">
        <w:rPr>
          <w:rFonts w:eastAsia="Times New Roman"/>
        </w:rPr>
        <w:t>preallocated</w:t>
      </w:r>
      <w:proofErr w:type="spellEnd"/>
      <w:r w:rsidR="000D35F9" w:rsidRPr="00666939">
        <w:rPr>
          <w:rFonts w:eastAsia="Times New Roman"/>
        </w:rPr>
        <w:t xml:space="preserve"> to a </w:t>
      </w:r>
      <w:r w:rsidR="00932CA9" w:rsidRPr="00666939">
        <w:rPr>
          <w:rFonts w:eastAsia="Times New Roman"/>
        </w:rPr>
        <w:t xml:space="preserve">given </w:t>
      </w:r>
      <w:r w:rsidR="000D35F9" w:rsidRPr="00666939">
        <w:rPr>
          <w:rFonts w:eastAsia="Times New Roman"/>
        </w:rPr>
        <w:t xml:space="preserve">treatment date is </w:t>
      </w:r>
      <w:r w:rsidR="00932CA9" w:rsidRPr="00666939">
        <w:rPr>
          <w:rFonts w:eastAsia="Times New Roman"/>
        </w:rPr>
        <w:t xml:space="preserve">the </w:t>
      </w:r>
      <w:r w:rsidR="000D35F9" w:rsidRPr="00666939">
        <w:rPr>
          <w:rFonts w:eastAsia="Times New Roman"/>
        </w:rPr>
        <w:t>number actually treat</w:t>
      </w:r>
      <w:r w:rsidR="00932CA9" w:rsidRPr="00666939">
        <w:rPr>
          <w:rFonts w:eastAsia="Times New Roman"/>
        </w:rPr>
        <w:t xml:space="preserve">ed at that date, </w:t>
      </w:r>
      <w:r w:rsidR="000D35F9" w:rsidRPr="00666939">
        <w:rPr>
          <w:rFonts w:eastAsia="Times New Roman"/>
        </w:rPr>
        <w:t xml:space="preserve">multiplied by the inverse probability </w:t>
      </w:r>
      <w:r w:rsidR="00365DD1">
        <w:rPr>
          <w:rFonts w:eastAsia="Times New Roman"/>
        </w:rPr>
        <w:t xml:space="preserve">that </w:t>
      </w:r>
      <w:r w:rsidR="00932CA9" w:rsidRPr="00666939">
        <w:rPr>
          <w:rFonts w:eastAsia="Times New Roman"/>
        </w:rPr>
        <w:t xml:space="preserve">the </w:t>
      </w:r>
      <w:proofErr w:type="spellStart"/>
      <w:r w:rsidR="00932CA9" w:rsidRPr="00666939">
        <w:rPr>
          <w:rFonts w:eastAsia="Times New Roman"/>
        </w:rPr>
        <w:t>preallocation</w:t>
      </w:r>
      <w:proofErr w:type="spellEnd"/>
      <w:r w:rsidR="00932CA9" w:rsidRPr="00666939">
        <w:rPr>
          <w:rFonts w:eastAsia="Times New Roman"/>
        </w:rPr>
        <w:t xml:space="preserve"> </w:t>
      </w:r>
      <w:r w:rsidR="00365DD1">
        <w:rPr>
          <w:rFonts w:eastAsia="Times New Roman"/>
        </w:rPr>
        <w:t>will actually result</w:t>
      </w:r>
      <w:r w:rsidR="00932CA9" w:rsidRPr="00666939">
        <w:rPr>
          <w:rFonts w:eastAsia="Times New Roman"/>
        </w:rPr>
        <w:t xml:space="preserve"> in the treatment (given that n</w:t>
      </w:r>
      <w:r w:rsidR="00365DD1">
        <w:rPr>
          <w:rFonts w:eastAsia="Times New Roman"/>
        </w:rPr>
        <w:t xml:space="preserve">ot all individuals will remain in the eligible group at the </w:t>
      </w:r>
      <w:proofErr w:type="spellStart"/>
      <w:r w:rsidR="00932CA9" w:rsidRPr="00666939">
        <w:rPr>
          <w:rFonts w:eastAsia="Times New Roman"/>
        </w:rPr>
        <w:t>preallocated</w:t>
      </w:r>
      <w:proofErr w:type="spellEnd"/>
      <w:r w:rsidR="00932CA9" w:rsidRPr="00666939">
        <w:rPr>
          <w:rFonts w:eastAsia="Times New Roman"/>
        </w:rPr>
        <w:t xml:space="preserve"> treatment date).</w:t>
      </w:r>
    </w:p>
    <w:p w:rsidR="00932CA9" w:rsidRPr="00666939" w:rsidRDefault="00932CA9" w:rsidP="00666939">
      <w:pPr>
        <w:pStyle w:val="ListParagraph"/>
        <w:numPr>
          <w:ilvl w:val="1"/>
          <w:numId w:val="20"/>
        </w:numPr>
        <w:spacing w:after="120" w:line="240" w:lineRule="auto"/>
        <w:rPr>
          <w:rFonts w:eastAsia="Times New Roman"/>
        </w:rPr>
      </w:pPr>
      <w:proofErr w:type="spellStart"/>
      <w:r w:rsidRPr="00666939">
        <w:rPr>
          <w:rFonts w:eastAsia="Times New Roman"/>
        </w:rPr>
        <w:t>Vikstrom</w:t>
      </w:r>
      <w:proofErr w:type="spellEnd"/>
      <w:r w:rsidRPr="00666939">
        <w:rPr>
          <w:rFonts w:eastAsia="Times New Roman"/>
        </w:rPr>
        <w:t xml:space="preserve"> notes that “in each period only not-yet treated individuals are used, so that the control group successively changes as some previously non-treated individuals start treatment”. This resemb</w:t>
      </w:r>
      <w:r w:rsidR="00365DD1">
        <w:rPr>
          <w:rFonts w:eastAsia="Times New Roman"/>
        </w:rPr>
        <w:t xml:space="preserve">les the approach described here, </w:t>
      </w:r>
      <w:r w:rsidRPr="00666939">
        <w:rPr>
          <w:rFonts w:eastAsia="Times New Roman"/>
        </w:rPr>
        <w:t xml:space="preserve">where </w:t>
      </w:r>
      <w:r w:rsidR="00E826DC" w:rsidRPr="00666939">
        <w:rPr>
          <w:rFonts w:eastAsia="Times New Roman"/>
        </w:rPr>
        <w:t xml:space="preserve">the individuals </w:t>
      </w:r>
      <w:r w:rsidRPr="00666939">
        <w:rPr>
          <w:rFonts w:eastAsia="Times New Roman"/>
        </w:rPr>
        <w:t xml:space="preserve">simulated to </w:t>
      </w:r>
      <w:r w:rsidR="00E826DC" w:rsidRPr="00666939">
        <w:rPr>
          <w:rFonts w:eastAsia="Times New Roman"/>
        </w:rPr>
        <w:t xml:space="preserve">have been </w:t>
      </w:r>
      <w:proofErr w:type="spellStart"/>
      <w:r w:rsidRPr="00666939">
        <w:rPr>
          <w:rFonts w:eastAsia="Times New Roman"/>
        </w:rPr>
        <w:t>preallocated</w:t>
      </w:r>
      <w:proofErr w:type="spellEnd"/>
      <w:r w:rsidRPr="00666939">
        <w:rPr>
          <w:rFonts w:eastAsia="Times New Roman"/>
        </w:rPr>
        <w:t xml:space="preserve"> </w:t>
      </w:r>
      <w:r w:rsidR="00365DD1">
        <w:rPr>
          <w:rFonts w:eastAsia="Times New Roman"/>
        </w:rPr>
        <w:t xml:space="preserve">to </w:t>
      </w:r>
      <w:r w:rsidR="00E826DC" w:rsidRPr="00666939">
        <w:rPr>
          <w:rFonts w:eastAsia="Times New Roman"/>
        </w:rPr>
        <w:t xml:space="preserve">a given quarter are a </w:t>
      </w:r>
      <w:r w:rsidRPr="00666939">
        <w:rPr>
          <w:rFonts w:eastAsia="Times New Roman"/>
        </w:rPr>
        <w:t xml:space="preserve">random selection </w:t>
      </w:r>
      <w:r w:rsidR="00E826DC" w:rsidRPr="00666939">
        <w:rPr>
          <w:rFonts w:eastAsia="Times New Roman"/>
        </w:rPr>
        <w:t xml:space="preserve">across all </w:t>
      </w:r>
      <w:r w:rsidR="00EC236C" w:rsidRPr="00666939">
        <w:rPr>
          <w:rFonts w:eastAsia="Times New Roman"/>
        </w:rPr>
        <w:t xml:space="preserve">who do not yet have </w:t>
      </w:r>
      <w:r w:rsidR="006612B6" w:rsidRPr="00666939">
        <w:rPr>
          <w:rFonts w:eastAsia="Times New Roman"/>
        </w:rPr>
        <w:t xml:space="preserve">a </w:t>
      </w:r>
      <w:r w:rsidR="00EC236C" w:rsidRPr="00666939">
        <w:rPr>
          <w:rFonts w:eastAsia="Times New Roman"/>
        </w:rPr>
        <w:t xml:space="preserve">simulated </w:t>
      </w:r>
      <w:proofErr w:type="spellStart"/>
      <w:r w:rsidR="00EC236C" w:rsidRPr="00666939">
        <w:rPr>
          <w:rFonts w:eastAsia="Times New Roman"/>
        </w:rPr>
        <w:t>preallocated</w:t>
      </w:r>
      <w:proofErr w:type="spellEnd"/>
      <w:r w:rsidR="006612B6" w:rsidRPr="00666939">
        <w:rPr>
          <w:rFonts w:eastAsia="Times New Roman"/>
        </w:rPr>
        <w:t xml:space="preserve"> </w:t>
      </w:r>
      <w:r w:rsidR="00EC236C" w:rsidRPr="00666939">
        <w:rPr>
          <w:rFonts w:eastAsia="Times New Roman"/>
        </w:rPr>
        <w:t xml:space="preserve">or an actual </w:t>
      </w:r>
      <w:r w:rsidR="006612B6" w:rsidRPr="00666939">
        <w:rPr>
          <w:rFonts w:eastAsia="Times New Roman"/>
        </w:rPr>
        <w:t>out</w:t>
      </w:r>
      <w:r w:rsidR="00365DD1">
        <w:rPr>
          <w:rFonts w:eastAsia="Times New Roman"/>
        </w:rPr>
        <w:t>-t</w:t>
      </w:r>
      <w:r w:rsidR="006612B6" w:rsidRPr="00666939">
        <w:rPr>
          <w:rFonts w:eastAsia="Times New Roman"/>
        </w:rPr>
        <w:t>urn</w:t>
      </w:r>
      <w:r w:rsidR="00EC236C" w:rsidRPr="00666939">
        <w:rPr>
          <w:rFonts w:eastAsia="Times New Roman"/>
        </w:rPr>
        <w:t xml:space="preserve"> </w:t>
      </w:r>
      <w:r w:rsidR="00E826DC" w:rsidRPr="00666939">
        <w:rPr>
          <w:rFonts w:eastAsia="Times New Roman"/>
        </w:rPr>
        <w:t>treatment date</w:t>
      </w:r>
      <w:r w:rsidR="00551109" w:rsidRPr="00666939">
        <w:rPr>
          <w:rFonts w:eastAsia="Times New Roman"/>
        </w:rPr>
        <w:t xml:space="preserve">. </w:t>
      </w:r>
      <w:r w:rsidR="007900A1" w:rsidRPr="00666939">
        <w:rPr>
          <w:rFonts w:eastAsia="Times New Roman"/>
        </w:rPr>
        <w:t xml:space="preserve">In </w:t>
      </w:r>
      <w:proofErr w:type="spellStart"/>
      <w:r w:rsidR="007900A1" w:rsidRPr="00666939">
        <w:rPr>
          <w:rFonts w:eastAsia="Times New Roman"/>
        </w:rPr>
        <w:t>Vikstrom’s</w:t>
      </w:r>
      <w:proofErr w:type="spellEnd"/>
      <w:r w:rsidR="007900A1" w:rsidRPr="00666939">
        <w:rPr>
          <w:rFonts w:eastAsia="Times New Roman"/>
        </w:rPr>
        <w:t xml:space="preserve"> approach some individuals probably appear in several control groups with fractional weights, while in the approach described here each individual is (in a single run) simulated to have been randomly </w:t>
      </w:r>
      <w:proofErr w:type="spellStart"/>
      <w:r w:rsidR="007900A1" w:rsidRPr="00666939">
        <w:rPr>
          <w:rFonts w:eastAsia="Times New Roman"/>
        </w:rPr>
        <w:t>preallocated</w:t>
      </w:r>
      <w:proofErr w:type="spellEnd"/>
      <w:r w:rsidR="007900A1" w:rsidRPr="00666939">
        <w:rPr>
          <w:rFonts w:eastAsia="Times New Roman"/>
        </w:rPr>
        <w:t xml:space="preserve"> to a specific control group</w:t>
      </w:r>
      <w:r w:rsidR="009E24F7">
        <w:rPr>
          <w:rFonts w:eastAsia="Times New Roman"/>
        </w:rPr>
        <w:t xml:space="preserve">, a </w:t>
      </w:r>
      <w:r w:rsidR="00365DD1">
        <w:rPr>
          <w:rFonts w:eastAsia="Times New Roman"/>
        </w:rPr>
        <w:t xml:space="preserve">difference </w:t>
      </w:r>
      <w:r w:rsidR="009E24F7">
        <w:rPr>
          <w:rFonts w:eastAsia="Times New Roman"/>
        </w:rPr>
        <w:t xml:space="preserve">that </w:t>
      </w:r>
      <w:r w:rsidR="00365DD1">
        <w:rPr>
          <w:rFonts w:eastAsia="Times New Roman"/>
        </w:rPr>
        <w:t xml:space="preserve">would make the results </w:t>
      </w:r>
      <w:r w:rsidR="009E24F7">
        <w:rPr>
          <w:rFonts w:eastAsia="Times New Roman"/>
        </w:rPr>
        <w:t xml:space="preserve">slightly more variable </w:t>
      </w:r>
      <w:r w:rsidR="00365DD1">
        <w:rPr>
          <w:rFonts w:eastAsia="Times New Roman"/>
        </w:rPr>
        <w:t>but not biased.</w:t>
      </w:r>
    </w:p>
    <w:p w:rsidR="003E34EB" w:rsidRPr="00C61CEE" w:rsidRDefault="00EC236C" w:rsidP="00666939">
      <w:pPr>
        <w:pStyle w:val="ListParagraph"/>
        <w:numPr>
          <w:ilvl w:val="0"/>
          <w:numId w:val="20"/>
        </w:numPr>
        <w:spacing w:after="120" w:line="240" w:lineRule="auto"/>
        <w:rPr>
          <w:rFonts w:eastAsia="Times New Roman"/>
        </w:rPr>
      </w:pPr>
      <w:proofErr w:type="spellStart"/>
      <w:r w:rsidRPr="00666939">
        <w:rPr>
          <w:rFonts w:eastAsia="Times New Roman"/>
        </w:rPr>
        <w:lastRenderedPageBreak/>
        <w:t>Vikstrom</w:t>
      </w:r>
      <w:proofErr w:type="spellEnd"/>
      <w:r w:rsidRPr="00666939">
        <w:rPr>
          <w:rFonts w:eastAsia="Times New Roman"/>
        </w:rPr>
        <w:t xml:space="preserve"> (2017) specifies </w:t>
      </w:r>
      <w:r w:rsidR="009E24F7">
        <w:t xml:space="preserve">an </w:t>
      </w:r>
      <w:r w:rsidRPr="00666939">
        <w:t xml:space="preserve">assumption </w:t>
      </w:r>
      <w:r w:rsidR="009E24F7">
        <w:t xml:space="preserve">required for validity </w:t>
      </w:r>
      <w:r w:rsidRPr="00666939">
        <w:t xml:space="preserve">that “for unemployed workers still unemployed and non-treated at t, treatment assignments in period t are independent of the potential outcomes (re-employment rates) after conditioning on covariates measured shortly before t”. </w:t>
      </w:r>
      <w:r w:rsidR="00373F17" w:rsidRPr="00666939">
        <w:t xml:space="preserve">The randomisation of </w:t>
      </w:r>
      <w:r w:rsidRPr="00666939">
        <w:t xml:space="preserve">assignments </w:t>
      </w:r>
      <w:r w:rsidR="00373F17" w:rsidRPr="00666939">
        <w:t xml:space="preserve">ensures that they </w:t>
      </w:r>
      <w:r w:rsidRPr="00666939">
        <w:t>are independent of re-employment rates</w:t>
      </w:r>
      <w:r w:rsidR="00043284" w:rsidRPr="00666939">
        <w:t xml:space="preserve">, so </w:t>
      </w:r>
      <w:proofErr w:type="spellStart"/>
      <w:r w:rsidR="00043284" w:rsidRPr="00666939">
        <w:t>Vikstrom’s</w:t>
      </w:r>
      <w:proofErr w:type="spellEnd"/>
      <w:r w:rsidR="00043284" w:rsidRPr="00666939">
        <w:t xml:space="preserve"> estimator should be applicable to situations of dynamic random assignment</w:t>
      </w:r>
      <w:r w:rsidR="0043329C" w:rsidRPr="00666939">
        <w:t xml:space="preserve">. Under random assignment, </w:t>
      </w:r>
      <w:r w:rsidR="00373F17" w:rsidRPr="00666939">
        <w:t>potential covariates</w:t>
      </w:r>
      <w:r w:rsidR="00043284" w:rsidRPr="00666939">
        <w:t xml:space="preserve"> (</w:t>
      </w:r>
      <w:r w:rsidR="00373F17" w:rsidRPr="00666939">
        <w:t>other than the date</w:t>
      </w:r>
      <w:r w:rsidR="00043284" w:rsidRPr="00666939">
        <w:t xml:space="preserve">) </w:t>
      </w:r>
      <w:r w:rsidR="0043329C" w:rsidRPr="00666939">
        <w:t>do not affec</w:t>
      </w:r>
      <w:r w:rsidR="009E24F7">
        <w:t xml:space="preserve">t the probability of assignment: so </w:t>
      </w:r>
      <w:r w:rsidR="0043329C" w:rsidRPr="00666939">
        <w:t xml:space="preserve">the </w:t>
      </w:r>
      <w:r w:rsidR="006612B6" w:rsidRPr="00666939">
        <w:t xml:space="preserve">regressions that implement </w:t>
      </w:r>
      <w:proofErr w:type="spellStart"/>
      <w:r w:rsidR="006612B6" w:rsidRPr="00666939">
        <w:t>Vikstrom’s</w:t>
      </w:r>
      <w:proofErr w:type="spellEnd"/>
      <w:r w:rsidR="006612B6" w:rsidRPr="00666939">
        <w:t xml:space="preserve"> estimator will </w:t>
      </w:r>
      <w:r w:rsidR="0043329C" w:rsidRPr="00666939">
        <w:t xml:space="preserve">predict the </w:t>
      </w:r>
      <w:r w:rsidR="006612B6" w:rsidRPr="00666939">
        <w:t xml:space="preserve">same </w:t>
      </w:r>
      <w:r w:rsidR="00043284" w:rsidRPr="00666939">
        <w:t xml:space="preserve">probability of treatment </w:t>
      </w:r>
      <w:r w:rsidR="0043329C" w:rsidRPr="00666939">
        <w:t xml:space="preserve">for all </w:t>
      </w:r>
      <w:r w:rsidR="00043284" w:rsidRPr="00666939">
        <w:t xml:space="preserve">individuals who remain in </w:t>
      </w:r>
      <w:r w:rsidR="003E34EB" w:rsidRPr="00666939">
        <w:t xml:space="preserve">the control group at </w:t>
      </w:r>
      <w:r w:rsidR="0043329C" w:rsidRPr="00666939">
        <w:t xml:space="preserve">a given </w:t>
      </w:r>
      <w:r w:rsidR="003E34EB" w:rsidRPr="00666939">
        <w:t>date.</w:t>
      </w:r>
    </w:p>
    <w:p w:rsidR="00C61CEE" w:rsidRPr="00C61CEE" w:rsidRDefault="00C61CEE" w:rsidP="00C61CEE">
      <w:pPr>
        <w:pStyle w:val="Heading3"/>
        <w:rPr>
          <w:rFonts w:eastAsia="Times New Roman"/>
        </w:rPr>
      </w:pPr>
      <w:r>
        <w:rPr>
          <w:rFonts w:eastAsia="Times New Roman"/>
        </w:rPr>
        <w:t>The case for random assigned variation within ongoing operations</w:t>
      </w:r>
    </w:p>
    <w:p w:rsidR="00666939" w:rsidRPr="00666939" w:rsidRDefault="0043329C" w:rsidP="00666939">
      <w:pPr>
        <w:spacing w:after="120" w:line="240" w:lineRule="auto"/>
        <w:rPr>
          <w:rFonts w:eastAsia="Times New Roman"/>
        </w:rPr>
      </w:pPr>
      <w:r w:rsidRPr="00666939">
        <w:rPr>
          <w:rFonts w:eastAsia="Times New Roman"/>
        </w:rPr>
        <w:t xml:space="preserve">Although the </w:t>
      </w:r>
      <w:proofErr w:type="spellStart"/>
      <w:r w:rsidRPr="00666939">
        <w:rPr>
          <w:rFonts w:eastAsia="Times New Roman"/>
        </w:rPr>
        <w:t>Vikstrom</w:t>
      </w:r>
      <w:proofErr w:type="spellEnd"/>
      <w:r w:rsidRPr="00666939">
        <w:rPr>
          <w:rFonts w:eastAsia="Times New Roman"/>
        </w:rPr>
        <w:t xml:space="preserve"> (2017) procedure </w:t>
      </w:r>
      <w:r w:rsidR="00250765" w:rsidRPr="00666939">
        <w:rPr>
          <w:rFonts w:eastAsia="Times New Roman"/>
        </w:rPr>
        <w:t xml:space="preserve">can be </w:t>
      </w:r>
      <w:r w:rsidR="00DE0280" w:rsidRPr="00666939">
        <w:rPr>
          <w:rFonts w:eastAsia="Times New Roman"/>
        </w:rPr>
        <w:t>implemented</w:t>
      </w:r>
      <w:r w:rsidR="009E24F7">
        <w:rPr>
          <w:rFonts w:eastAsia="Times New Roman"/>
        </w:rPr>
        <w:t xml:space="preserve"> without random assignment</w:t>
      </w:r>
      <w:r w:rsidR="00DE0280" w:rsidRPr="00666939">
        <w:rPr>
          <w:rFonts w:eastAsia="Times New Roman"/>
        </w:rPr>
        <w:t xml:space="preserve">, </w:t>
      </w:r>
      <w:r w:rsidR="00E70E26" w:rsidRPr="00666939">
        <w:rPr>
          <w:rFonts w:eastAsia="Times New Roman"/>
        </w:rPr>
        <w:t xml:space="preserve">there is no </w:t>
      </w:r>
      <w:r w:rsidR="00250765" w:rsidRPr="00666939">
        <w:rPr>
          <w:rFonts w:eastAsia="Times New Roman"/>
        </w:rPr>
        <w:t xml:space="preserve">general </w:t>
      </w:r>
      <w:r w:rsidR="00E70E26" w:rsidRPr="00666939">
        <w:rPr>
          <w:rFonts w:eastAsia="Times New Roman"/>
        </w:rPr>
        <w:t xml:space="preserve">reason to </w:t>
      </w:r>
      <w:r w:rsidR="00250765" w:rsidRPr="00666939">
        <w:rPr>
          <w:rFonts w:eastAsia="Times New Roman"/>
        </w:rPr>
        <w:t xml:space="preserve">expect that </w:t>
      </w:r>
      <w:r w:rsidR="00E70E26" w:rsidRPr="00666939">
        <w:rPr>
          <w:rFonts w:eastAsia="Times New Roman"/>
        </w:rPr>
        <w:t xml:space="preserve">the assumptions necessary for </w:t>
      </w:r>
      <w:r w:rsidR="009E24F7">
        <w:rPr>
          <w:rFonts w:eastAsia="Times New Roman"/>
        </w:rPr>
        <w:t xml:space="preserve">its validity </w:t>
      </w:r>
      <w:r w:rsidR="00E70E26" w:rsidRPr="00666939">
        <w:rPr>
          <w:rFonts w:eastAsia="Times New Roman"/>
        </w:rPr>
        <w:t>hold</w:t>
      </w:r>
      <w:r w:rsidR="00250765" w:rsidRPr="00666939">
        <w:rPr>
          <w:rFonts w:eastAsia="Times New Roman"/>
        </w:rPr>
        <w:t xml:space="preserve"> in practice</w:t>
      </w:r>
      <w:r w:rsidR="00E70E26" w:rsidRPr="00666939">
        <w:rPr>
          <w:rFonts w:eastAsia="Times New Roman"/>
        </w:rPr>
        <w:t>. In some countries, the public employment service (PES) funds short-term training for unemployed people that qualifies them to fill vacancies created by a large employer recently arrived in the area</w:t>
      </w:r>
      <w:r w:rsidR="00250765" w:rsidRPr="00666939">
        <w:rPr>
          <w:rFonts w:eastAsia="Times New Roman"/>
        </w:rPr>
        <w:t xml:space="preserve">, so that </w:t>
      </w:r>
      <w:r w:rsidR="009E24F7">
        <w:rPr>
          <w:rFonts w:eastAsia="Times New Roman"/>
        </w:rPr>
        <w:t xml:space="preserve">- </w:t>
      </w:r>
      <w:r w:rsidR="00250765" w:rsidRPr="00666939">
        <w:rPr>
          <w:rFonts w:eastAsia="Times New Roman"/>
        </w:rPr>
        <w:t>t</w:t>
      </w:r>
      <w:r w:rsidR="009D416C" w:rsidRPr="00666939">
        <w:rPr>
          <w:rFonts w:eastAsia="Times New Roman"/>
        </w:rPr>
        <w:t xml:space="preserve">hrough time and across </w:t>
      </w:r>
      <w:r w:rsidR="00250765" w:rsidRPr="00666939">
        <w:rPr>
          <w:rFonts w:eastAsia="Times New Roman"/>
        </w:rPr>
        <w:t xml:space="preserve">individuals </w:t>
      </w:r>
      <w:r w:rsidR="009E24F7">
        <w:rPr>
          <w:rFonts w:eastAsia="Times New Roman"/>
        </w:rPr>
        <w:t xml:space="preserve">- </w:t>
      </w:r>
      <w:r w:rsidR="00E70E26" w:rsidRPr="00666939">
        <w:rPr>
          <w:rFonts w:eastAsia="Times New Roman"/>
        </w:rPr>
        <w:t>assignment to the treatment (short-term tr</w:t>
      </w:r>
      <w:r w:rsidR="009D416C" w:rsidRPr="00666939">
        <w:rPr>
          <w:rFonts w:eastAsia="Times New Roman"/>
        </w:rPr>
        <w:t xml:space="preserve">aining) </w:t>
      </w:r>
      <w:r w:rsidR="00250765" w:rsidRPr="00666939">
        <w:rPr>
          <w:rFonts w:eastAsia="Times New Roman"/>
        </w:rPr>
        <w:t xml:space="preserve">is </w:t>
      </w:r>
      <w:r w:rsidR="00E70E26" w:rsidRPr="00666939">
        <w:rPr>
          <w:rFonts w:eastAsia="Times New Roman"/>
        </w:rPr>
        <w:t xml:space="preserve">strongly correlated </w:t>
      </w:r>
      <w:r w:rsidR="009D416C" w:rsidRPr="00666939">
        <w:rPr>
          <w:rFonts w:eastAsia="Times New Roman"/>
        </w:rPr>
        <w:t xml:space="preserve">with </w:t>
      </w:r>
      <w:r w:rsidR="00E70E26" w:rsidRPr="00666939">
        <w:rPr>
          <w:rFonts w:eastAsia="Times New Roman"/>
        </w:rPr>
        <w:t>future employment rates</w:t>
      </w:r>
      <w:r w:rsidR="009E24F7">
        <w:rPr>
          <w:rFonts w:eastAsia="Times New Roman"/>
        </w:rPr>
        <w:t>, but this correlation is not necessarily causal</w:t>
      </w:r>
      <w:r w:rsidR="00250765" w:rsidRPr="00666939">
        <w:rPr>
          <w:rFonts w:eastAsia="Times New Roman"/>
        </w:rPr>
        <w:t xml:space="preserve">. </w:t>
      </w:r>
      <w:r w:rsidR="00DE0280" w:rsidRPr="00666939">
        <w:rPr>
          <w:rFonts w:eastAsia="Times New Roman"/>
        </w:rPr>
        <w:t>There are various scenarios for r</w:t>
      </w:r>
      <w:r w:rsidR="00250765" w:rsidRPr="00666939">
        <w:rPr>
          <w:rFonts w:eastAsia="Times New Roman"/>
        </w:rPr>
        <w:t>e-employment prob</w:t>
      </w:r>
      <w:r w:rsidR="009E24F7">
        <w:rPr>
          <w:rFonts w:eastAsia="Times New Roman"/>
        </w:rPr>
        <w:t xml:space="preserve">abilities </w:t>
      </w:r>
      <w:r w:rsidR="00DE0280" w:rsidRPr="00666939">
        <w:rPr>
          <w:rFonts w:eastAsia="Times New Roman"/>
        </w:rPr>
        <w:t xml:space="preserve">to be </w:t>
      </w:r>
      <w:r w:rsidR="009E24F7">
        <w:rPr>
          <w:rFonts w:eastAsia="Times New Roman"/>
        </w:rPr>
        <w:t xml:space="preserve">correlated with, but not necessarily caused by, </w:t>
      </w:r>
      <w:r w:rsidR="00250765" w:rsidRPr="00666939">
        <w:rPr>
          <w:rFonts w:eastAsia="Times New Roman"/>
        </w:rPr>
        <w:t xml:space="preserve">participation in </w:t>
      </w:r>
      <w:r w:rsidR="00DE0280" w:rsidRPr="00666939">
        <w:rPr>
          <w:rFonts w:eastAsia="Times New Roman"/>
        </w:rPr>
        <w:t>an ALMP</w:t>
      </w:r>
      <w:r w:rsidR="009E24F7">
        <w:rPr>
          <w:rFonts w:eastAsia="Times New Roman"/>
        </w:rPr>
        <w:t xml:space="preserve">, and the </w:t>
      </w:r>
      <w:proofErr w:type="spellStart"/>
      <w:r w:rsidR="009E24F7">
        <w:rPr>
          <w:rFonts w:eastAsia="Times New Roman"/>
        </w:rPr>
        <w:t>Vikstrom</w:t>
      </w:r>
      <w:proofErr w:type="spellEnd"/>
      <w:r w:rsidR="009E24F7">
        <w:rPr>
          <w:rFonts w:eastAsia="Times New Roman"/>
        </w:rPr>
        <w:t xml:space="preserve"> procedure without random assignment </w:t>
      </w:r>
      <w:r w:rsidR="00666939" w:rsidRPr="00666939">
        <w:rPr>
          <w:rFonts w:eastAsia="Times New Roman"/>
        </w:rPr>
        <w:t>will not solve this problem.</w:t>
      </w:r>
    </w:p>
    <w:p w:rsidR="003E34EB" w:rsidRPr="00666939" w:rsidRDefault="00F5007A" w:rsidP="00666939">
      <w:pPr>
        <w:spacing w:after="120" w:line="240" w:lineRule="auto"/>
        <w:rPr>
          <w:rFonts w:eastAsia="Times New Roman"/>
        </w:rPr>
      </w:pPr>
      <w:r w:rsidRPr="00666939">
        <w:rPr>
          <w:rFonts w:eastAsia="Times New Roman"/>
        </w:rPr>
        <w:t>R</w:t>
      </w:r>
      <w:r w:rsidR="00DE0280" w:rsidRPr="00666939">
        <w:rPr>
          <w:rFonts w:eastAsia="Times New Roman"/>
        </w:rPr>
        <w:t xml:space="preserve">andom assignment </w:t>
      </w:r>
      <w:r w:rsidR="009E24F7">
        <w:rPr>
          <w:rFonts w:eastAsia="Times New Roman"/>
        </w:rPr>
        <w:t xml:space="preserve">experiments may </w:t>
      </w:r>
      <w:r w:rsidRPr="00666939">
        <w:rPr>
          <w:rFonts w:eastAsia="Times New Roman"/>
        </w:rPr>
        <w:t>give misleading results</w:t>
      </w:r>
      <w:r w:rsidR="009E24F7">
        <w:rPr>
          <w:rFonts w:eastAsia="Times New Roman"/>
        </w:rPr>
        <w:t xml:space="preserve"> by delivering the treatment in contexts where it would probably not be delivered in operational practice. F</w:t>
      </w:r>
      <w:r w:rsidRPr="00666939">
        <w:rPr>
          <w:rFonts w:eastAsia="Times New Roman"/>
        </w:rPr>
        <w:t xml:space="preserve">or example training in a skill </w:t>
      </w:r>
      <w:r w:rsidR="009E24F7">
        <w:rPr>
          <w:rFonts w:eastAsia="Times New Roman"/>
        </w:rPr>
        <w:t xml:space="preserve">that is </w:t>
      </w:r>
      <w:r w:rsidRPr="00666939">
        <w:rPr>
          <w:rFonts w:eastAsia="Times New Roman"/>
        </w:rPr>
        <w:t xml:space="preserve">only demanded by employers in one region may </w:t>
      </w:r>
      <w:r w:rsidR="00C61CEE">
        <w:rPr>
          <w:rFonts w:eastAsia="Times New Roman"/>
        </w:rPr>
        <w:t xml:space="preserve">in fact </w:t>
      </w:r>
      <w:r w:rsidRPr="00666939">
        <w:rPr>
          <w:rFonts w:eastAsia="Times New Roman"/>
        </w:rPr>
        <w:t xml:space="preserve">be effective </w:t>
      </w:r>
      <w:r w:rsidR="009E24F7">
        <w:rPr>
          <w:rFonts w:eastAsia="Times New Roman"/>
        </w:rPr>
        <w:t xml:space="preserve">when </w:t>
      </w:r>
      <w:r w:rsidRPr="00666939">
        <w:rPr>
          <w:rFonts w:eastAsia="Times New Roman"/>
        </w:rPr>
        <w:t xml:space="preserve">it is implemented in that region, but appear to be </w:t>
      </w:r>
      <w:r w:rsidR="00666939" w:rsidRPr="00666939">
        <w:rPr>
          <w:rFonts w:eastAsia="Times New Roman"/>
        </w:rPr>
        <w:t xml:space="preserve">ineffective </w:t>
      </w:r>
      <w:r w:rsidR="009E24F7">
        <w:rPr>
          <w:rFonts w:eastAsia="Times New Roman"/>
        </w:rPr>
        <w:t xml:space="preserve">in a </w:t>
      </w:r>
      <w:r w:rsidRPr="00666939">
        <w:rPr>
          <w:rFonts w:eastAsia="Times New Roman"/>
        </w:rPr>
        <w:t xml:space="preserve">random assignment experiment </w:t>
      </w:r>
      <w:r w:rsidR="009E24F7">
        <w:rPr>
          <w:rFonts w:eastAsia="Times New Roman"/>
        </w:rPr>
        <w:t xml:space="preserve">that </w:t>
      </w:r>
      <w:r w:rsidRPr="00666939">
        <w:rPr>
          <w:rFonts w:eastAsia="Times New Roman"/>
        </w:rPr>
        <w:t xml:space="preserve">implements it in all regions. </w:t>
      </w:r>
      <w:r w:rsidR="009E24F7">
        <w:rPr>
          <w:rFonts w:eastAsia="Times New Roman"/>
        </w:rPr>
        <w:t xml:space="preserve">This example illustrates how when </w:t>
      </w:r>
      <w:r w:rsidR="00C61CEE">
        <w:rPr>
          <w:rFonts w:eastAsia="Times New Roman"/>
        </w:rPr>
        <w:t>tr</w:t>
      </w:r>
      <w:r w:rsidR="009E24F7">
        <w:rPr>
          <w:rFonts w:eastAsia="Times New Roman"/>
        </w:rPr>
        <w:t xml:space="preserve">eatments are randomly-assigned, </w:t>
      </w:r>
      <w:r w:rsidR="00C61CEE">
        <w:rPr>
          <w:rFonts w:eastAsia="Times New Roman"/>
        </w:rPr>
        <w:t xml:space="preserve">they still need to be </w:t>
      </w:r>
      <w:r w:rsidR="00666939" w:rsidRPr="00666939">
        <w:rPr>
          <w:rFonts w:eastAsia="Times New Roman"/>
        </w:rPr>
        <w:t xml:space="preserve">implemented in a realistic </w:t>
      </w:r>
      <w:r w:rsidR="009E24F7">
        <w:rPr>
          <w:rFonts w:eastAsia="Times New Roman"/>
        </w:rPr>
        <w:t xml:space="preserve">manner. This </w:t>
      </w:r>
      <w:r w:rsidR="00666939" w:rsidRPr="00666939">
        <w:rPr>
          <w:rFonts w:eastAsia="Times New Roman"/>
        </w:rPr>
        <w:t xml:space="preserve">is an argument for bringing random assignment into operational procedures rather than </w:t>
      </w:r>
      <w:r w:rsidR="009E24F7">
        <w:rPr>
          <w:rFonts w:eastAsia="Times New Roman"/>
        </w:rPr>
        <w:t>using it only distinct experimental settings.</w:t>
      </w:r>
    </w:p>
    <w:p w:rsidR="00645E19" w:rsidRPr="00666939" w:rsidRDefault="00645E19" w:rsidP="00666939">
      <w:pPr>
        <w:pStyle w:val="Heading3"/>
        <w:spacing w:before="0" w:after="120" w:line="240" w:lineRule="auto"/>
        <w:rPr>
          <w:rFonts w:eastAsia="Times New Roman"/>
          <w:color w:val="auto"/>
        </w:rPr>
      </w:pPr>
      <w:r w:rsidRPr="00666939">
        <w:rPr>
          <w:rFonts w:eastAsia="Times New Roman"/>
          <w:color w:val="auto"/>
        </w:rPr>
        <w:t>Reference</w:t>
      </w:r>
      <w:r w:rsidR="00666939">
        <w:rPr>
          <w:rFonts w:eastAsia="Times New Roman"/>
          <w:color w:val="auto"/>
        </w:rPr>
        <w:t>s</w:t>
      </w:r>
    </w:p>
    <w:p w:rsidR="008A41A3" w:rsidRDefault="00645E19" w:rsidP="00666939">
      <w:pPr>
        <w:spacing w:after="120" w:line="240" w:lineRule="auto"/>
        <w:rPr>
          <w:rFonts w:eastAsia="Times New Roman"/>
        </w:rPr>
      </w:pPr>
      <w:r w:rsidRPr="00666939">
        <w:rPr>
          <w:rFonts w:eastAsia="Times New Roman"/>
        </w:rPr>
        <w:t xml:space="preserve">DEASP (Department of Employment </w:t>
      </w:r>
      <w:bookmarkStart w:id="1" w:name="_GoBack"/>
      <w:bookmarkEnd w:id="1"/>
      <w:r w:rsidRPr="00666939">
        <w:rPr>
          <w:rFonts w:eastAsia="Times New Roman"/>
        </w:rPr>
        <w:t xml:space="preserve">Affairs and Social Protection) 2019, “Working paper: Evaluation of </w:t>
      </w:r>
      <w:proofErr w:type="spellStart"/>
      <w:r w:rsidRPr="00666939">
        <w:rPr>
          <w:rFonts w:eastAsia="Times New Roman"/>
        </w:rPr>
        <w:t>JobPath</w:t>
      </w:r>
      <w:proofErr w:type="spellEnd"/>
      <w:r w:rsidRPr="00666939">
        <w:rPr>
          <w:rFonts w:eastAsia="Times New Roman"/>
        </w:rPr>
        <w:t xml:space="preserve"> outcomes for Q1 2016 participants”, March, </w:t>
      </w:r>
      <w:hyperlink r:id="rId9" w:history="1">
        <w:r w:rsidRPr="00666939">
          <w:rPr>
            <w:rStyle w:val="Hyperlink"/>
            <w:rFonts w:eastAsia="Times New Roman"/>
            <w:color w:val="auto"/>
          </w:rPr>
          <w:t>www.welfare.ie/en/pdf/JobPath_econometric_impact_evaluation_DEASP_working_paper.pdf</w:t>
        </w:r>
      </w:hyperlink>
      <w:r w:rsidRPr="00666939">
        <w:rPr>
          <w:rFonts w:eastAsia="Times New Roman"/>
        </w:rPr>
        <w:t xml:space="preserve"> (or the parent page </w:t>
      </w:r>
      <w:hyperlink r:id="rId10" w:history="1">
        <w:r w:rsidRPr="00666939">
          <w:rPr>
            <w:rStyle w:val="Hyperlink"/>
            <w:rFonts w:eastAsia="Times New Roman"/>
            <w:color w:val="auto"/>
          </w:rPr>
          <w:t>www.gov.ie/en/publication/0939ba-working-paper-evaluation-of-jobpath-outcomes-for-q1-2016-participant</w:t>
        </w:r>
      </w:hyperlink>
      <w:r w:rsidRPr="00666939">
        <w:rPr>
          <w:rFonts w:eastAsia="Times New Roman"/>
        </w:rPr>
        <w:t xml:space="preserve"> which links to </w:t>
      </w:r>
      <w:hyperlink r:id="rId11" w:history="1">
        <w:r w:rsidRPr="00666939">
          <w:rPr>
            <w:rStyle w:val="Hyperlink"/>
            <w:rFonts w:eastAsia="Times New Roman"/>
            <w:color w:val="auto"/>
          </w:rPr>
          <w:t>https://assets.gov.ie/36499/ffdce98cddc34addb05cf41a70aaf4e7.pdf</w:t>
        </w:r>
      </w:hyperlink>
      <w:r w:rsidR="00666939">
        <w:rPr>
          <w:rFonts w:eastAsia="Times New Roman"/>
        </w:rPr>
        <w:t>.</w:t>
      </w:r>
    </w:p>
    <w:p w:rsidR="00666939" w:rsidRPr="00666939" w:rsidRDefault="00666939" w:rsidP="00666939">
      <w:pPr>
        <w:spacing w:after="120" w:line="240" w:lineRule="auto"/>
        <w:rPr>
          <w:rFonts w:eastAsia="Times New Roman"/>
        </w:rPr>
      </w:pPr>
      <w:proofErr w:type="spellStart"/>
      <w:proofErr w:type="gramStart"/>
      <w:r>
        <w:rPr>
          <w:rFonts w:eastAsia="Times New Roman"/>
        </w:rPr>
        <w:t>Vikstrom</w:t>
      </w:r>
      <w:proofErr w:type="spellEnd"/>
      <w:r>
        <w:rPr>
          <w:rFonts w:eastAsia="Times New Roman"/>
        </w:rPr>
        <w:t>, J. (2017), “</w:t>
      </w:r>
      <w:r w:rsidRPr="00666939">
        <w:rPr>
          <w:rFonts w:eastAsia="Times New Roman"/>
        </w:rPr>
        <w:t>Dynamic treatment assignment and evaluation of acti</w:t>
      </w:r>
      <w:r>
        <w:rPr>
          <w:rFonts w:eastAsia="Times New Roman"/>
        </w:rPr>
        <w:t xml:space="preserve">ve </w:t>
      </w:r>
      <w:proofErr w:type="spellStart"/>
      <w:r>
        <w:rPr>
          <w:rFonts w:eastAsia="Times New Roman"/>
        </w:rPr>
        <w:t>labor</w:t>
      </w:r>
      <w:proofErr w:type="spellEnd"/>
      <w:r>
        <w:rPr>
          <w:rFonts w:eastAsia="Times New Roman"/>
        </w:rPr>
        <w:t xml:space="preserve"> market </w:t>
      </w:r>
      <w:r w:rsidRPr="00666939">
        <w:rPr>
          <w:rFonts w:eastAsia="Times New Roman"/>
        </w:rPr>
        <w:t>policies</w:t>
      </w:r>
      <w:r>
        <w:rPr>
          <w:rFonts w:eastAsia="Times New Roman"/>
        </w:rPr>
        <w:t xml:space="preserve">”, Labour Economics 49, pp. </w:t>
      </w:r>
      <w:r w:rsidRPr="00666939">
        <w:rPr>
          <w:rFonts w:eastAsia="Times New Roman"/>
        </w:rPr>
        <w:t>42–54</w:t>
      </w:r>
      <w:r>
        <w:rPr>
          <w:rFonts w:eastAsia="Times New Roman"/>
        </w:rPr>
        <w:t xml:space="preserve">, </w:t>
      </w:r>
      <w:hyperlink r:id="rId12" w:history="1">
        <w:r w:rsidRPr="00E81038">
          <w:rPr>
            <w:rStyle w:val="Hyperlink"/>
            <w:rFonts w:eastAsia="Times New Roman"/>
          </w:rPr>
          <w:t>https://faculty.smu.edu/millimet/classes/eco7377/papers/vikstrom%202017.pdf</w:t>
        </w:r>
      </w:hyperlink>
      <w:r>
        <w:rPr>
          <w:rFonts w:eastAsia="Times New Roman"/>
        </w:rPr>
        <w:t>.</w:t>
      </w:r>
      <w:proofErr w:type="gramEnd"/>
    </w:p>
    <w:sectPr w:rsidR="00666939" w:rsidRPr="00666939" w:rsidSect="00B25521">
      <w:footerReference w:type="default" r:id="rId13"/>
      <w:pgSz w:w="11906" w:h="16838"/>
      <w:pgMar w:top="1191" w:right="1021" w:bottom="119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0F" w:rsidRDefault="00F3030F" w:rsidP="001013C0">
      <w:pPr>
        <w:spacing w:after="0" w:line="240" w:lineRule="auto"/>
      </w:pPr>
      <w:r>
        <w:separator/>
      </w:r>
    </w:p>
  </w:endnote>
  <w:endnote w:type="continuationSeparator" w:id="0">
    <w:p w:rsidR="00F3030F" w:rsidRDefault="00F3030F" w:rsidP="0010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429987"/>
      <w:docPartObj>
        <w:docPartGallery w:val="Page Numbers (Bottom of Page)"/>
        <w:docPartUnique/>
      </w:docPartObj>
    </w:sdtPr>
    <w:sdtEndPr>
      <w:rPr>
        <w:noProof/>
      </w:rPr>
    </w:sdtEndPr>
    <w:sdtContent>
      <w:p w:rsidR="00551109" w:rsidRDefault="00551109">
        <w:pPr>
          <w:pStyle w:val="Footer"/>
          <w:jc w:val="right"/>
        </w:pPr>
        <w:r>
          <w:fldChar w:fldCharType="begin"/>
        </w:r>
        <w:r>
          <w:instrText xml:space="preserve"> PAGE   \* MERGEFORMAT </w:instrText>
        </w:r>
        <w:r>
          <w:fldChar w:fldCharType="separate"/>
        </w:r>
        <w:r w:rsidR="009E24F7">
          <w:rPr>
            <w:noProof/>
          </w:rPr>
          <w:t>5</w:t>
        </w:r>
        <w:r>
          <w:rPr>
            <w:noProof/>
          </w:rPr>
          <w:fldChar w:fldCharType="end"/>
        </w:r>
      </w:p>
    </w:sdtContent>
  </w:sdt>
  <w:p w:rsidR="00551109" w:rsidRDefault="00551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0F" w:rsidRDefault="00F3030F" w:rsidP="001013C0">
      <w:pPr>
        <w:spacing w:after="0" w:line="240" w:lineRule="auto"/>
      </w:pPr>
      <w:r>
        <w:separator/>
      </w:r>
    </w:p>
  </w:footnote>
  <w:footnote w:type="continuationSeparator" w:id="0">
    <w:p w:rsidR="00F3030F" w:rsidRDefault="00F3030F" w:rsidP="001013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B97"/>
    <w:multiLevelType w:val="hybridMultilevel"/>
    <w:tmpl w:val="9362C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7684A"/>
    <w:multiLevelType w:val="hybridMultilevel"/>
    <w:tmpl w:val="3BF21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4DED"/>
    <w:multiLevelType w:val="hybridMultilevel"/>
    <w:tmpl w:val="7BC00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4B424E"/>
    <w:multiLevelType w:val="hybridMultilevel"/>
    <w:tmpl w:val="F3EAD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8293151"/>
    <w:multiLevelType w:val="hybridMultilevel"/>
    <w:tmpl w:val="386A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D00469"/>
    <w:multiLevelType w:val="hybridMultilevel"/>
    <w:tmpl w:val="C40A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428CF"/>
    <w:multiLevelType w:val="hybridMultilevel"/>
    <w:tmpl w:val="6DFAA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584527"/>
    <w:multiLevelType w:val="hybridMultilevel"/>
    <w:tmpl w:val="63ECEC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4FC54D6"/>
    <w:multiLevelType w:val="hybridMultilevel"/>
    <w:tmpl w:val="D242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7123ED"/>
    <w:multiLevelType w:val="hybridMultilevel"/>
    <w:tmpl w:val="A6081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5B5425"/>
    <w:multiLevelType w:val="hybridMultilevel"/>
    <w:tmpl w:val="9E7CA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E40B0C"/>
    <w:multiLevelType w:val="hybridMultilevel"/>
    <w:tmpl w:val="DD1A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5F6058"/>
    <w:multiLevelType w:val="hybridMultilevel"/>
    <w:tmpl w:val="B212D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7A1324"/>
    <w:multiLevelType w:val="hybridMultilevel"/>
    <w:tmpl w:val="FA22A6C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C16792C"/>
    <w:multiLevelType w:val="hybridMultilevel"/>
    <w:tmpl w:val="CC601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466068"/>
    <w:multiLevelType w:val="hybridMultilevel"/>
    <w:tmpl w:val="A378D5E4"/>
    <w:lvl w:ilvl="0" w:tplc="060A102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35121B"/>
    <w:multiLevelType w:val="hybridMultilevel"/>
    <w:tmpl w:val="AA5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DB1028"/>
    <w:multiLevelType w:val="hybridMultilevel"/>
    <w:tmpl w:val="8A5EDFB2"/>
    <w:lvl w:ilvl="0" w:tplc="060A1024">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FB25C4"/>
    <w:multiLevelType w:val="hybridMultilevel"/>
    <w:tmpl w:val="0B82F2E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num>
  <w:num w:numId="2">
    <w:abstractNumId w:val="17"/>
  </w:num>
  <w:num w:numId="3">
    <w:abstractNumId w:val="15"/>
  </w:num>
  <w:num w:numId="4">
    <w:abstractNumId w:val="12"/>
  </w:num>
  <w:num w:numId="5">
    <w:abstractNumId w:val="16"/>
  </w:num>
  <w:num w:numId="6">
    <w:abstractNumId w:val="5"/>
  </w:num>
  <w:num w:numId="7">
    <w:abstractNumId w:val="11"/>
  </w:num>
  <w:num w:numId="8">
    <w:abstractNumId w:val="4"/>
  </w:num>
  <w:num w:numId="9">
    <w:abstractNumId w:val="0"/>
  </w:num>
  <w:num w:numId="10">
    <w:abstractNumId w:val="1"/>
  </w:num>
  <w:num w:numId="11">
    <w:abstractNumId w:val="2"/>
  </w:num>
  <w:num w:numId="12">
    <w:abstractNumId w:val="10"/>
  </w:num>
  <w:num w:numId="13">
    <w:abstractNumId w:val="6"/>
  </w:num>
  <w:num w:numId="14">
    <w:abstractNumId w:val="3"/>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7"/>
  </w:num>
  <w:num w:numId="18">
    <w:abstractNumId w:val="1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41"/>
    <w:rsid w:val="00005E25"/>
    <w:rsid w:val="00026CE5"/>
    <w:rsid w:val="00043284"/>
    <w:rsid w:val="000526D4"/>
    <w:rsid w:val="00064629"/>
    <w:rsid w:val="000837B5"/>
    <w:rsid w:val="000D0296"/>
    <w:rsid w:val="000D35F9"/>
    <w:rsid w:val="001013C0"/>
    <w:rsid w:val="001058C8"/>
    <w:rsid w:val="00111E91"/>
    <w:rsid w:val="00122552"/>
    <w:rsid w:val="00177E37"/>
    <w:rsid w:val="001A5041"/>
    <w:rsid w:val="001B5AA3"/>
    <w:rsid w:val="001D1ADE"/>
    <w:rsid w:val="001D5670"/>
    <w:rsid w:val="001F3F60"/>
    <w:rsid w:val="002155D8"/>
    <w:rsid w:val="002236E2"/>
    <w:rsid w:val="00250765"/>
    <w:rsid w:val="00257628"/>
    <w:rsid w:val="00267805"/>
    <w:rsid w:val="00273D3D"/>
    <w:rsid w:val="0029520D"/>
    <w:rsid w:val="002A69E4"/>
    <w:rsid w:val="002B3243"/>
    <w:rsid w:val="002B59F5"/>
    <w:rsid w:val="002E12EC"/>
    <w:rsid w:val="002E417A"/>
    <w:rsid w:val="003378D0"/>
    <w:rsid w:val="003405B4"/>
    <w:rsid w:val="00362180"/>
    <w:rsid w:val="00365DD1"/>
    <w:rsid w:val="00373F17"/>
    <w:rsid w:val="00382A40"/>
    <w:rsid w:val="003C7DE4"/>
    <w:rsid w:val="003D678C"/>
    <w:rsid w:val="003D6E18"/>
    <w:rsid w:val="003E34EB"/>
    <w:rsid w:val="0043329C"/>
    <w:rsid w:val="004759AD"/>
    <w:rsid w:val="0048398D"/>
    <w:rsid w:val="00483AA7"/>
    <w:rsid w:val="004A3E3B"/>
    <w:rsid w:val="004C5A43"/>
    <w:rsid w:val="004D787C"/>
    <w:rsid w:val="00522583"/>
    <w:rsid w:val="00524BBE"/>
    <w:rsid w:val="005367AA"/>
    <w:rsid w:val="00551109"/>
    <w:rsid w:val="005658AA"/>
    <w:rsid w:val="005769BE"/>
    <w:rsid w:val="005A5A6B"/>
    <w:rsid w:val="005B70E6"/>
    <w:rsid w:val="005D5290"/>
    <w:rsid w:val="005F5035"/>
    <w:rsid w:val="005F6BC9"/>
    <w:rsid w:val="00604872"/>
    <w:rsid w:val="00612272"/>
    <w:rsid w:val="00622312"/>
    <w:rsid w:val="0062290B"/>
    <w:rsid w:val="00630685"/>
    <w:rsid w:val="00631C5B"/>
    <w:rsid w:val="00645E19"/>
    <w:rsid w:val="006520EB"/>
    <w:rsid w:val="006612B6"/>
    <w:rsid w:val="00666939"/>
    <w:rsid w:val="00674DB7"/>
    <w:rsid w:val="006827C5"/>
    <w:rsid w:val="00695DF9"/>
    <w:rsid w:val="006A7DAF"/>
    <w:rsid w:val="006C3912"/>
    <w:rsid w:val="006C5C8B"/>
    <w:rsid w:val="006D733E"/>
    <w:rsid w:val="006E0CAE"/>
    <w:rsid w:val="006F33F7"/>
    <w:rsid w:val="007238CF"/>
    <w:rsid w:val="00736D56"/>
    <w:rsid w:val="00741B1B"/>
    <w:rsid w:val="007564A5"/>
    <w:rsid w:val="00771312"/>
    <w:rsid w:val="007900A1"/>
    <w:rsid w:val="007916A0"/>
    <w:rsid w:val="007B409F"/>
    <w:rsid w:val="007D0091"/>
    <w:rsid w:val="007D3F8E"/>
    <w:rsid w:val="007D6B49"/>
    <w:rsid w:val="007D7B43"/>
    <w:rsid w:val="007F314F"/>
    <w:rsid w:val="008079C7"/>
    <w:rsid w:val="00842597"/>
    <w:rsid w:val="00842D55"/>
    <w:rsid w:val="00860675"/>
    <w:rsid w:val="008646D2"/>
    <w:rsid w:val="008853DB"/>
    <w:rsid w:val="008863DD"/>
    <w:rsid w:val="00886F1E"/>
    <w:rsid w:val="008A41A3"/>
    <w:rsid w:val="008B1D4E"/>
    <w:rsid w:val="008B4526"/>
    <w:rsid w:val="008C3B5E"/>
    <w:rsid w:val="008D416A"/>
    <w:rsid w:val="0090798B"/>
    <w:rsid w:val="00931276"/>
    <w:rsid w:val="00932CA9"/>
    <w:rsid w:val="00941E55"/>
    <w:rsid w:val="009453EB"/>
    <w:rsid w:val="009565B1"/>
    <w:rsid w:val="00964B34"/>
    <w:rsid w:val="009665B7"/>
    <w:rsid w:val="00982742"/>
    <w:rsid w:val="009832A4"/>
    <w:rsid w:val="009A1FBD"/>
    <w:rsid w:val="009A2FC6"/>
    <w:rsid w:val="009C66EF"/>
    <w:rsid w:val="009D416C"/>
    <w:rsid w:val="009E24F7"/>
    <w:rsid w:val="009E5CC8"/>
    <w:rsid w:val="00A16FF6"/>
    <w:rsid w:val="00A77FD3"/>
    <w:rsid w:val="00A860EA"/>
    <w:rsid w:val="00A92F0B"/>
    <w:rsid w:val="00A975E2"/>
    <w:rsid w:val="00AA6F7C"/>
    <w:rsid w:val="00AB2DBA"/>
    <w:rsid w:val="00B25521"/>
    <w:rsid w:val="00B45AA1"/>
    <w:rsid w:val="00B55FAA"/>
    <w:rsid w:val="00B6768C"/>
    <w:rsid w:val="00B872A3"/>
    <w:rsid w:val="00B9100E"/>
    <w:rsid w:val="00B949BF"/>
    <w:rsid w:val="00BA3790"/>
    <w:rsid w:val="00BC68E5"/>
    <w:rsid w:val="00BD6997"/>
    <w:rsid w:val="00BE18D5"/>
    <w:rsid w:val="00C10542"/>
    <w:rsid w:val="00C12225"/>
    <w:rsid w:val="00C1236D"/>
    <w:rsid w:val="00C301BF"/>
    <w:rsid w:val="00C36331"/>
    <w:rsid w:val="00C47A8B"/>
    <w:rsid w:val="00C57FEA"/>
    <w:rsid w:val="00C61CEE"/>
    <w:rsid w:val="00C83B82"/>
    <w:rsid w:val="00C92C53"/>
    <w:rsid w:val="00CA4595"/>
    <w:rsid w:val="00CA4E5B"/>
    <w:rsid w:val="00CC1C8E"/>
    <w:rsid w:val="00CC55BF"/>
    <w:rsid w:val="00CC6E64"/>
    <w:rsid w:val="00CE01F6"/>
    <w:rsid w:val="00CE5D1A"/>
    <w:rsid w:val="00CF4722"/>
    <w:rsid w:val="00D06321"/>
    <w:rsid w:val="00D116ED"/>
    <w:rsid w:val="00D219D8"/>
    <w:rsid w:val="00D32098"/>
    <w:rsid w:val="00D7288A"/>
    <w:rsid w:val="00DB2EDF"/>
    <w:rsid w:val="00DB73FC"/>
    <w:rsid w:val="00DD28F8"/>
    <w:rsid w:val="00DE0280"/>
    <w:rsid w:val="00E5069B"/>
    <w:rsid w:val="00E53BBF"/>
    <w:rsid w:val="00E60425"/>
    <w:rsid w:val="00E63DCA"/>
    <w:rsid w:val="00E67744"/>
    <w:rsid w:val="00E70E26"/>
    <w:rsid w:val="00E712DE"/>
    <w:rsid w:val="00E74930"/>
    <w:rsid w:val="00E826DC"/>
    <w:rsid w:val="00E8271C"/>
    <w:rsid w:val="00E87F39"/>
    <w:rsid w:val="00E94C4C"/>
    <w:rsid w:val="00EA296F"/>
    <w:rsid w:val="00EB1D4A"/>
    <w:rsid w:val="00EB41D1"/>
    <w:rsid w:val="00EC236C"/>
    <w:rsid w:val="00ED14E0"/>
    <w:rsid w:val="00F06C73"/>
    <w:rsid w:val="00F136E0"/>
    <w:rsid w:val="00F27E7A"/>
    <w:rsid w:val="00F3030F"/>
    <w:rsid w:val="00F5007A"/>
    <w:rsid w:val="00F526E7"/>
    <w:rsid w:val="00F57357"/>
    <w:rsid w:val="00F6751C"/>
    <w:rsid w:val="00F83824"/>
    <w:rsid w:val="00F87A16"/>
    <w:rsid w:val="00FA221A"/>
    <w:rsid w:val="00FB283B"/>
    <w:rsid w:val="00FC4388"/>
    <w:rsid w:val="00FD1A95"/>
    <w:rsid w:val="00FD38A3"/>
    <w:rsid w:val="00FD4474"/>
    <w:rsid w:val="00FE1B3A"/>
    <w:rsid w:val="00FF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1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453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2D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079C7"/>
    <w:pPr>
      <w:ind w:left="720"/>
      <w:contextualSpacing/>
    </w:pPr>
  </w:style>
  <w:style w:type="paragraph" w:styleId="BalloonText">
    <w:name w:val="Balloon Text"/>
    <w:basedOn w:val="Normal"/>
    <w:link w:val="BalloonTextChar"/>
    <w:uiPriority w:val="99"/>
    <w:semiHidden/>
    <w:unhideWhenUsed/>
    <w:rsid w:val="008C3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5E"/>
    <w:rPr>
      <w:rFonts w:ascii="Tahoma" w:hAnsi="Tahoma" w:cs="Tahoma"/>
      <w:sz w:val="16"/>
      <w:szCs w:val="16"/>
    </w:rPr>
  </w:style>
  <w:style w:type="character" w:styleId="Hyperlink">
    <w:name w:val="Hyperlink"/>
    <w:basedOn w:val="DefaultParagraphFont"/>
    <w:uiPriority w:val="99"/>
    <w:unhideWhenUsed/>
    <w:rsid w:val="005A5A6B"/>
    <w:rPr>
      <w:color w:val="0000FF"/>
      <w:u w:val="single"/>
    </w:rPr>
  </w:style>
  <w:style w:type="character" w:customStyle="1" w:styleId="Heading5Char">
    <w:name w:val="Heading 5 Char"/>
    <w:basedOn w:val="DefaultParagraphFont"/>
    <w:link w:val="Heading5"/>
    <w:uiPriority w:val="9"/>
    <w:rsid w:val="009453EB"/>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9453EB"/>
    <w:pPr>
      <w:spacing w:after="100"/>
      <w:ind w:left="220"/>
    </w:pPr>
  </w:style>
  <w:style w:type="paragraph" w:styleId="TOC3">
    <w:name w:val="toc 3"/>
    <w:basedOn w:val="Normal"/>
    <w:next w:val="Normal"/>
    <w:autoRedefine/>
    <w:uiPriority w:val="39"/>
    <w:unhideWhenUsed/>
    <w:rsid w:val="009453EB"/>
    <w:pPr>
      <w:spacing w:after="100"/>
      <w:ind w:left="440"/>
    </w:pPr>
  </w:style>
  <w:style w:type="paragraph" w:styleId="TOC4">
    <w:name w:val="toc 4"/>
    <w:basedOn w:val="Normal"/>
    <w:next w:val="Normal"/>
    <w:autoRedefine/>
    <w:uiPriority w:val="39"/>
    <w:unhideWhenUsed/>
    <w:rsid w:val="009453EB"/>
    <w:pPr>
      <w:spacing w:after="100"/>
      <w:ind w:left="660"/>
    </w:pPr>
  </w:style>
  <w:style w:type="paragraph" w:styleId="TOC5">
    <w:name w:val="toc 5"/>
    <w:basedOn w:val="Normal"/>
    <w:next w:val="Normal"/>
    <w:autoRedefine/>
    <w:uiPriority w:val="39"/>
    <w:unhideWhenUsed/>
    <w:rsid w:val="009453EB"/>
    <w:pPr>
      <w:spacing w:after="100"/>
      <w:ind w:left="880"/>
    </w:pPr>
  </w:style>
  <w:style w:type="paragraph" w:styleId="Header">
    <w:name w:val="header"/>
    <w:basedOn w:val="Normal"/>
    <w:link w:val="HeaderChar"/>
    <w:uiPriority w:val="99"/>
    <w:unhideWhenUsed/>
    <w:rsid w:val="00101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C0"/>
  </w:style>
  <w:style w:type="paragraph" w:styleId="Footer">
    <w:name w:val="footer"/>
    <w:basedOn w:val="Normal"/>
    <w:link w:val="FooterChar"/>
    <w:uiPriority w:val="99"/>
    <w:unhideWhenUsed/>
    <w:rsid w:val="00101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1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453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2D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079C7"/>
    <w:pPr>
      <w:ind w:left="720"/>
      <w:contextualSpacing/>
    </w:pPr>
  </w:style>
  <w:style w:type="paragraph" w:styleId="BalloonText">
    <w:name w:val="Balloon Text"/>
    <w:basedOn w:val="Normal"/>
    <w:link w:val="BalloonTextChar"/>
    <w:uiPriority w:val="99"/>
    <w:semiHidden/>
    <w:unhideWhenUsed/>
    <w:rsid w:val="008C3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5E"/>
    <w:rPr>
      <w:rFonts w:ascii="Tahoma" w:hAnsi="Tahoma" w:cs="Tahoma"/>
      <w:sz w:val="16"/>
      <w:szCs w:val="16"/>
    </w:rPr>
  </w:style>
  <w:style w:type="character" w:styleId="Hyperlink">
    <w:name w:val="Hyperlink"/>
    <w:basedOn w:val="DefaultParagraphFont"/>
    <w:uiPriority w:val="99"/>
    <w:unhideWhenUsed/>
    <w:rsid w:val="005A5A6B"/>
    <w:rPr>
      <w:color w:val="0000FF"/>
      <w:u w:val="single"/>
    </w:rPr>
  </w:style>
  <w:style w:type="character" w:customStyle="1" w:styleId="Heading5Char">
    <w:name w:val="Heading 5 Char"/>
    <w:basedOn w:val="DefaultParagraphFont"/>
    <w:link w:val="Heading5"/>
    <w:uiPriority w:val="9"/>
    <w:rsid w:val="009453EB"/>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9453EB"/>
    <w:pPr>
      <w:spacing w:after="100"/>
      <w:ind w:left="220"/>
    </w:pPr>
  </w:style>
  <w:style w:type="paragraph" w:styleId="TOC3">
    <w:name w:val="toc 3"/>
    <w:basedOn w:val="Normal"/>
    <w:next w:val="Normal"/>
    <w:autoRedefine/>
    <w:uiPriority w:val="39"/>
    <w:unhideWhenUsed/>
    <w:rsid w:val="009453EB"/>
    <w:pPr>
      <w:spacing w:after="100"/>
      <w:ind w:left="440"/>
    </w:pPr>
  </w:style>
  <w:style w:type="paragraph" w:styleId="TOC4">
    <w:name w:val="toc 4"/>
    <w:basedOn w:val="Normal"/>
    <w:next w:val="Normal"/>
    <w:autoRedefine/>
    <w:uiPriority w:val="39"/>
    <w:unhideWhenUsed/>
    <w:rsid w:val="009453EB"/>
    <w:pPr>
      <w:spacing w:after="100"/>
      <w:ind w:left="660"/>
    </w:pPr>
  </w:style>
  <w:style w:type="paragraph" w:styleId="TOC5">
    <w:name w:val="toc 5"/>
    <w:basedOn w:val="Normal"/>
    <w:next w:val="Normal"/>
    <w:autoRedefine/>
    <w:uiPriority w:val="39"/>
    <w:unhideWhenUsed/>
    <w:rsid w:val="009453EB"/>
    <w:pPr>
      <w:spacing w:after="100"/>
      <w:ind w:left="880"/>
    </w:pPr>
  </w:style>
  <w:style w:type="paragraph" w:styleId="Header">
    <w:name w:val="header"/>
    <w:basedOn w:val="Normal"/>
    <w:link w:val="HeaderChar"/>
    <w:uiPriority w:val="99"/>
    <w:unhideWhenUsed/>
    <w:rsid w:val="00101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C0"/>
  </w:style>
  <w:style w:type="paragraph" w:styleId="Footer">
    <w:name w:val="footer"/>
    <w:basedOn w:val="Normal"/>
    <w:link w:val="FooterChar"/>
    <w:uiPriority w:val="99"/>
    <w:unhideWhenUsed/>
    <w:rsid w:val="00101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6351">
      <w:bodyDiv w:val="1"/>
      <w:marLeft w:val="0"/>
      <w:marRight w:val="0"/>
      <w:marTop w:val="0"/>
      <w:marBottom w:val="0"/>
      <w:divBdr>
        <w:top w:val="none" w:sz="0" w:space="0" w:color="auto"/>
        <w:left w:val="none" w:sz="0" w:space="0" w:color="auto"/>
        <w:bottom w:val="none" w:sz="0" w:space="0" w:color="auto"/>
        <w:right w:val="none" w:sz="0" w:space="0" w:color="auto"/>
      </w:divBdr>
    </w:div>
    <w:div w:id="1413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faculty.smu.edu/millimet/classes/eco7377/papers/vikstrom%2020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sets.gov.ie/36499/ffdce98cddc34addb05cf41a70aaf4e7.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v.ie/en/publication/0939ba-working-paper-evaluation-of-jobpath-outcomes-for-q1-2016-participant" TargetMode="External"/><Relationship Id="rId4" Type="http://schemas.microsoft.com/office/2007/relationships/stylesWithEffects" Target="stylesWithEffects.xml"/><Relationship Id="rId9" Type="http://schemas.openxmlformats.org/officeDocument/2006/relationships/hyperlink" Target="http://www.welfare.ie/en/pdf/JobPath_econometric_impact_evaluation_DEASP_working_pape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7CCC-9364-4DF3-A484-6CDF8FF2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Grubb</dc:creator>
  <cp:lastModifiedBy>David Grubb</cp:lastModifiedBy>
  <cp:revision>8</cp:revision>
  <cp:lastPrinted>2020-02-25T12:26:00Z</cp:lastPrinted>
  <dcterms:created xsi:type="dcterms:W3CDTF">2020-02-23T20:20:00Z</dcterms:created>
  <dcterms:modified xsi:type="dcterms:W3CDTF">2020-02-25T14:05:00Z</dcterms:modified>
</cp:coreProperties>
</file>