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30419" w14:textId="77777777" w:rsidR="000E0FC4" w:rsidRPr="00B27AA8" w:rsidRDefault="000E0FC4">
      <w:pPr>
        <w:rPr>
          <w:rFonts w:ascii="Arial" w:hAnsi="Arial" w:cs="Arial"/>
          <w:sz w:val="20"/>
          <w:szCs w:val="20"/>
        </w:rPr>
      </w:pPr>
    </w:p>
    <w:tbl>
      <w:tblPr>
        <w:tblW w:w="15021" w:type="dxa"/>
        <w:tblLook w:val="04A0" w:firstRow="1" w:lastRow="0" w:firstColumn="1" w:lastColumn="0" w:noHBand="0" w:noVBand="1"/>
      </w:tblPr>
      <w:tblGrid>
        <w:gridCol w:w="439"/>
        <w:gridCol w:w="3043"/>
        <w:gridCol w:w="5444"/>
        <w:gridCol w:w="2810"/>
        <w:gridCol w:w="3285"/>
      </w:tblGrid>
      <w:tr w:rsidR="00782CC2" w:rsidRPr="00B27AA8" w14:paraId="40FF1B76" w14:textId="77777777" w:rsidTr="00B27AA8">
        <w:trPr>
          <w:trHeight w:val="260"/>
        </w:trPr>
        <w:tc>
          <w:tcPr>
            <w:tcW w:w="439" w:type="dxa"/>
            <w:tcBorders>
              <w:top w:val="single" w:sz="4" w:space="0" w:color="auto"/>
              <w:bottom w:val="single" w:sz="4" w:space="0" w:color="auto"/>
            </w:tcBorders>
            <w:noWrap/>
            <w:hideMark/>
          </w:tcPr>
          <w:p w14:paraId="51E10DBF" w14:textId="77777777" w:rsidR="00782CC2" w:rsidRPr="00B27AA8" w:rsidRDefault="00782CC2" w:rsidP="00B27AA8">
            <w:pPr>
              <w:spacing w:before="120" w:after="120"/>
              <w:jc w:val="center"/>
              <w:rPr>
                <w:rFonts w:ascii="Arial" w:eastAsia="Times New Roman" w:hAnsi="Arial" w:cs="Arial"/>
                <w:b/>
                <w:sz w:val="20"/>
                <w:szCs w:val="20"/>
                <w:lang w:eastAsia="en-GB"/>
              </w:rPr>
            </w:pPr>
          </w:p>
        </w:tc>
        <w:tc>
          <w:tcPr>
            <w:tcW w:w="3043" w:type="dxa"/>
            <w:tcBorders>
              <w:top w:val="single" w:sz="4" w:space="0" w:color="auto"/>
              <w:bottom w:val="single" w:sz="4" w:space="0" w:color="auto"/>
            </w:tcBorders>
            <w:hideMark/>
          </w:tcPr>
          <w:p w14:paraId="41D929FC" w14:textId="77777777" w:rsidR="00782CC2" w:rsidRPr="00B27AA8" w:rsidRDefault="00782CC2" w:rsidP="00B27AA8">
            <w:pPr>
              <w:spacing w:before="120" w:after="120"/>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Technology</w:t>
            </w:r>
          </w:p>
        </w:tc>
        <w:tc>
          <w:tcPr>
            <w:tcW w:w="5444" w:type="dxa"/>
            <w:tcBorders>
              <w:top w:val="single" w:sz="4" w:space="0" w:color="auto"/>
              <w:bottom w:val="single" w:sz="4" w:space="0" w:color="auto"/>
            </w:tcBorders>
            <w:noWrap/>
            <w:hideMark/>
          </w:tcPr>
          <w:p w14:paraId="432C7AF8" w14:textId="77777777" w:rsidR="00782CC2" w:rsidRPr="00B27AA8" w:rsidRDefault="00782CC2" w:rsidP="00B27AA8">
            <w:pPr>
              <w:spacing w:before="120" w:after="120"/>
              <w:jc w:val="center"/>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Explanation</w:t>
            </w:r>
          </w:p>
        </w:tc>
        <w:tc>
          <w:tcPr>
            <w:tcW w:w="2810" w:type="dxa"/>
            <w:tcBorders>
              <w:top w:val="single" w:sz="4" w:space="0" w:color="auto"/>
              <w:bottom w:val="single" w:sz="4" w:space="0" w:color="auto"/>
            </w:tcBorders>
            <w:noWrap/>
            <w:hideMark/>
          </w:tcPr>
          <w:p w14:paraId="1C764E71" w14:textId="77777777" w:rsidR="00782CC2" w:rsidRPr="00B27AA8" w:rsidRDefault="00782CC2" w:rsidP="00B27AA8">
            <w:pPr>
              <w:spacing w:before="120" w:after="120"/>
              <w:jc w:val="center"/>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Examples</w:t>
            </w:r>
          </w:p>
        </w:tc>
        <w:tc>
          <w:tcPr>
            <w:tcW w:w="3285" w:type="dxa"/>
            <w:tcBorders>
              <w:top w:val="single" w:sz="4" w:space="0" w:color="auto"/>
              <w:bottom w:val="single" w:sz="4" w:space="0" w:color="auto"/>
            </w:tcBorders>
            <w:noWrap/>
            <w:hideMark/>
          </w:tcPr>
          <w:p w14:paraId="01AC106F" w14:textId="77777777" w:rsidR="00782CC2" w:rsidRPr="00B27AA8" w:rsidRDefault="00782CC2" w:rsidP="00B27AA8">
            <w:pPr>
              <w:spacing w:before="120" w:after="120"/>
              <w:jc w:val="center"/>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Key references</w:t>
            </w:r>
          </w:p>
        </w:tc>
      </w:tr>
      <w:tr w:rsidR="00730A49" w:rsidRPr="00B27AA8" w14:paraId="23382411" w14:textId="77777777" w:rsidTr="00B27AA8">
        <w:trPr>
          <w:trHeight w:val="250"/>
        </w:trPr>
        <w:tc>
          <w:tcPr>
            <w:tcW w:w="439" w:type="dxa"/>
            <w:noWrap/>
          </w:tcPr>
          <w:p w14:paraId="60706CEB" w14:textId="737572A0" w:rsidR="00730A49" w:rsidRPr="00B27AA8" w:rsidRDefault="00561A60" w:rsidP="00C93CB9">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1</w:t>
            </w:r>
          </w:p>
        </w:tc>
        <w:tc>
          <w:tcPr>
            <w:tcW w:w="3043" w:type="dxa"/>
            <w:hideMark/>
          </w:tcPr>
          <w:p w14:paraId="540F6B55"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Biohacking</w:t>
            </w:r>
          </w:p>
        </w:tc>
        <w:tc>
          <w:tcPr>
            <w:tcW w:w="5444" w:type="dxa"/>
            <w:noWrap/>
            <w:hideMark/>
          </w:tcPr>
          <w:p w14:paraId="6E956E4C" w14:textId="075540A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hAnsi="Arial" w:cs="Arial"/>
                <w:sz w:val="20"/>
                <w:szCs w:val="20"/>
              </w:rPr>
              <w:t>D.I.Y., citizen-science, biological investigations and interventions</w:t>
            </w:r>
          </w:p>
        </w:tc>
        <w:tc>
          <w:tcPr>
            <w:tcW w:w="2810" w:type="dxa"/>
            <w:noWrap/>
            <w:hideMark/>
          </w:tcPr>
          <w:p w14:paraId="75B55251" w14:textId="7E9D12AC" w:rsidR="00730A49" w:rsidRPr="00B27AA8" w:rsidRDefault="00730A49"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General </w:t>
            </w:r>
            <w:r w:rsidRPr="00B27AA8">
              <w:rPr>
                <w:rFonts w:ascii="Arial" w:hAnsi="Arial" w:cs="Arial"/>
                <w:sz w:val="20"/>
                <w:szCs w:val="20"/>
              </w:rPr>
              <w:t xml:space="preserve">healthcare </w:t>
            </w:r>
            <w:r w:rsidRPr="00B27AA8">
              <w:rPr>
                <w:rFonts w:ascii="Arial" w:eastAsia="Times New Roman" w:hAnsi="Arial" w:cs="Arial"/>
                <w:sz w:val="20"/>
                <w:szCs w:val="20"/>
                <w:lang w:eastAsia="en-GB"/>
              </w:rPr>
              <w:t xml:space="preserve">examples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{"citationItems":[{"id":"ITEM-1","itemData":{"DOI":"10.2139/ssrn.3490006","author":[{"dropping-particle":"","family":"Zettler","given":"Patricia J.","non-dropping-particle":"","parse-names":false,"suffix":""},{"dropping-particle":"","family":"Guerrini","given":"Christi J.","non-dropping-particle":"","parse-names":false,"suffix":""},{"dropping-particle":"","family":"Sherkow","given":"Jacob S.","non-dropping-particle":"","parse-names":false,"suffix":""}],"container-title":"Consuming Genetic Technologies: Ethical and Legal Considerations","id":"ITEM-1","issued":{"date-parts":[["2019"]]},"title":"Finding a regulatory balance for genetic biohacking","type":"article-journal"},"uris":["http://www.mendeley.com/documents/?uuid=77babc6a-831a-4b96-8c4d-f1037511d52b"]}],"mendeley":{"formattedCitation":"(Zettler et al., 2019)","plainTextFormattedCitation":"(Zettler et al., 2019)","previouslyFormattedCitation":"(Zettler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(Zettler et al., 2019)</w:t>
            </w:r>
            <w:r w:rsidRPr="00B27AA8">
              <w:rPr>
                <w:rFonts w:ascii="Arial" w:hAnsi="Arial" w:cs="Arial"/>
                <w:sz w:val="20"/>
                <w:szCs w:val="20"/>
              </w:rPr>
              <w:fldChar w:fldCharType="end"/>
            </w:r>
          </w:p>
        </w:tc>
        <w:tc>
          <w:tcPr>
            <w:tcW w:w="3285" w:type="dxa"/>
            <w:noWrap/>
            <w:hideMark/>
          </w:tcPr>
          <w:p w14:paraId="062D515D" w14:textId="6A8E3140" w:rsidR="00730A49" w:rsidRPr="00B27AA8" w:rsidRDefault="00730A49" w:rsidP="00C93CB9">
            <w:pPr>
              <w:spacing w:before="120" w:after="120"/>
              <w:rPr>
                <w:rFonts w:ascii="Arial" w:hAnsi="Arial" w:cs="Arial"/>
                <w:sz w:val="20"/>
                <w:szCs w:val="20"/>
              </w:rPr>
            </w:pPr>
            <w:r w:rsidRPr="00B27AA8">
              <w:rPr>
                <w:rFonts w:ascii="Arial" w:hAnsi="Arial" w:cs="Arial"/>
                <w:sz w:val="20"/>
                <w:szCs w:val="20"/>
              </w:rPr>
              <w:t xml:space="preserve">An introduction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{"citationItems":[{"id":"ITEM-1","itemData":{"DOI":"10.1016/j.tibtech.2018.02.011","ISSN":"18793096","abstract":"Biohacking is a do-it-yourself citizen science merging body modification with technology. The motivations of biohackers include cybernetic exploration, personal data acquisition, and advocating for privacy rights and open-source medicine. The emergence of a biohacking community has influenced discussions of cultural values, medical ethics, safety, and consent in transhumanist technology.","author":[{"dropping-particle":"","family":"Yetisen","given":"Ali K.","non-dropping-particle":"","parse-names":false,"suffix":""}],"container-title":"Trends in Biotechnology","id":"ITEM-1","issue":"8","issued":{"date-parts":[["2018"]]},"page":"744-747","title":"Biohacking","type":"article-journal","volume":"36"},"uris":["http://www.mendeley.com/documents/?uuid=5eed0764-9f24-4624-9f4f-ac27b157f308"]}],"mendeley":{"formattedCitation":"(Yetisen, 2018)","plainTextFormattedCitation":"(Yetisen, 2018)","previouslyFormattedCitation":"(Yetisen,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(Yetisen, 2018)</w:t>
            </w:r>
            <w:r w:rsidRPr="00B27AA8">
              <w:rPr>
                <w:rFonts w:ascii="Arial" w:hAnsi="Arial" w:cs="Arial"/>
                <w:sz w:val="20"/>
                <w:szCs w:val="20"/>
              </w:rPr>
              <w:fldChar w:fldCharType="end"/>
            </w:r>
          </w:p>
          <w:p w14:paraId="4823DF3E" w14:textId="77777777" w:rsidR="00730A49" w:rsidRPr="00B27AA8" w:rsidRDefault="00730A49" w:rsidP="00C93CB9">
            <w:pPr>
              <w:spacing w:before="120" w:after="120"/>
              <w:rPr>
                <w:rFonts w:ascii="Arial" w:eastAsia="Times New Roman" w:hAnsi="Arial" w:cs="Arial"/>
                <w:sz w:val="20"/>
                <w:szCs w:val="20"/>
                <w:lang w:eastAsia="en-GB"/>
              </w:rPr>
            </w:pPr>
          </w:p>
        </w:tc>
      </w:tr>
      <w:tr w:rsidR="00730A49" w:rsidRPr="00B27AA8" w14:paraId="240A6989" w14:textId="77777777" w:rsidTr="00B27AA8">
        <w:trPr>
          <w:trHeight w:val="250"/>
        </w:trPr>
        <w:tc>
          <w:tcPr>
            <w:tcW w:w="439" w:type="dxa"/>
            <w:shd w:val="clear" w:color="auto" w:fill="D5DCE4" w:themeFill="text2" w:themeFillTint="33"/>
            <w:noWrap/>
          </w:tcPr>
          <w:p w14:paraId="3BCC7226" w14:textId="7BBB5F61" w:rsidR="00730A49" w:rsidRPr="00B27AA8" w:rsidRDefault="00561A60" w:rsidP="00C93CB9">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2</w:t>
            </w:r>
          </w:p>
        </w:tc>
        <w:tc>
          <w:tcPr>
            <w:tcW w:w="3043" w:type="dxa"/>
            <w:shd w:val="clear" w:color="auto" w:fill="D5DCE4" w:themeFill="text2" w:themeFillTint="33"/>
            <w:hideMark/>
          </w:tcPr>
          <w:p w14:paraId="2D43EAB5"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Digital Twin</w:t>
            </w:r>
          </w:p>
        </w:tc>
        <w:tc>
          <w:tcPr>
            <w:tcW w:w="5444" w:type="dxa"/>
            <w:shd w:val="clear" w:color="auto" w:fill="D5DCE4" w:themeFill="text2" w:themeFillTint="33"/>
            <w:noWrap/>
            <w:hideMark/>
          </w:tcPr>
          <w:p w14:paraId="218FDF7F" w14:textId="4BBE59A3"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hAnsi="Arial" w:cs="Arial"/>
                <w:sz w:val="20"/>
                <w:szCs w:val="20"/>
              </w:rPr>
              <w:t>“</w:t>
            </w:r>
            <w:r w:rsidRPr="00B27AA8">
              <w:rPr>
                <w:rFonts w:ascii="Arial" w:hAnsi="Arial" w:cs="Arial"/>
                <w:i/>
                <w:sz w:val="20"/>
                <w:szCs w:val="20"/>
              </w:rPr>
              <w:t>a digital representation of a physical item or assembly using integrated simulations and service data</w:t>
            </w:r>
            <w:r w:rsidRPr="00B27AA8">
              <w:rPr>
                <w:rFonts w:ascii="Arial" w:hAnsi="Arial" w:cs="Arial"/>
                <w:sz w:val="20"/>
                <w:szCs w:val="20"/>
              </w:rPr>
              <w:t xml:space="preserv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{"citationItems":[{"id":"ITEM-1","itemData":{"DOI":"10.1016/j.promfg.2018.10.167","ISSN":"23519789","abstract":"Digital twins are digital representations of physical products or systems that consist of multiple models from various domains describing them on multiple scales. By means of communication, digital twins change and evolve together with their physical counterparts throughout their lifecycle. Domain-specific partial models that make up the digital twin, such as the CAD model or the degradation model, are usually well known and provide accurate descriptions of certain parts of the physical asset. However, in complex systems, the value of integrating the partial models increases because it facilitates the study of their complex behaviours which only emerge from the interactions between various parts of the system. The paper proposes that the partial models of the digital twin share a common model space that integrates them through a definition of their interrelations and acts as a bridge between the digital twin and the physical asset. The approach is illustrated in a case of a mechatronic product - a differential drive mobile robot developed as a testbed for digital twin research. It is demonstrated how the integrated models add value to different stages of the lifecycle, allowing for evaluation of performance in the design stage and real-time reflection with the physical asset during its operation.","author":[{"dropping-particle":"","family":"Vrabič","given":"Rok","non-dropping-particle":"","parse-names":false,"suffix":""},{"dropping-particle":"","family":"Erkoyuncu","given":"John Ahmet","non-dropping-particle":"","parse-names":false,"suffix":""},{"dropping-particle":"","family":"Butala","given":"Peter","non-dropping-particle":"","parse-names":false,"suffix":""},{"dropping-particle":"","family":"Roy","given":"Rajkumar","non-dropping-particle":"","parse-names":false,"suffix":""}],"container-title":"Procedia Manufacturing","id":"ITEM-1","issued":{"date-parts":[["2018"]]},"page":"139-146","publisher":"Elsevier B.V.","title":"Digital twins: Understanding the added value of integrated models for through-life engineering services","type":"article-journal","volume":"16"},"uris":["http://www.mendeley.com/documents/?uuid=5555b45a-a919-41dd-8605-f991517010c6"]}],"mendeley":{"formattedCitation":"(Vrabič et al., 2018)","plainTextFormattedCitation":"(Vrabič et al., 2018)","previouslyFormattedCitation":"(Vrabič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(Vrabič et al., 2018)</w:t>
            </w:r>
            <w:r w:rsidRPr="00B27AA8">
              <w:rPr>
                <w:rFonts w:ascii="Arial" w:hAnsi="Arial" w:cs="Arial"/>
                <w:sz w:val="20"/>
                <w:szCs w:val="20"/>
              </w:rPr>
              <w:fldChar w:fldCharType="end"/>
            </w:r>
          </w:p>
        </w:tc>
        <w:tc>
          <w:tcPr>
            <w:tcW w:w="2810" w:type="dxa"/>
            <w:shd w:val="clear" w:color="auto" w:fill="D5DCE4" w:themeFill="text2" w:themeFillTint="33"/>
            <w:noWrap/>
            <w:hideMark/>
          </w:tcPr>
          <w:p w14:paraId="277DD864" w14:textId="0A2072B3" w:rsidR="00730A49" w:rsidRPr="00B27AA8" w:rsidRDefault="00730A49"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General </w:t>
            </w:r>
            <w:r w:rsidRPr="00B27AA8">
              <w:rPr>
                <w:rFonts w:ascii="Arial" w:hAnsi="Arial" w:cs="Arial"/>
                <w:sz w:val="20"/>
                <w:szCs w:val="20"/>
              </w:rPr>
              <w:t xml:space="preserve">healthcare </w:t>
            </w:r>
            <w:r w:rsidRPr="00B27AA8">
              <w:rPr>
                <w:rFonts w:ascii="Arial" w:eastAsia="Times New Roman" w:hAnsi="Arial" w:cs="Arial"/>
                <w:sz w:val="20"/>
                <w:szCs w:val="20"/>
                <w:lang w:eastAsia="en-GB"/>
              </w:rPr>
              <w:t xml:space="preserve">example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{"citationItems":[{"id":"ITEM-1","itemData":{"author":[{"dropping-particle":"","family":"Angulo","given":"Cecilio","non-dropping-particle":"","parse-names":false,"suffix":""},{"dropping-particle":"","family":"Ortega","given":"Juan Antonio","non-dropping-particle":"","parse-names":false,"suffix":""},{"dropping-particle":"","family":"Gonzalez-Abril","given":"Luis","non-dropping-particle":"","parse-names":false,"suffix":""}],"container-title":"Artificial Intelligence Research and Development: Proceedings of the 22nd International Conference of the Catalan Association for Artificial Intelligence","editor":[{"dropping-particle":"","family":"Sabater-Mir","given":"J.","non-dropping-particle":"","parse-names":false,"suffix":""},{"dropping-particle":"","family":"Torra","given":"V.","non-dropping-particle":"","parse-names":false,"suffix":""},{"dropping-particle":"","family":"Aguiló","given":"I.","non-dropping-particle":"","parse-names":false,"suffix":""}],"id":"ITEM-1","issued":{"date-parts":[["2019"]]},"page":"312-","publisher":"IOS Press","title":"Towards a healthcare digital twin","type":"chapter"},"uris":["http://www.mendeley.com/documents/?uuid=1c08be5a-0b2e-4ada-b860-6c1ec7f85a24"]}],"mendeley":{"formattedCitation":"(Angulo et al., 2019)","plainTextFormattedCitation":"(Angulo et al., 2019)","previouslyFormattedCitation":"(Angulo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(Angulo et al., 2019)</w:t>
            </w:r>
            <w:r w:rsidRPr="00B27AA8">
              <w:rPr>
                <w:rFonts w:ascii="Arial" w:hAnsi="Arial" w:cs="Arial"/>
                <w:sz w:val="20"/>
                <w:szCs w:val="20"/>
              </w:rPr>
              <w:fldChar w:fldCharType="end"/>
            </w:r>
          </w:p>
        </w:tc>
        <w:tc>
          <w:tcPr>
            <w:tcW w:w="3285" w:type="dxa"/>
            <w:shd w:val="clear" w:color="auto" w:fill="D5DCE4" w:themeFill="text2" w:themeFillTint="33"/>
            <w:noWrap/>
            <w:hideMark/>
          </w:tcPr>
          <w:p w14:paraId="21E33239" w14:textId="40029BC3"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The technology, its applications, and the challenges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{"citationItems":[{"id":"ITEM-1","itemData":{"abstract":"Digital Twin technology is an emerging concept that has recently become the centre of attention for industry and in more recent year's academia. The advancements in industry 4.0 concepts have facilitated its growth, particularly in the manufacturing industry. The Digital Twin is defined extensively but is described as the effortless integration of data between a physical and virtual machine in either direction. The challenges, applications, and enabling technologies for Artificial Intelligence, Internet of Things and Digital Twins are presented. A review of publications relating to Digital Twins is performed, producing a categorical review of recent papers. The review has categorised them by research area; Manufacturing, Healthcare and Smart cities. Discussing a range of papers that reflect these areas and the current state of research. The paper outlines the open research opportunities and challenges.","author":[{"dropping-particle":"","family":"Fuller","given":"Aidan","non-dropping-particle":"","parse-names":false,"suffix":""},{"dropping-particle":"","family":"Fan","given":"Zhong","non-dropping-particle":"","parse-names":false,"suffix":""},{"dropping-particle":"","family":"Day","given":"Charles","non-dropping-particle":"","parse-names":false,"suffix":""}],"container-title":"arXiv","id":"ITEM-1","issued":{"date-parts":[["2019"]]},"title":"Digital Twin: Enabling Technology, Challenges and Open Research","type":"article-journal"},"uris":["http://www.mendeley.com/documents/?uuid=2d002cb9-b816-477f-b984-92b07c31bd6c"]}],"mendeley":{"formattedCitation":"(Fuller et al., 2019)","plainTextFormattedCitation":"(Fuller et al., 2019)","previouslyFormattedCitation":"(Fuller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(Fuller et al., 2019)</w:t>
            </w:r>
            <w:r w:rsidRPr="00B27AA8">
              <w:rPr>
                <w:rFonts w:ascii="Arial" w:hAnsi="Arial" w:cs="Arial"/>
                <w:sz w:val="20"/>
                <w:szCs w:val="20"/>
              </w:rPr>
              <w:fldChar w:fldCharType="end"/>
            </w:r>
          </w:p>
        </w:tc>
      </w:tr>
      <w:tr w:rsidR="00730A49" w:rsidRPr="00B27AA8" w14:paraId="6160C77C" w14:textId="77777777" w:rsidTr="00B27AA8">
        <w:trPr>
          <w:trHeight w:val="250"/>
        </w:trPr>
        <w:tc>
          <w:tcPr>
            <w:tcW w:w="439" w:type="dxa"/>
            <w:noWrap/>
          </w:tcPr>
          <w:p w14:paraId="3E7F626B" w14:textId="5E4704CC" w:rsidR="00730A49" w:rsidRPr="00B27AA8" w:rsidRDefault="00561A60" w:rsidP="00C93CB9">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3</w:t>
            </w:r>
          </w:p>
        </w:tc>
        <w:tc>
          <w:tcPr>
            <w:tcW w:w="3043" w:type="dxa"/>
            <w:hideMark/>
          </w:tcPr>
          <w:p w14:paraId="37EF7ECF"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Omics</w:t>
            </w:r>
          </w:p>
        </w:tc>
        <w:tc>
          <w:tcPr>
            <w:tcW w:w="5444" w:type="dxa"/>
            <w:noWrap/>
            <w:hideMark/>
          </w:tcPr>
          <w:p w14:paraId="79E0A02A" w14:textId="01A3306E"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hAnsi="Arial" w:cs="Arial"/>
                <w:sz w:val="20"/>
                <w:szCs w:val="20"/>
              </w:rPr>
              <w:t>H</w:t>
            </w:r>
            <w:r w:rsidR="00C93CB9" w:rsidRPr="00B27AA8">
              <w:rPr>
                <w:rFonts w:ascii="Arial" w:hAnsi="Arial" w:cs="Arial"/>
                <w:sz w:val="20"/>
                <w:szCs w:val="20"/>
              </w:rPr>
              <w:t>igh-dimensional</w:t>
            </w:r>
            <w:r w:rsidRPr="00B27AA8">
              <w:rPr>
                <w:rFonts w:ascii="Arial" w:hAnsi="Arial" w:cs="Arial"/>
                <w:sz w:val="20"/>
                <w:szCs w:val="20"/>
              </w:rPr>
              <w:t xml:space="preserve"> and high-throughput analytics.</w:t>
            </w:r>
          </w:p>
        </w:tc>
        <w:tc>
          <w:tcPr>
            <w:tcW w:w="2810" w:type="dxa"/>
            <w:noWrap/>
            <w:hideMark/>
          </w:tcPr>
          <w:p w14:paraId="396D6AB6" w14:textId="6DE038B0"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Deep-learning example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{"citationItems":[{"id":"ITEM-1","itemData":{"DOI":"10.1158/1078-0432.CCR-17-0853","ISSN":"15573265","abstract":"Identifying robust survival subgroups of hepatocellular carcinoma (HCC) will significantly improve patient care. Currently, endeavor of integrating multi-omics data to explicitly predict HCC survival from multiple patient cohorts is lacking. To fill this gap, we present a deep learning (DL)–based model on HCC that robustly differentiates survival subpopulations of patients in six cohorts. We built the DL-based, survival-sensitive model on 360 HCC patients' data using RNA sequencing (RNA-Seq), miRNA sequencing (miRNA-Seq), and methylation data from The Cancer Genome Atlas (TCGA), which predicts prognosis as good as an alternative model where genomics and clinical data are both considered. This DL-based model provides two optimal subgroups of patients with significant survival differences (P ¼ 7.13e6) and good model fitness [concordance index (C-index) ¼ 0.68]. More aggressive subtype is associated with frequent TP53 inactivation mutations, higher expression of stemness markers (KRT19 and EPCAM) and tumor marker BIRC5, and activated Wnt and Akt signaling pathways. We validated this multi-omics model on five external datasets of various omics types: LIRI-JP cohort (n ¼ 230, C-index ¼ 0.75), NCI cohort (n ¼ 221, C-index ¼ 0.67), Chinese cohort (n ¼ 166, C-index ¼ 0.69), E-TABM-36 cohort (n ¼ 40, C-index ¼ 0.77), and Hawaiian cohort (n ¼ 27, C-index ¼ 0.82). This is the first study to employ DL to identify multi-omics features linked to the differential survival of patients with HCC. Given its robustness over multiple cohorts, we expect this workflow to be useful at predicting HCC prognosis prediction.","author":[{"dropping-particle":"","family":"Chaudhary","given":"Kumardeep","non-dropping-particle":"","parse-names":false,"suffix":""},{"dropping-particle":"","family":"Poirion","given":"Olivier B.","non-dropping-particle":"","parse-names":false,"suffix":""},{"dropping-particle":"","family":"Lu","given":"Liangqun","non-dropping-particle":"","parse-names":false,"suffix":""},{"dropping-particle":"","family":"Garmire","given":"Lana X.","non-dropping-particle":"","parse-names":false,"suffix":""}],"container-title":"Clinical Cancer Research","id":"ITEM-1","issue":"6","issued":{"date-parts":[["2018"]]},"page":"1248-1259","title":"Deep learning–based multi-omics integration robustly predicts survival in liver cancer","type":"article-journal","volume":"24"},"uris":["http://www.mendeley.com/documents/?uuid=ec894b23-8183-4492-ae66-955409c3f070"]}],"mendeley":{"formattedCitation":"(Chaudhary et al., 2018)","plainTextFormattedCitation":"(Chaudhary et al., 2018)","previouslyFormattedCitation":"(Chaudhary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(Chaudhary et al., 2018)</w:t>
            </w:r>
            <w:r w:rsidRPr="00B27AA8">
              <w:rPr>
                <w:rFonts w:ascii="Arial" w:hAnsi="Arial" w:cs="Arial"/>
                <w:sz w:val="20"/>
                <w:szCs w:val="20"/>
              </w:rPr>
              <w:fldChar w:fldCharType="end"/>
            </w:r>
            <w:r w:rsidRPr="00B27AA8">
              <w:rPr>
                <w:rFonts w:ascii="Arial" w:hAnsi="Arial" w:cs="Arial"/>
                <w:sz w:val="20"/>
                <w:szCs w:val="20"/>
              </w:rPr>
              <w:t xml:space="preserve">; Attempt to combine large datasets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{"citationItems":[{"id":"ITEM-1","itemData":{"DOI":"10.1038/nrg.2018.4","ISSN":"14710064","abstract":"Advances in omics technologies-such as genomics, transcriptomics, proteomics and metabolomics-have begun to enable personalized medicine at an extraordinarily detailed molecular level. Individually, these technologies have contributed medical advances that have begun to enter clinical practice. However, each technology individually cannot capture the entire biological complexity of most human diseases. Integration of multiple technologies has emerged as an approach to provide a more comprehensive view of biology and disease. In this Review, we discuss the potential for combining diverse types of data and the utility of this approach in human health and disease. We provide examples of data integration to understand, diagnose and inform treatment of diseases, including rare and common diseases as well as cancer and transplant biology. Finally, we discuss technical and other challenges to clinical implementation of integrative omics.","author":[{"dropping-particle":"","family":"Karczewski","given":"Konrad J.","non-dropping-particle":"","parse-names":false,"suffix":""},{"dropping-particle":"","family":"Snyder","given":"Michael P.","non-dropping-particle":"","parse-names":false,"suffix":""}],"container-title":"Nature Reviews Genetics","id":"ITEM-1","issue":"5","issued":{"date-parts":[["2018"]]},"page":"299-310","title":"Integrative omics for health and disease","type":"article-journal","volume":"19"},"uris":["http://www.mendeley.com/documents/?uuid=083f1377-1e03-4427-a495-e80093f2244f"]}],"mendeley":{"formattedCitation":"(Karczewski &amp; Snyder, 2018)","plainTextFormattedCitation":"(Karczewski &amp; Snyder, 2018)","previouslyFormattedCitation":"(Karczewski &amp; Snyder,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(Karczewski &amp; Snyder, 2018)</w:t>
            </w:r>
            <w:r w:rsidRPr="00B27AA8">
              <w:rPr>
                <w:rFonts w:ascii="Arial" w:hAnsi="Arial" w:cs="Arial"/>
                <w:sz w:val="20"/>
                <w:szCs w:val="20"/>
              </w:rPr>
              <w:fldChar w:fldCharType="end"/>
            </w:r>
          </w:p>
        </w:tc>
        <w:tc>
          <w:tcPr>
            <w:tcW w:w="3285" w:type="dxa"/>
            <w:noWrap/>
            <w:hideMark/>
          </w:tcPr>
          <w:p w14:paraId="35A3A0E8" w14:textId="29BEE6D5"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Technical review of methods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{"citationItems":[{"id":"ITEM-1","itemData":{"DOI":"10.1186/s12859-015-0857-9","ISSN":"14712105","PMID":"26821531","abstract":"Background: Methods for the integrative analysis of multi-omics data are required to draw a more complete and accurate picture of the dynamics of molecular systems. The complexity of biological systems, the technological limits, the large number of biological variables and the relatively low number of biological samples make the analysis of multi-omics datasets a non-trivial problem. Results and Conclusions: We review the most advanced strategies for integrating multi-omics datasets, focusing on mathematical and methodological aspects.","author":[{"dropping-particle":"","family":"Bersanelli","given":"Matteo","non-dropping-particle":"","parse-names":false,"suffix":""},{"dropping-particle":"","family":"Mosca","given":"Ettore","non-dropping-particle":"","parse-names":false,"suffix":""},{"dropping-particle":"","family":"Remondini","given":"Daniel","non-dropping-particle":"","parse-names":false,"suffix":""},{"dropping-particle":"","family":"Giampieri","given":"Enrico","non-dropping-particle":"","parse-names":false,"suffix":""},{"dropping-particle":"","family":"Sala","given":"Claudia","non-dropping-particle":"","parse-names":false,"suffix":""},{"dropping-particle":"","family":"Castellani","given":"Gastone","non-dropping-particle":"","parse-names":false,"suffix":""},{"dropping-particle":"","family":"Milanesi","given":"Luciano","non-dropping-particle":"","parse-names":false,"suffix":""}],"container-title":"BMC Bioinformatics","id":"ITEM-1","issue":"2","issued":{"date-parts":[["2016"]]},"title":"Methods for the integration of multi-omics data: Mathematical aspects","type":"article-journal","volume":"17"},"uris":["http://www.mendeley.com/documents/?uuid=adb67390-b1df-447b-9e82-c42be05b1ec1"]}],"mendeley":{"formattedCitation":"(Bersanelli et al., 2016)","plainTextFormattedCitation":"(Bersanelli et al., 2016)","previouslyFormattedCitation":"(Bersanelli et al.,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(Bersanelli et al., 2016)</w:t>
            </w:r>
            <w:r w:rsidRPr="00B27AA8">
              <w:rPr>
                <w:rFonts w:ascii="Arial" w:hAnsi="Arial" w:cs="Arial"/>
                <w:sz w:val="20"/>
                <w:szCs w:val="20"/>
              </w:rPr>
              <w:fldChar w:fldCharType="end"/>
            </w:r>
            <w:r w:rsidRPr="00B27AA8">
              <w:rPr>
                <w:rFonts w:ascii="Arial" w:hAnsi="Arial" w:cs="Arial"/>
                <w:sz w:val="20"/>
                <w:szCs w:val="20"/>
              </w:rPr>
              <w:t xml:space="preserve">; Challenges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{"citationItems":[{"id":"ITEM-1","itemData":{"DOI":"10.1186/1752-0509-8-S2-I1","ISSN":"17520509","abstract":"To integrate heterogeneous and large omics data constitutes not only a conceptual challenge but a practical hurdle in the daily analysis of omics data. With the rise of novel omics technologies and through large-scale consortia projects, biological systems are being further investigated at an unprecedented scale generating heterogeneous and often large data sets. These data-sets encourage researchers to develop novel data integration methodologies. In this introduction we review the definition and characterize current efforts on data integration in the life sciences. We have used a web-survey to assess current research projects on data-integration to tap into the views, needs and challenges as currently perceived by parts of the research community.","author":[{"dropping-particle":"","family":"Gomez-Cabrero","given":"David","non-dropping-particle":"","parse-names":false,"suffix":""},{"dropping-particle":"","family":"Abugessaisa","given":"Imad","non-dropping-particle":"","parse-names":false,"suffix":""},{"dropping-particle":"","family":"Maier","given":"Dieter","non-dropping-particle":"","parse-names":false,"suffix":""},{"dropping-particle":"","family":"Teschendorff","given":"Andrew","non-dropping-particle":"","parse-names":false,"suffix":""},{"dropping-particle":"","family":"Merkenschlager","given":"Matthias","non-dropping-particle":"","parse-names":false,"suffix":""},{"dropping-particle":"","family":"Gisel","given":"Andreas","non-dropping-particle":"","parse-names":false,"suffix":""},{"dropping-particle":"","family":"Ballestar","given":"Esteban","non-dropping-particle":"","parse-names":false,"suffix":""},{"dropping-particle":"","family":"Bongcam-Rudloff","given":"Erik","non-dropping-particle":"","parse-names":false,"suffix":""},{"dropping-particle":"","family":"Conesa","given":"Ana","non-dropping-particle":"","parse-names":false,"suffix":""},{"dropping-particle":"","family":"Tegnér","given":"Jesper","non-dropping-particle":"","parse-names":false,"suffix":""}],"container-title":"BMC systems biology","id":"ITEM-1","issue":"Suppl 2","issued":{"date-parts":[["2014"]]},"page":"I1","title":"Data integration in the era of omics: current and future challenges","type":"article-journal","volume":"8"},"uris":["http://www.mendeley.com/documents/?uuid=e9bdd7b0-fd29-4a57-972d-4bdabd1e714c"]},{"id":"ITEM-2","itemData":{"DOI":"10.1093/bib/bbw031","ISSN":"14774054","abstract":"Metabolomics is a rapidly growing field consisting of the analysis of a large number of metabolites at a system scale. The two major goals of metabolomics are the identification of the metabolites characterizing each organism state and the measurement of their dynamics under different situations (e.g. pathological conditions, environmental factors). Knowledge about metabolites is crucial for the understanding of most cellular phenomena, but this information alone is not sufficient to gain a comprehensive view of all the biological processes involved. Integrated approaches combining metabolomics with transcriptomics and proteomics are thus required to obtain much deeper insights than any of these techniques alone. Although this information is available, multilevel integration of different 'omics' data is still a challenge. The handling, processing, analysis and integration of these data require specialized mathematical, statistical and bioinformatics tools, and several technical problems hampering a rapid progress in the field exist. Here, we review four main tools for number of users or provided features (MetaCoreTM, MetaboAnalyst, InCroMAP and 3Omics) out of the several available for metabolomic data analysis and integration with other 'omics' data, highlighting their strong and weak aspects; a number of related issues affecting data analysis and integration are also identified and discussed. Overall, we provide an objective description of how some of the main currently available software packages work, which may help the experimental practitioner in the choice of a robust pipeline for metabolomic data analysis and integration.","author":[{"dropping-particle":"","family":"Cambiaghi","given":"Alice","non-dropping-particle":"","parse-names":false,"suffix":""},{"dropping-particle":"","family":"Ferrario","given":"Manuela","non-dropping-particle":"","parse-names":false,"suffix":""},{"dropping-particle":"","family":"Masseroli","given":"Marco","non-dropping-particle":"","parse-names":false,"suffix":""}],"container-title":"Briefings in Bioinformatics","id":"ITEM-2","issue":"3","issued":{"date-parts":[["2017"]]},"page":"498-510","title":"Analysis of metabolomic data: Tools, current strategies and future challenges for omics data integration","type":"article-journal","volume":"18"},"uris":["http://www.mendeley.com/documents/?uuid=4df610ec-d92d-4b79-b5db-3f4606119a71"]}],"mendeley":{"formattedCitation":"(Cambiaghi et al., 2017; Gomez-Cabrero et al., 2014)","plainTextFormattedCitation":"(Cambiaghi et al., 2017; Gomez-Cabrero et al., 2014)","previouslyFormattedCitation":"(Cambiaghi et al., 2017; Gomez-Cabrero et al., 2014)"},"properties":{"noteIndex":0},"schema":"https://github.com/citation-style-language/schema/raw/master/csl-citation.json"}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(Cambiaghi et al., 2017; Gomez-Cabrero et al., 2014)</w:t>
            </w:r>
            <w:r w:rsidRPr="00B27AA8">
              <w:rPr>
                <w:rFonts w:ascii="Arial" w:hAnsi="Arial" w:cs="Arial"/>
                <w:sz w:val="20"/>
                <w:szCs w:val="20"/>
              </w:rPr>
              <w:fldChar w:fldCharType="end"/>
            </w:r>
            <w:r w:rsidRPr="00B27AA8">
              <w:rPr>
                <w:rFonts w:ascii="Arial" w:hAnsi="Arial" w:cs="Arial"/>
                <w:sz w:val="20"/>
                <w:szCs w:val="20"/>
              </w:rPr>
              <w:t xml:space="preserve">; Problems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{"citationItems":[{"id":"ITEM-1","itemData":{"DOI":"10.1016/j.trac.2006.10.007","ISSN":"01659936","abstract":"\"omics\" studies involve the measurement of large numbers of parameters, typically genes (genomics), proteins (proteomics), lipids (lipidomics) or metabolites (metabolomics). Values associated with each of the measured parameters are searched to find examples that correlate with biological endpoints, often disease or cancer. Although the number of parameters being measured has increased dramatically with \"omics\" studies, the number of biological and methodological replicates has not. As with comparable classical biomedical studies, there exist limitations arising from whether or not the analytical methods are adequate for making the measurements needed and whether or not the measurements are implemented properly. In addition, because of the large number of measurements and the limited number of test subjects, unique problems arise in \"omics\" studies involving statistics and bias. Even though improvements in technology may well minimize measurement problems, the inherent difficulties associated with measuring so many parameters from a limited number of test subjects will remain. This review focuses on the four main problems with the \"omics\": bias, statistics, methodology, and method misuse. Although we give suggestions to minimize the impacts of these problems, some problems may not be solved unless the number of measurements is more consistent with the number of possible biological replicates. © 2006 Elsevier Ltd. All rights reserved.","author":[{"dropping-particle":"","family":"Lay","given":"Jackson O.","non-dropping-particle":"","parse-names":false,"suffix":""},{"dropping-particle":"","family":"Borgmann","given":"Sabine","non-dropping-particle":"","parse-names":false,"suffix":""},{"dropping-particle":"","family":"Liyanage","given":"Rohana","non-dropping-particle":"","parse-names":false,"suffix":""},{"dropping-particle":"","family":"Wilkins","given":"Charles L.","non-dropping-particle":"","parse-names":false,"suffix":""}],"container-title":"Trends in Analytical Chemistry","id":"ITEM-1","issue":"11","issued":{"date-parts":[["2006"]]},"page":"1046-1056","title":"Problems with the \"omics\"","type":"article-journal","volume":"25"},"uris":["http://www.mendeley.com/documents/?uuid=9a1573da-ea8b-4c28-9b30-957ec3297c73"]}],"mendeley":{"formattedCitation":"(Lay et al., 2006)","plainTextFormattedCitation":"(Lay et al., 2006)","previouslyFormattedCitation":"(Lay et al., 2006)"},"properties":{"noteIndex":0},"schema":"https://github.com/citation-style-language/schema/raw/master/csl-citation.json"}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(Lay et al., 2006)</w:t>
            </w:r>
            <w:r w:rsidRPr="00B27AA8">
              <w:rPr>
                <w:rFonts w:ascii="Arial" w:hAnsi="Arial" w:cs="Arial"/>
                <w:sz w:val="20"/>
                <w:szCs w:val="20"/>
              </w:rPr>
              <w:fldChar w:fldCharType="end"/>
            </w:r>
          </w:p>
        </w:tc>
      </w:tr>
      <w:tr w:rsidR="00730A49" w:rsidRPr="00B27AA8" w14:paraId="5BFB9C94" w14:textId="77777777" w:rsidTr="00B27AA8">
        <w:trPr>
          <w:trHeight w:val="250"/>
        </w:trPr>
        <w:tc>
          <w:tcPr>
            <w:tcW w:w="439" w:type="dxa"/>
            <w:shd w:val="clear" w:color="auto" w:fill="D5DCE4" w:themeFill="text2" w:themeFillTint="33"/>
            <w:noWrap/>
          </w:tcPr>
          <w:p w14:paraId="58D1CCC4" w14:textId="658FE9FD" w:rsidR="00730A49" w:rsidRPr="00B27AA8" w:rsidRDefault="00561A60" w:rsidP="00C93CB9">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4</w:t>
            </w:r>
          </w:p>
        </w:tc>
        <w:tc>
          <w:tcPr>
            <w:tcW w:w="3043" w:type="dxa"/>
            <w:shd w:val="clear" w:color="auto" w:fill="D5DCE4" w:themeFill="text2" w:themeFillTint="33"/>
            <w:hideMark/>
          </w:tcPr>
          <w:p w14:paraId="03A96A8D"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Conversational A.I.</w:t>
            </w:r>
          </w:p>
        </w:tc>
        <w:tc>
          <w:tcPr>
            <w:tcW w:w="5444" w:type="dxa"/>
            <w:shd w:val="clear" w:color="auto" w:fill="D5DCE4" w:themeFill="text2" w:themeFillTint="33"/>
            <w:noWrap/>
            <w:hideMark/>
          </w:tcPr>
          <w:p w14:paraId="1569538E" w14:textId="40F6B907" w:rsidR="00730A49" w:rsidRPr="00B27AA8" w:rsidRDefault="00C93CB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w:t>
            </w:r>
            <w:r w:rsidRPr="00B27AA8">
              <w:rPr>
                <w:rFonts w:ascii="Arial" w:eastAsia="Times New Roman" w:hAnsi="Arial" w:cs="Arial"/>
                <w:i/>
                <w:color w:val="000000"/>
                <w:sz w:val="20"/>
                <w:szCs w:val="20"/>
                <w:lang w:eastAsia="en-GB"/>
              </w:rPr>
              <w:t>systems that mimic human conversation using text or spoken language</w:t>
            </w:r>
            <w:r w:rsidRPr="00B27AA8">
              <w:rPr>
                <w:rFonts w:ascii="Arial" w:eastAsia="Times New Roman" w:hAnsi="Arial" w:cs="Arial"/>
                <w:color w:val="000000"/>
                <w:sz w:val="20"/>
                <w:szCs w:val="20"/>
                <w:lang w:eastAsia="en-GB"/>
              </w:rPr>
              <w:t xml:space="preserve">” </w:t>
            </w:r>
            <w:r w:rsidRPr="00B27AA8">
              <w:rPr>
                <w:rFonts w:ascii="Arial" w:eastAsia="Times New Roman" w:hAnsi="Arial" w:cs="Arial"/>
                <w:color w:val="000000"/>
                <w:sz w:val="20"/>
                <w:szCs w:val="20"/>
                <w:lang w:eastAsia="en-GB"/>
              </w:rPr>
              <w:fldChar w:fldCharType="begin" w:fldLock="1"/>
            </w:r>
            <w:r w:rsidR="002E75EA" w:rsidRPr="00B27AA8">
              <w:rPr>
                <w:rFonts w:ascii="Arial" w:eastAsia="Times New Roman" w:hAnsi="Arial" w:cs="Arial"/>
                <w:color w:val="000000"/>
                <w:sz w:val="20"/>
                <w:szCs w:val="20"/>
                <w:lang w:eastAsia="en-GB"/>
              </w:rPr>
              <w:instrText>ADDIN CSL_CITATION {"citationItems":[{"id":"ITEM-1","itemData":{"DOI":"10.1093/jamia/ocy072","ISBN":"4201706591","ISSN":"1527974X","PMID":"30010941","abstract":"Objective: Our objective was to review the characteristics, current applications, and evaluation measures of conversational agents with unconstrained natural language input capabilities used for health-related purposes. Methods: We searched PubMed, Embase, CINAHL, PsycInfo, and ACM Digital using a predefined search strategy. Studies were included if they focused on consumers or healthcare professionals; involved a conversational agent using any unconstrained natural language input; and reported evaluation measures resulting from user interaction with the system. Studies were screened by independent reviewers and Cohen's kappa measured inter-coder agreement. Results: The database search retrieved 1513 citations; 17 articles (14 different conversational agents) met the inclusion criteria. Dialogue management strategies were mostly finite-state and frame-based (6 and 7 conversational agents, respectively); agent-based strategies were present in one type of system. Two studies were randomized controlled trials (RCTs), 1 was cross-sectional, and the remaining were quasi-experimental. Half of the conversational agents supported consumers with health tasks such as self-care. The only RCT evaluating the efficacy of a conversational agent found a significant effect in reducing depression symptoms (effect size d=0.44, p=.04). Patient safety was rarely evaluated in the included studies. Conclusions: The use of conversational agents with unconstrained natural language input capabilities for health-related purposes is an emerging field of research, where the few published studies were mainly quasiexperimental, and rarely evaluated efficacy or safety. Future studies would benefit from more robust experimental designs and standardized reporting.","author":[{"dropping-particle":"","family":"Laranjo","given":"Liliana","non-dropping-particle":"","parse-names":false,"suffix":""},{"dropping-particle":"","family":"Dunn","given":"Adam G.","non-dropping-particle":"","parse-names":false,"suffix":""},{"dropping-particle":"","family":"Tong","given":"Huong Ly","non-dropping-particle":"","parse-names":false,"suffix":""},{"dropping-particle":"","family":"Kocaballi","given":"Ahmet Baki","non-dropping-particle":"","parse-names":false,"suffix":""},{"dropping-particle":"","family":"Chen","given":"Jessica","non-dropping-particle":"","parse-names":false,"suffix":""},{"dropping-particle":"","family":"Bashir","given":"Rabia","non-dropping-particle":"","parse-names":false,"suffix":""},{"dropping-particle":"","family":"Surian","given":"Didi","non-dropping-particle":"","parse-names":false,"suffix":""},{"dropping-particle":"","family":"Gallego","given":"Blanca","non-dropping-particle":"","parse-names":false,"suffix":""},{"dropping-particle":"","family":"Magrabi","given":"Farah","non-dropping-particle":"","parse-names":false,"suffix":""},{"dropping-particle":"","family":"Lau","given":"Annie Y.S.","non-dropping-particle":"","parse-names":false,"suffix":""},{"dropping-particle":"","family":"Coiera","given":"Enrico","non-dropping-particle":"","parse-names":false,"suffix":""}],"container-title":"Journal of the American Medical Informatics Association","id":"ITEM-1","issue":"9","issued":{"date-parts":[["2018"]]},"page":"1248-1258","title":"Conversational agents in healthcare: A systematic review","type":"article-journal","volume":"25"},"uris":["http://www.mendeley.com/documents/?uuid=1ff7b130-2aac-4df6-843d-a36c7fad82b9"]}],"mendeley":{"formattedCitation":"(Laranjo et al., 2018)","plainTextFormattedCitation":"(Laranjo et al., 2018)","previouslyFormattedCitation":"(Laranjo et al., 2018)"},"properties":{"noteIndex":0},"schema":"https://github.com/citation-style-language/schema/raw/master/csl-citation.json"}</w:instrText>
            </w:r>
            <w:r w:rsidRPr="00B27AA8">
              <w:rPr>
                <w:rFonts w:ascii="Arial" w:eastAsia="Times New Roman" w:hAnsi="Arial" w:cs="Arial"/>
                <w:color w:val="000000"/>
                <w:sz w:val="20"/>
                <w:szCs w:val="20"/>
                <w:lang w:eastAsia="en-GB"/>
              </w:rPr>
              <w:fldChar w:fldCharType="separate"/>
            </w:r>
            <w:r w:rsidRPr="00B27AA8">
              <w:rPr>
                <w:rFonts w:ascii="Arial" w:eastAsia="Times New Roman" w:hAnsi="Arial" w:cs="Arial"/>
                <w:noProof/>
                <w:color w:val="000000"/>
                <w:sz w:val="20"/>
                <w:szCs w:val="20"/>
                <w:lang w:eastAsia="en-GB"/>
              </w:rPr>
              <w:t>(Laranjo et al., 2018)</w:t>
            </w:r>
            <w:r w:rsidRPr="00B27AA8">
              <w:rPr>
                <w:rFonts w:ascii="Arial" w:eastAsia="Times New Roman" w:hAnsi="Arial" w:cs="Arial"/>
                <w:color w:val="000000"/>
                <w:sz w:val="20"/>
                <w:szCs w:val="20"/>
                <w:lang w:eastAsia="en-GB"/>
              </w:rPr>
              <w:fldChar w:fldCharType="end"/>
            </w:r>
          </w:p>
        </w:tc>
        <w:tc>
          <w:tcPr>
            <w:tcW w:w="2810" w:type="dxa"/>
            <w:shd w:val="clear" w:color="auto" w:fill="D5DCE4" w:themeFill="text2" w:themeFillTint="33"/>
            <w:noWrap/>
            <w:hideMark/>
          </w:tcPr>
          <w:p w14:paraId="04B72823" w14:textId="4068D3C0" w:rsidR="00730A49" w:rsidRPr="00B27AA8" w:rsidRDefault="00C93CB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Apple’s Siri; Google Now; Microsoft Cortana; </w:t>
            </w:r>
            <w:r w:rsidR="00730A49" w:rsidRPr="00B27AA8">
              <w:rPr>
                <w:rFonts w:ascii="Arial" w:hAnsi="Arial" w:cs="Arial"/>
                <w:sz w:val="20"/>
                <w:szCs w:val="20"/>
              </w:rPr>
              <w:t xml:space="preserve">Amazon Alexa prize </w:t>
            </w:r>
            <w:r w:rsidR="00730A49" w:rsidRPr="00B27AA8">
              <w:rPr>
                <w:rFonts w:ascii="Arial" w:hAnsi="Arial" w:cs="Arial"/>
                <w:sz w:val="20"/>
                <w:szCs w:val="20"/>
              </w:rPr>
              <w:fldChar w:fldCharType="begin" w:fldLock="1"/>
            </w:r>
            <w:r w:rsidR="00730A49" w:rsidRPr="00B27AA8">
              <w:rPr>
                <w:rFonts w:ascii="Arial" w:hAnsi="Arial" w:cs="Arial"/>
                <w:sz w:val="20"/>
                <w:szCs w:val="20"/>
              </w:rPr>
              <w:instrText>ADDIN CSL_CITATION {"citationItems":[{"id":"ITEM-1","itemData":{"abstract":"Conversational agents are exploding in popularity. However, much work remains in the area of social conversation as well as free-form conversation over a broad range of domains and topics. To advance the state of the art in conversational AI, Amazon launched the Alexa Prize, a 2.5-million-dollar university competition where sixteen selected university teams were challenged to build conversational agents, known as socialbots, to converse coherently and engagingly with humans on popular topics such as Sports, Politics, Entertainment, Fashion and Technology for 20 minutes. The Alexa Prize offers the academic community a unique opportunity to perform research with a live system used by millions of users. The competition provided university teams with real user conversational data at scale, along with the user-provided ratings and feedback augmented with annotations by the Alexa team. This enabled teams to effectively iterate and make improvements throughout the competition while being evaluated in real-time through live user interactions. To build their socialbots, university teams combined state-of-the-art techniques with novel strategies in the areas of Natural Language Understanding, Context Modeling, Dialog Management, Response Generation, and Knowledge Acquisition. To support the efforts of participating teams, the Alexa Prize team made significant scientific and engineering investments to build and improve Conversational Speech Recognition, Topic Tracking, Dialog Evaluation, Voice User Experience, and tools for traffic management and scalability. This paper outlines the advances created by the university teams as well as the Alexa Prize team to achieve the common goal of solving the problem of Conversational AI.","author":[{"dropping-particle":"","family":"Ram","given":"Ashwin","non-dropping-particle":"","parse-names":false,"suffix":""},{"dropping-particle":"","family":"Prasad","given":"Rohit","non-dropping-particle":"","parse-names":false,"suffix":""},{"dropping-particle":"","family":"Khatri","given":"Chandra","non-dropping-particle":"","parse-names":false,"suffix":""},{"dropping-particle":"","family":"Venkatesh","given":"Anu","non-dropping-particle":"","parse-names":false,"suffix":""},{"dropping-particle":"","family":"Gabriel","given":"Raefer","non-dropping-particle":"","parse-names":false,"suffix":""},{"dropping-particle":"","family":"Liu","given":"Qing","non-dropping-particle":"","parse-names":false,"suffix":""},{"dropping-particle":"","family":"Nunn","given":"Jeff","non-dropping-particle":"","parse-names":false,"suffix":""},{"dropping-particle":"","family":"Hedayatnia","given":"Behnam","non-dropping-particle":"","parse-names":false,"suffix":""},{"dropping-particle":"","family":"Cheng","given":"Ming","non-dropping-particle":"","parse-names":false,"suffix":""},{"dropping-particle":"","family":"Nagar","given":"Ashish","non-dropping-particle":"","parse-names":false,"suffix":""},{"dropping-particle":"","family":"King","given":"Eric","non-dropping-particle":"","parse-names":false,"suffix":""},{"dropping-particle":"","family":"Bland","given":"Kate","non-dropping-particle":"","parse-names":false,"suffix":""},{"dropping-particle":"","family":"Wartick","given":"Amanda","non-dropping-particle":"","parse-names":false,"suffix":""},{"dropping-particle":"","family":"Pan","given":"Yi","non-dropping-particle":"","parse-names":false,"suffix":""},{"dropping-particle":"","family":"Song","given":"Han","non-dropping-particle":"","parse-names":false,"suffix":""},{"dropping-particle":"","family":"Jayadevan","given":"Sk","non-dropping-particle":"","parse-names":false,"suffix":""},{"dropping-particle":"","family":"Hwang","given":"Gene","non-dropping-particle":"","parse-names":false,"suffix":""},{"dropping-particle":"","family":"Pettigrue","given":"Art","non-dropping-particle":"","parse-names":false,"suffix":""}],"container-title":"arXiv","id":"ITEM-1","issued":{"date-parts":[["2018"]]},"title":"Conversational AI: The Science Behind the Alexa Prize","type":"article-journal"},"uris":["http://www.mendeley.com/documents/?uuid=90ce4300-9de2-4351-9290-28735184bf23"]}],"mendeley":{"formattedCitation":"(Ram et al., 2018)","plainTextFormattedCitation":"(Ram et al., 2018)","previouslyFormattedCitation":"(Ram et al., 2018)"},"properties":{"noteIndex":0},"schema":"https://github.com/citation-style-language/schema/raw/master/csl-citation.json"}</w:instrText>
            </w:r>
            <w:r w:rsidR="00730A49" w:rsidRPr="00B27AA8">
              <w:rPr>
                <w:rFonts w:ascii="Arial" w:hAnsi="Arial" w:cs="Arial"/>
                <w:sz w:val="20"/>
                <w:szCs w:val="20"/>
              </w:rPr>
              <w:fldChar w:fldCharType="separate"/>
            </w:r>
            <w:r w:rsidR="00730A49" w:rsidRPr="00B27AA8">
              <w:rPr>
                <w:rFonts w:ascii="Arial" w:hAnsi="Arial" w:cs="Arial"/>
                <w:noProof/>
                <w:sz w:val="20"/>
                <w:szCs w:val="20"/>
              </w:rPr>
              <w:t>(Ram et al., 2018)</w:t>
            </w:r>
            <w:r w:rsidR="00730A49" w:rsidRPr="00B27AA8">
              <w:rPr>
                <w:rFonts w:ascii="Arial" w:hAnsi="Arial" w:cs="Arial"/>
                <w:sz w:val="20"/>
                <w:szCs w:val="20"/>
              </w:rPr>
              <w:fldChar w:fldCharType="end"/>
            </w:r>
            <w:r w:rsidR="00730A49" w:rsidRPr="00B27AA8">
              <w:rPr>
                <w:rFonts w:ascii="Arial" w:hAnsi="Arial" w:cs="Arial"/>
                <w:sz w:val="20"/>
                <w:szCs w:val="20"/>
              </w:rPr>
              <w:t xml:space="preserve">; Geriatrics </w:t>
            </w:r>
            <w:r w:rsidR="00730A49" w:rsidRPr="00B27AA8">
              <w:rPr>
                <w:rFonts w:ascii="Arial" w:hAnsi="Arial" w:cs="Arial"/>
                <w:sz w:val="20"/>
                <w:szCs w:val="20"/>
              </w:rPr>
              <w:fldChar w:fldCharType="begin" w:fldLock="1"/>
            </w:r>
            <w:r w:rsidR="00730A49" w:rsidRPr="00B27AA8">
              <w:rPr>
                <w:rFonts w:ascii="Arial" w:hAnsi="Arial" w:cs="Arial"/>
                <w:sz w:val="20"/>
                <w:szCs w:val="20"/>
              </w:rPr>
              <w:instrText>ADDIN CSL_CITATION {"citationItems":[{"id":"ITEM-1","itemData":{"abstract":"There is a need for systems to dynamically interact with ageing populations to gather information, monitor health condition and provide support, especially after hospital discharge or at-home settings. Several smart devices have been delivered by digital health, bundled with telemedicine systems, smartphone and other digital services. While such solutions offer personalised data and suggestions, the real disruptive step comes from the interaction of new digital ecosystem, represented by chatbots. Chatbots will play a leading role by embodying the function of a virtual assistant and bridging the gap between patients and clinicians. Powered by AI and machine learning algorithms, chatbots are forecasted to save healthcare costs when used in place of a human or assist them as a preliminary step of helping to assess a condition and providing self-care recommendations. This paper describes integrating chatbots into telemedicine systems intended for elderly patient after their hospital discharge. The paper discusses possible ways to utilise chatbots to assist healthcare providers and support patients with their condition.","author":[{"dropping-particle":"","family":"Fadhil","given":"Ahmed","non-dropping-particle":"","parse-names":false,"suffix":""}],"container-title":"arXiv","id":"ITEM-1","issued":{"date-parts":[["2018"]]},"title":"Beyond Patient Monitoring: Conversational Agents Role in Telemedicine &amp; Healthcare Support For Home-Living Elderly Individuals","type":"article-journal"},"uris":["http://www.mendeley.com/documents/?uuid=b5a99d84-631e-4e0b-915d-ada2042a215f"]}],"mendeley":{"formattedCitation":"(Fadhil, 2018b)","plainTextFormattedCitation":"(Fadhil, 2018b)","previouslyFormattedCitation":"(Fadhil, 2018b)"},"properties":{"noteIndex":0},"schema":"https://github.com/citation-style-language/schema/raw/master/csl-citation.json"}</w:instrText>
            </w:r>
            <w:r w:rsidR="00730A49" w:rsidRPr="00B27AA8">
              <w:rPr>
                <w:rFonts w:ascii="Arial" w:hAnsi="Arial" w:cs="Arial"/>
                <w:sz w:val="20"/>
                <w:szCs w:val="20"/>
              </w:rPr>
              <w:fldChar w:fldCharType="separate"/>
            </w:r>
            <w:r w:rsidR="00730A49" w:rsidRPr="00B27AA8">
              <w:rPr>
                <w:rFonts w:ascii="Arial" w:hAnsi="Arial" w:cs="Arial"/>
                <w:noProof/>
                <w:sz w:val="20"/>
                <w:szCs w:val="20"/>
              </w:rPr>
              <w:t>(Fadhil, 2018b)</w:t>
            </w:r>
            <w:r w:rsidR="00730A49" w:rsidRPr="00B27AA8">
              <w:rPr>
                <w:rFonts w:ascii="Arial" w:hAnsi="Arial" w:cs="Arial"/>
                <w:sz w:val="20"/>
                <w:szCs w:val="20"/>
              </w:rPr>
              <w:fldChar w:fldCharType="end"/>
            </w:r>
            <w:r w:rsidR="00730A49" w:rsidRPr="00B27AA8">
              <w:rPr>
                <w:rFonts w:ascii="Arial" w:hAnsi="Arial" w:cs="Arial"/>
                <w:sz w:val="20"/>
                <w:szCs w:val="20"/>
              </w:rPr>
              <w:t xml:space="preserve">; Medication adherence </w:t>
            </w:r>
            <w:r w:rsidR="00730A49" w:rsidRPr="00B27AA8">
              <w:rPr>
                <w:rFonts w:ascii="Arial" w:hAnsi="Arial" w:cs="Arial"/>
                <w:sz w:val="20"/>
                <w:szCs w:val="20"/>
              </w:rPr>
              <w:fldChar w:fldCharType="begin" w:fldLock="1"/>
            </w:r>
            <w:r w:rsidR="00730A49" w:rsidRPr="00B27AA8">
              <w:rPr>
                <w:rFonts w:ascii="Arial" w:hAnsi="Arial" w:cs="Arial"/>
                <w:sz w:val="20"/>
                <w:szCs w:val="20"/>
              </w:rPr>
              <w:instrText>ADDIN CSL_CITATION {"citationItems":[{"id":"ITEM-1","itemData":{"abstract":"Medication adherence is of utmost importance for many chronic conditions, regardless of the disease type. Engaging patients in self-tracking their medication is a big challenge. One way to potentially reduce this burden is to use reminders to promote wellness throughout all stages of life and improve medication adherence. Chatbots have proven effectiveness in triggering users to engage in certain activity, such as medication adherence. In this paper, we discuss \"Roborto\", a chatbot to create an engaging interactive and intelligent environment for patients and assist in positive lifestyle modification. We introduce a way for healthcare providers to track patients adherence and intervene whenever necessary. We describe the health, technical and behavioural approaches to the problem of medication non-adherence and propose a diagnostic and decision support tool. The proposed study will be implemented and validated through a pilot experiment with users to measure the efficacy of the proposed approach.","author":[{"dropping-particle":"","family":"Fadhil","given":"Ahmed","non-dropping-particle":"","parse-names":false,"suffix":""}],"container-title":"arXiv","id":"ITEM-1","issued":{"date-parts":[["2018"]]},"title":"A Conversational Interface to Improve Medication Adherence: Towards AI Support in Patient's Treatment","type":"article-journal"},"uris":["http://www.mendeley.com/documents/?uuid=d18f30dc-dd06-4603-bdac-f71e9b7fa120"]}],"mendeley":{"formattedCitation":"(Fadhil, 2018a)","plainTextFormattedCitation":"(Fadhil, 2018a)","previouslyFormattedCitation":"(Fadhil, 2018a)"},"properties":{"noteIndex":0},"schema":"https://github.com/citation-style-language/schema/raw/master/csl-citation.json"}</w:instrText>
            </w:r>
            <w:r w:rsidR="00730A49" w:rsidRPr="00B27AA8">
              <w:rPr>
                <w:rFonts w:ascii="Arial" w:hAnsi="Arial" w:cs="Arial"/>
                <w:sz w:val="20"/>
                <w:szCs w:val="20"/>
              </w:rPr>
              <w:fldChar w:fldCharType="separate"/>
            </w:r>
            <w:r w:rsidR="00730A49" w:rsidRPr="00B27AA8">
              <w:rPr>
                <w:rFonts w:ascii="Arial" w:hAnsi="Arial" w:cs="Arial"/>
                <w:noProof/>
                <w:sz w:val="20"/>
                <w:szCs w:val="20"/>
              </w:rPr>
              <w:t>(Fadhil, 2018a)</w:t>
            </w:r>
            <w:r w:rsidR="00730A49" w:rsidRPr="00B27AA8">
              <w:rPr>
                <w:rFonts w:ascii="Arial" w:hAnsi="Arial" w:cs="Arial"/>
                <w:sz w:val="20"/>
                <w:szCs w:val="20"/>
              </w:rPr>
              <w:fldChar w:fldCharType="end"/>
            </w:r>
          </w:p>
        </w:tc>
        <w:tc>
          <w:tcPr>
            <w:tcW w:w="3285" w:type="dxa"/>
            <w:shd w:val="clear" w:color="auto" w:fill="D5DCE4" w:themeFill="text2" w:themeFillTint="33"/>
            <w:noWrap/>
            <w:hideMark/>
          </w:tcPr>
          <w:p w14:paraId="018B6703" w14:textId="40C297BD"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Perspectives on evaluation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ISBN":"9781450361729","author":[{"dropping-particle":"","family":"Jadeja","given":"Mahipal","non-dropping-particle":"","parse-names":false,"suffix":""},{"dropping-particle":"","family":"Varia","given":"Neelanshi","non-dropping-particle":"","parse-names":false,"suffix":""}],"container-title":"arXiv","id":"ITEM-1","issued":{"date-parts":[["2017"]]},"title":"Perspectives for evaluating conversational AI","type":"article-journal"},"uris":["http://www.mendeley.com/documents/?uuid=9d667bb1-06b7-4518-bfcf-d5d9f94475c7"]}],"mendeley":{"formattedCitation":"(Jadeja &amp; Varia, 2017)","plainTextFormattedCitation":"(Jadeja &amp; Varia, 2017)","previouslyFormattedCitation":"(Jadeja &amp; Varia,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(Jadeja &amp; Varia, 2017)</w:t>
            </w:r>
            <w:r w:rsidRPr="00B27AA8">
              <w:rPr>
                <w:rFonts w:ascii="Arial" w:hAnsi="Arial" w:cs="Arial"/>
                <w:sz w:val="20"/>
                <w:szCs w:val="20"/>
              </w:rPr>
              <w:fldChar w:fldCharType="end"/>
            </w:r>
            <w:r w:rsidRPr="00B27AA8">
              <w:rPr>
                <w:rFonts w:ascii="Arial" w:hAnsi="Arial" w:cs="Arial"/>
                <w:sz w:val="20"/>
                <w:szCs w:val="20"/>
              </w:rPr>
              <w:t xml:space="preserve">; A technical review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{"citationItems":[{"id":"ITEM-1","itemData":{"DOI":"10.1561/1500000074","ISBN":"9781680833508","ISSN":"15540677","abstract":"The present paper surveys neural approaches to conversational AI that have been developed in the last few years. We group conversational systems into three categories: (1) question answering agents, (2) task-oriented dialogue agents, and (3) chatbots. For each category, we present a review of state-of-the-art neural approaches, draw the connection between them and traditional approaches, and discuss the progress that has been made and challenges still being faced, using specific systems and models as case studies.","author":[{"dropping-particle":"","family":"Gao","given":"Jianfeng","non-dropping-particle":"","parse-names":false,"suffix":""},{"dropping-particle":"","family":"Galley","given":"Michel","non-dropping-particle":"","parse-names":false,"suffix":""},{"dropping-particle":"","family":"Li","given":"Lihong","non-dropping-particle":"","parse-names":false,"suffix":""}],"container-title":"Foundations and Trends in Information Retrieval","id":"ITEM-1","issue":"2-3","issued":{"date-parts":[["2019"]]},"number-of-pages":"127-298","title":"Neural approaches to conversational AI","type":"book","volume":"13"},"uris":["http://www.mendeley.com/documents/?uuid=721c479a-32e8-40d1-85cd-33d90a9c9538"]}],"mendeley":{"formattedCitation":"(Gao et al., 2019)","plainTextFormattedCitation":"(Gao et al., 2019)","previouslyFormattedCitation":"(Gao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(Gao et al., 2019)</w:t>
            </w:r>
            <w:r w:rsidRPr="00B27AA8">
              <w:rPr>
                <w:rFonts w:ascii="Arial" w:hAnsi="Arial" w:cs="Arial"/>
                <w:sz w:val="20"/>
                <w:szCs w:val="20"/>
              </w:rPr>
              <w:fldChar w:fldCharType="end"/>
            </w:r>
            <w:r w:rsidRPr="00B27AA8">
              <w:rPr>
                <w:rFonts w:ascii="Arial" w:hAnsi="Arial" w:cs="Arial"/>
                <w:sz w:val="20"/>
                <w:szCs w:val="20"/>
              </w:rPr>
              <w:t xml:space="preserve">; Review of applications in healthcare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{"citationItems":[{"id":"ITEM-1","itemData":{"DOI":"10.1093/jamia/ocy072","ISBN":"4201706591","ISSN":"1527974X","PMID":"30010941","abstract":"Objective: Our objective was to review the characteristics, current applications, and evaluation measures of conversational agents with unconstrained natural language input capabilities used for health-related purposes. Methods: We searched PubMed, Embase, CINAHL, PsycInfo, and ACM Digital using a predefined search strategy. Studies were included if they focused on consumers or healthcare professionals; involved a conversational agent using any unconstrained natural language input; and reported evaluation measures resulting from user interaction with the system. Studies were screened by independent reviewers and Cohen's kappa measured inter-coder agreement. Results: The database search retrieved 1513 citations; 17 articles (14 different conversational agents) met the inclusion criteria. Dialogue management strategies were mostly finite-state and frame-based (6 and 7 conversational agents, respectively); agent-based strategies were present in one type of system. Two studies were randomized controlled trials (RCTs), 1 was cross-sectional, and the remaining were quasi-experimental. Half of the conversational agents supported consumers with health tasks such as self-care. The only RCT evaluating the efficacy of a conversational agent found a significant effect in reducing depression symptoms (effect size d=0.44, p=.04). Patient safety was rarely evaluated in the included studies. Conclusions: The use of conversational agents with unconstrained natural language input capabilities for health-related purposes is an emerging field of research, where the few published studies were mainly quasiexperimental, and rarely evaluated efficacy or safety. Future studies would benefit from more robust experimental designs and standardized reporting.","author":[{"dropping-particle":"","family":"Laranjo","given":"Liliana","non-dropping-particle":"","parse-names":false,"suffix":""},{"dropping-particle":"","family":"Dunn","given":"Adam G.","non-dropping-particle":"","parse-names":false,"suffix":""},{"dropping-particle":"","family":"Tong","given":"Huong Ly","non-dropping-particle":"","parse-names":false,"suffix":""},{"dropping-particle":"","family":"Kocaballi","given":"Ahmet Baki","non-dropping-particle":"","parse-names":false,"suffix":""},{"dropping-particle":"","family":"Chen","given":"Jessica","non-dropping-particle":"","parse-names":false,"suffix":""},{"dropping-particle":"","family":"Bashir","given":"Rabia","non-dropping-particle":"","parse-names":false,"suffix":""},{"dropping-particle":"","family":"Surian","given":"Didi","non-dropping-particle":"","parse-names":false,"suffix":""},{"dropping-particle":"","family":"Gallego","given":"Blanca","non-dropping-particle":"","parse-names":false,"suffix":""},{"dropping-particle":"","family":"Magrabi","given":"Farah","non-dropping-particle":"","parse-names":false,"suffix":""},{"dropping-particle":"","family":"Lau","given":"Annie Y.S.","non-dropping-particle":"","parse-names":false,"suffix":""},{"dropping-particle":"","family":"Coiera","given":"Enrico","non-dropping-particle":"","parse-names":false,"suffix":""}],"container-title":"Journal of the American Medical Informatics Association","id":"ITEM-1","issue":"9","issued":{"date-parts":[["2018"]]},"page":"1248-1258","title":"Conversational agents in healthcare: A systematic review","type":"article-journal","volume":"25"},"uris":["http://www.mendeley.com/documents/?uuid=1ff7b130-2aac-4df6-843d-a36c7fad82b9"]}],"mendeley":{"formattedCitation":"(Laranjo et al., 2018)","plainTextFormattedCitation":"(Laranjo et al., 2018)","previouslyFormattedCitation":"(Laranjo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(Laranjo et al., 2018)</w:t>
            </w:r>
            <w:r w:rsidRPr="00B27AA8">
              <w:rPr>
                <w:rFonts w:ascii="Arial" w:hAnsi="Arial" w:cs="Arial"/>
                <w:sz w:val="20"/>
                <w:szCs w:val="20"/>
              </w:rPr>
              <w:fldChar w:fldCharType="end"/>
            </w:r>
          </w:p>
        </w:tc>
      </w:tr>
      <w:tr w:rsidR="00730A49" w:rsidRPr="00B27AA8" w14:paraId="5D0A1D91" w14:textId="77777777" w:rsidTr="00B27AA8">
        <w:trPr>
          <w:trHeight w:val="250"/>
        </w:trPr>
        <w:tc>
          <w:tcPr>
            <w:tcW w:w="439" w:type="dxa"/>
            <w:noWrap/>
          </w:tcPr>
          <w:p w14:paraId="5EB2C656" w14:textId="5D106D9E" w:rsidR="00730A49" w:rsidRPr="00B27AA8" w:rsidRDefault="00561A60" w:rsidP="00C93CB9">
            <w:pPr>
              <w:spacing w:before="120" w:after="12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5</w:t>
            </w:r>
          </w:p>
        </w:tc>
        <w:tc>
          <w:tcPr>
            <w:tcW w:w="3043" w:type="dxa"/>
            <w:hideMark/>
          </w:tcPr>
          <w:p w14:paraId="0B6FBE1E"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Commercial telemedicine</w:t>
            </w:r>
          </w:p>
        </w:tc>
        <w:tc>
          <w:tcPr>
            <w:tcW w:w="5444" w:type="dxa"/>
            <w:noWrap/>
            <w:hideMark/>
          </w:tcPr>
          <w:p w14:paraId="58DD3573" w14:textId="14C89F7C" w:rsidR="00730A49" w:rsidRPr="00B27AA8" w:rsidRDefault="006230FE" w:rsidP="00C93CB9">
            <w:pPr>
              <w:spacing w:before="120" w:after="120"/>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Remote provision of medical advice by commercial providers</w:t>
            </w:r>
            <w:bookmarkStart w:id="0" w:name="_GoBack"/>
            <w:bookmarkEnd w:id="0"/>
          </w:p>
        </w:tc>
        <w:tc>
          <w:tcPr>
            <w:tcW w:w="2810" w:type="dxa"/>
            <w:noWrap/>
            <w:hideMark/>
          </w:tcPr>
          <w:p w14:paraId="39587197" w14:textId="43E3F6A2" w:rsidR="00730A49" w:rsidRPr="00B27AA8" w:rsidRDefault="00730A49"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Amazon.care; Apple’s AC Wellness; </w:t>
            </w:r>
            <w:r w:rsidRPr="00B27AA8">
              <w:rPr>
                <w:rFonts w:ascii="Arial" w:hAnsi="Arial" w:cs="Arial"/>
                <w:sz w:val="20"/>
                <w:szCs w:val="20"/>
              </w:rPr>
              <w:t xml:space="preserve">Diabetes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{"citationItems":[{"id":"ITEM-1","itemData":{"DOI":"10.1089/dia.2019.0090","author":[{"dropping-particle":"","family":"Garg","given":"Satish K","non-dropping-particle":"","parse-names":false,"suffix":""},{"dropping-particle":"","family":"Parkin","given":"Christopher G","non-dropping-particle":"","parse-names":false,"suffix":""}],"container-title":"Diabetes Technology and Therapeutics","id":"ITEM-1","issue":"supplement 2","issued":{"date-parts":[["2019"]]},"title":"The Emerging Role of Telemedicine and Mobile Health Technologies in Improving Diabetes Care","type":"article-journal","volume":"21"},"uris":["http://www.mendeley.com/documents/?uuid=0946c577-1287-4e48-9ea8-379cbabd4684"]}],"mendeley":{"formattedCitation":"(Garg &amp; Parkin, 2019)","plainTextFormattedCitation":"(Garg &amp; Parkin, 2019)","previouslyFormattedCitation":"(Garg &amp; Parkin,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(Garg &amp; Parkin, 2019)</w:t>
            </w:r>
            <w:r w:rsidRPr="00B27AA8">
              <w:rPr>
                <w:rFonts w:ascii="Arial" w:hAnsi="Arial" w:cs="Arial"/>
                <w:sz w:val="20"/>
                <w:szCs w:val="20"/>
              </w:rPr>
              <w:fldChar w:fldCharType="end"/>
            </w:r>
            <w:r w:rsidR="006230FE">
              <w:rPr>
                <w:rFonts w:ascii="Arial" w:hAnsi="Arial" w:cs="Arial"/>
                <w:sz w:val="20"/>
                <w:szCs w:val="20"/>
              </w:rPr>
              <w:t xml:space="preserve">; Teledoc </w:t>
            </w:r>
            <w:r w:rsidR="006230FE">
              <w:rPr>
                <w:rFonts w:ascii="Arial" w:hAnsi="Arial" w:cs="Arial"/>
                <w:sz w:val="20"/>
                <w:szCs w:val="20"/>
              </w:rPr>
              <w:fldChar w:fldCharType="begin" w:fldLock="1"/>
            </w:r>
            <w:r w:rsidR="006230FE">
              <w:rPr>
                <w:rFonts w:ascii="Arial" w:hAnsi="Arial" w:cs="Arial"/>
                <w:sz w:val="20"/>
                <w:szCs w:val="20"/>
              </w:rPr>
              <w:instrText>ADDIN CSL_CITATION {"citationItems":[{"id":"ITEM-1","itemData":{"DOI":"10.1089/tmj.2015.0079","ISSN":"15563669","abstract":"Background: Direct-to-consumer (DTC) telemedicine serves millions of patients; however, there is limited research on the care provided. This study compared the quality of care at Teladoc (www.teladoc.com), a large DTC telemedicine company, with that at physician offices and compared access to care for Teladoc users and nonusers. Materials and Methods: Claims from all enrollees 18-64 years of age in the California Public Employees' Retirement System health maintenance organization between April 2012 and October 2013 were analyzed. We compared the performance of Teladoc and physician offices on applicable Healthcare Effectiveness Data and Information Set measures. Using geographic information system analyses, we compared Teladoc users and nonusers with respect to rural location and available primary care physicians. Results: Of enrollees offered Teladoc (n = 233,915), 3,043 adults had a total of 4,657 Teladoc visits. For the pharyngitis performance measure (ordering strep test), Teladoc performed worse than physician offices (3% versus 50%, p &lt; 0.01). For the back pain measure (not ordering imaging), Teladoc and physician offices had similar performance (88% versus 79%, p = 0.20). For the bronchitis measure (not ordering antibiotics), Teladoc performed worse than physician offices (16.7 versus 27.9%, p &lt; 0.01). In adjusted models, Teladoc users were not more likely to be located within a healthcare professional shortage area (odds ratio = 1.12, p = 0.10) or rural location (odds ratio = 1.0, p = 0.10). Conclusions: Teladoc providers were less likely to order diagnostic testing and had poorer performance on appropriate antibiotic prescribing for bronchitis. Teladoc users were not preferentially located in underserved communities. Short-term needs include ongoing monitoring of quality and additional marketing and education to increase telemedicine use among underserved patients.","author":[{"dropping-particle":"","family":"Uscher-Pines","given":"Lori","non-dropping-particle":"","parse-names":false,"suffix":""},{"dropping-particle":"","family":"Mulcahy","given":"Andrew","non-dropping-particle":"","parse-names":false,"suffix":""},{"dropping-particle":"","family":"Cowling","given":"David","non-dropping-particle":"","parse-names":false,"suffix":""},{"dropping-particle":"","family":"Hunter","given":"Gerald","non-dropping-particle":"","parse-names":false,"suffix":""},{"dropping-particle":"","family":"Burns","given":"Rachel","non-dropping-particle":"","parse-names":false,"suffix":""},{"dropping-particle":"","family":"Mehrotra","given":"Ateev","non-dropping-particle":"","parse-names":false,"suffix":""}],"container-title":"Telemedicine and e-Health","id":"ITEM-1","issue":"4","issued":{"date-parts":[["2016"]]},"page":"282-287","title":"Access and quality of care in direct-to-consumer telemedicine","type":"article-journal","volume":"22"},"uris":["http://www.mendeley.com/documents/?uuid=2400d736-976c-45a2-836f-a5460e2b93b3"]}],"mendeley":{"formattedCitation":"(Uscher-Pines et al., 2016)","plainTextFormattedCitation":"(Uscher-Pines et al., 2016)"},"properties":{"noteIndex":0},"schema":"https://github.com/citation-style-language/schema/raw/master/csl-citation.json"}</w:instrText>
            </w:r>
            <w:r w:rsidR="006230FE">
              <w:rPr>
                <w:rFonts w:ascii="Arial" w:hAnsi="Arial" w:cs="Arial"/>
                <w:sz w:val="20"/>
                <w:szCs w:val="20"/>
              </w:rPr>
              <w:fldChar w:fldCharType="separate"/>
            </w:r>
            <w:r w:rsidR="006230FE" w:rsidRPr="007135C7">
              <w:rPr>
                <w:rFonts w:ascii="Arial" w:hAnsi="Arial" w:cs="Arial"/>
                <w:noProof/>
                <w:sz w:val="20"/>
                <w:szCs w:val="20"/>
              </w:rPr>
              <w:t>(Uscher-Pines et al., 2016)</w:t>
            </w:r>
            <w:r w:rsidR="006230FE">
              <w:rPr>
                <w:rFonts w:ascii="Arial" w:hAnsi="Arial" w:cs="Arial"/>
                <w:sz w:val="20"/>
                <w:szCs w:val="20"/>
              </w:rPr>
              <w:fldChar w:fldCharType="end"/>
            </w:r>
          </w:p>
        </w:tc>
        <w:tc>
          <w:tcPr>
            <w:tcW w:w="3285" w:type="dxa"/>
            <w:noWrap/>
            <w:hideMark/>
          </w:tcPr>
          <w:p w14:paraId="110A8E84" w14:textId="7840F69B" w:rsidR="00730A49" w:rsidRPr="00B27AA8" w:rsidRDefault="006230FE" w:rsidP="00C93CB9">
            <w:pPr>
              <w:spacing w:before="120" w:after="120"/>
              <w:rPr>
                <w:rFonts w:ascii="Arial" w:eastAsia="Times New Roman" w:hAnsi="Arial" w:cs="Arial"/>
                <w:sz w:val="20"/>
                <w:szCs w:val="20"/>
                <w:lang w:eastAsia="en-GB"/>
              </w:rPr>
            </w:pPr>
            <w:r>
              <w:rPr>
                <w:rFonts w:ascii="Arial" w:eastAsia="Times New Roman" w:hAnsi="Arial" w:cs="Arial"/>
                <w:sz w:val="20"/>
                <w:szCs w:val="20"/>
                <w:lang w:eastAsia="en-GB"/>
              </w:rPr>
              <w:t xml:space="preserve">General resource </w:t>
            </w:r>
            <w:r>
              <w:rPr>
                <w:rFonts w:ascii="Arial" w:eastAsia="Times New Roman" w:hAnsi="Arial" w:cs="Arial"/>
                <w:sz w:val="20"/>
                <w:szCs w:val="20"/>
                <w:lang w:eastAsia="en-GB"/>
              </w:rPr>
              <w:fldChar w:fldCharType="begin" w:fldLock="1"/>
            </w:r>
            <w:r>
              <w:rPr>
                <w:rFonts w:ascii="Arial" w:eastAsia="Times New Roman" w:hAnsi="Arial" w:cs="Arial"/>
                <w:sz w:val="20"/>
                <w:szCs w:val="20"/>
                <w:lang w:eastAsia="en-GB"/>
              </w:rPr>
              <w:instrText>ADDIN CSL_CITATION {"citationItems":[{"id":"ITEM-1","itemData":{"ISBN":"0-8261-1302-8","author":[{"dropping-particle":"","family":"Darkins","given":"Adam William","non-dropping-particle":"","parse-names":false,"suffix":""},{"dropping-particle":"","family":"Cary","given":"Margarent Ann","non-dropping-particle":"","parse-names":false,"suffix":""}],"id":"ITEM-1","issued":{"date-parts":[["2000"]]},"publisher":"Springer","publisher-place":"New York, NY","title":"Telemedicine and Telehealth: Principles, Policies, Performances and Pitfalls","type":"book"},"uris":["http://www.mendeley.com/documents/?uuid=a5b604ef-e006-4e46-8cee-052f0010a442"]}],"mendeley":{"formattedCitation":"(Darkins &amp; Cary, 2000)","plainTextFormattedCitation":"(Darkins &amp; Cary, 2000)"},"properties":{"noteIndex":0},"schema":"https://github.com/citation-style-language/schema/raw/master/csl-citation.json"}</w:instrText>
            </w:r>
            <w:r>
              <w:rPr>
                <w:rFonts w:ascii="Arial" w:eastAsia="Times New Roman" w:hAnsi="Arial" w:cs="Arial"/>
                <w:sz w:val="20"/>
                <w:szCs w:val="20"/>
                <w:lang w:eastAsia="en-GB"/>
              </w:rPr>
              <w:fldChar w:fldCharType="separate"/>
            </w:r>
            <w:r w:rsidRPr="007135C7">
              <w:rPr>
                <w:rFonts w:ascii="Arial" w:eastAsia="Times New Roman" w:hAnsi="Arial" w:cs="Arial"/>
                <w:noProof/>
                <w:sz w:val="20"/>
                <w:szCs w:val="20"/>
                <w:lang w:eastAsia="en-GB"/>
              </w:rPr>
              <w:t>(Darkins &amp; Cary, 2000)</w:t>
            </w:r>
            <w:r>
              <w:rPr>
                <w:rFonts w:ascii="Arial" w:eastAsia="Times New Roman" w:hAnsi="Arial" w:cs="Arial"/>
                <w:sz w:val="20"/>
                <w:szCs w:val="20"/>
                <w:lang w:eastAsia="en-GB"/>
              </w:rPr>
              <w:fldChar w:fldCharType="end"/>
            </w:r>
          </w:p>
        </w:tc>
      </w:tr>
    </w:tbl>
    <w:p w14:paraId="3616C70D" w14:textId="77777777" w:rsidR="00782CC2" w:rsidRPr="00B27AA8" w:rsidRDefault="00782CC2">
      <w:pPr>
        <w:rPr>
          <w:rFonts w:ascii="Arial" w:hAnsi="Arial" w:cs="Arial"/>
          <w:sz w:val="20"/>
          <w:szCs w:val="20"/>
        </w:rPr>
      </w:pPr>
    </w:p>
    <w:sectPr w:rsidR="00782CC2" w:rsidRPr="00B27AA8" w:rsidSect="001A44B7">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E6029"/>
    <w:multiLevelType w:val="hybridMultilevel"/>
    <w:tmpl w:val="35042E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CC2"/>
    <w:rsid w:val="000E0FC4"/>
    <w:rsid w:val="00106D11"/>
    <w:rsid w:val="00131B5D"/>
    <w:rsid w:val="001A44B7"/>
    <w:rsid w:val="001C493C"/>
    <w:rsid w:val="001C6DBC"/>
    <w:rsid w:val="0022282F"/>
    <w:rsid w:val="002B1538"/>
    <w:rsid w:val="002E75EA"/>
    <w:rsid w:val="003911CC"/>
    <w:rsid w:val="004D1594"/>
    <w:rsid w:val="00561A60"/>
    <w:rsid w:val="0058573C"/>
    <w:rsid w:val="006230FE"/>
    <w:rsid w:val="006E3405"/>
    <w:rsid w:val="006F548D"/>
    <w:rsid w:val="00730A49"/>
    <w:rsid w:val="007503BA"/>
    <w:rsid w:val="00782CC2"/>
    <w:rsid w:val="009E7AB8"/>
    <w:rsid w:val="00B27AA8"/>
    <w:rsid w:val="00BB64DA"/>
    <w:rsid w:val="00C93CB9"/>
    <w:rsid w:val="00DC0A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026B"/>
  <w15:chartTrackingRefBased/>
  <w15:docId w15:val="{7A665EE8-0EEE-45CD-92FF-3ECFD938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06D1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semiHidden/>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106D1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106D11"/>
    <w:rPr>
      <w:rFonts w:asciiTheme="majorHAnsi" w:eastAsiaTheme="majorEastAsia" w:hAnsiTheme="majorHAnsi" w:cstheme="majorBidi"/>
      <w:i/>
      <w:iCs/>
    </w:rPr>
  </w:style>
  <w:style w:type="table" w:styleId="GridTable4-Accent5">
    <w:name w:val="Grid Table 4 Accent 5"/>
    <w:basedOn w:val="TableNormal"/>
    <w:uiPriority w:val="49"/>
    <w:rsid w:val="00782C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1A44B7"/>
    <w:rPr>
      <w:sz w:val="16"/>
      <w:szCs w:val="16"/>
    </w:rPr>
  </w:style>
  <w:style w:type="paragraph" w:styleId="CommentText">
    <w:name w:val="annotation text"/>
    <w:basedOn w:val="Normal"/>
    <w:link w:val="CommentTextChar"/>
    <w:uiPriority w:val="99"/>
    <w:semiHidden/>
    <w:unhideWhenUsed/>
    <w:rsid w:val="001A44B7"/>
    <w:pPr>
      <w:spacing w:line="240" w:lineRule="auto"/>
    </w:pPr>
    <w:rPr>
      <w:sz w:val="20"/>
      <w:szCs w:val="20"/>
    </w:rPr>
  </w:style>
  <w:style w:type="character" w:customStyle="1" w:styleId="CommentTextChar">
    <w:name w:val="Comment Text Char"/>
    <w:basedOn w:val="DefaultParagraphFont"/>
    <w:link w:val="CommentText"/>
    <w:uiPriority w:val="99"/>
    <w:semiHidden/>
    <w:rsid w:val="001A44B7"/>
    <w:rPr>
      <w:sz w:val="20"/>
      <w:szCs w:val="20"/>
    </w:rPr>
  </w:style>
  <w:style w:type="paragraph" w:styleId="CommentSubject">
    <w:name w:val="annotation subject"/>
    <w:basedOn w:val="CommentText"/>
    <w:next w:val="CommentText"/>
    <w:link w:val="CommentSubjectChar"/>
    <w:uiPriority w:val="99"/>
    <w:semiHidden/>
    <w:unhideWhenUsed/>
    <w:rsid w:val="001A44B7"/>
    <w:rPr>
      <w:b/>
      <w:bCs/>
    </w:rPr>
  </w:style>
  <w:style w:type="character" w:customStyle="1" w:styleId="CommentSubjectChar">
    <w:name w:val="Comment Subject Char"/>
    <w:basedOn w:val="CommentTextChar"/>
    <w:link w:val="CommentSubject"/>
    <w:uiPriority w:val="99"/>
    <w:semiHidden/>
    <w:rsid w:val="001A44B7"/>
    <w:rPr>
      <w:b/>
      <w:bCs/>
      <w:sz w:val="20"/>
      <w:szCs w:val="20"/>
    </w:rPr>
  </w:style>
  <w:style w:type="paragraph" w:styleId="BalloonText">
    <w:name w:val="Balloon Text"/>
    <w:basedOn w:val="Normal"/>
    <w:link w:val="BalloonTextChar"/>
    <w:uiPriority w:val="99"/>
    <w:semiHidden/>
    <w:unhideWhenUsed/>
    <w:rsid w:val="001A44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4B7"/>
    <w:rPr>
      <w:rFonts w:ascii="Segoe UI" w:hAnsi="Segoe UI" w:cs="Segoe UI"/>
      <w:sz w:val="18"/>
      <w:szCs w:val="18"/>
    </w:rPr>
  </w:style>
  <w:style w:type="paragraph" w:styleId="ListParagraph">
    <w:name w:val="List Paragraph"/>
    <w:basedOn w:val="Normal"/>
    <w:uiPriority w:val="34"/>
    <w:qFormat/>
    <w:rsid w:val="00730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3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9EC6C-39EB-447B-B4C5-67F33072C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B54A27-10A4-4611-8CAC-182A1D5EAE7B}">
  <ds:schemaRefs>
    <ds:schemaRef ds:uri="http://purl.org/dc/dcmitype/"/>
    <ds:schemaRef ds:uri="http://schemas.microsoft.com/office/infopath/2007/PartnerControls"/>
    <ds:schemaRef ds:uri="http://purl.org/dc/elements/1.1/"/>
    <ds:schemaRef ds:uri="bbd61249-83b9-438e-a84b-789da273a8cb"/>
    <ds:schemaRef ds:uri="http://schemas.microsoft.com/office/2006/metadata/properties"/>
    <ds:schemaRef ds:uri="http://purl.org/dc/terms/"/>
    <ds:schemaRef ds:uri="http://schemas.openxmlformats.org/package/2006/metadata/core-properties"/>
    <ds:schemaRef ds:uri="http://schemas.microsoft.com/office/2006/documentManagement/types"/>
    <ds:schemaRef ds:uri="5e36aeda-f48f-46f3-9de8-7474189645c5"/>
    <ds:schemaRef ds:uri="http://www.w3.org/XML/1998/namespace"/>
  </ds:schemaRefs>
</ds:datastoreItem>
</file>

<file path=customXml/itemProps3.xml><?xml version="1.0" encoding="utf-8"?>
<ds:datastoreItem xmlns:ds="http://schemas.openxmlformats.org/officeDocument/2006/customXml" ds:itemID="{16521A54-B909-4BEF-B0D7-71B9DD741A47}">
  <ds:schemaRefs>
    <ds:schemaRef ds:uri="http://schemas.microsoft.com/sharepoint/v3/contenttype/forms"/>
  </ds:schemaRefs>
</ds:datastoreItem>
</file>

<file path=customXml/itemProps4.xml><?xml version="1.0" encoding="utf-8"?>
<ds:datastoreItem xmlns:ds="http://schemas.openxmlformats.org/officeDocument/2006/customXml" ds:itemID="{7187E27E-5964-46F2-8226-F2D09C33C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7224</Words>
  <Characters>41179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48307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4</cp:revision>
  <dcterms:created xsi:type="dcterms:W3CDTF">2020-04-20T07:38:00Z</dcterms:created>
  <dcterms:modified xsi:type="dcterms:W3CDTF">2020-04-20T08:11:00Z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0x0101006DE130CAEB37044C9F27A096B751B6FA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https://csl.mendeley.com/styles/450365071/apa</vt:lpwstr>
  </property>
  <property fmtid="{D5CDD505-2E9C-101B-9397-08002B2CF9AE}" pid="10" name="Mendeley Recent Style Name 3_1">
    <vt:lpwstr>American Psychological Association 6th edition - Guntur Kusuma</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d9b94113-83fb-3279-ac68-8a70b7357c0a</vt:lpwstr>
  </property>
  <property fmtid="{D5CDD505-2E9C-101B-9397-08002B2CF9AE}" pid="25" name="Mendeley Citation Style_1">
    <vt:lpwstr>https://csl.mendeley.com/styles/450365071/apa</vt:lpwstr>
  </property>
</Properties>
</file>