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A30419" w14:textId="77777777" w:rsidR="000E0FC4" w:rsidRPr="00B27AA8" w:rsidRDefault="000E0FC4">
      <w:pPr>
        <w:rPr>
          <w:rFonts w:ascii="Arial" w:hAnsi="Arial" w:cs="Arial"/>
          <w:sz w:val="20"/>
          <w:szCs w:val="20"/>
        </w:rPr>
      </w:pPr>
    </w:p>
    <w:tbl>
      <w:tblPr>
        <w:tblW w:w="15021" w:type="dxa"/>
        <w:tblLook w:val="04A0" w:firstRow="1" w:lastRow="0" w:firstColumn="1" w:lastColumn="0" w:noHBand="0" w:noVBand="1"/>
      </w:tblPr>
      <w:tblGrid>
        <w:gridCol w:w="439"/>
        <w:gridCol w:w="3043"/>
        <w:gridCol w:w="5444"/>
        <w:gridCol w:w="2810"/>
        <w:gridCol w:w="3285"/>
      </w:tblGrid>
      <w:tr w:rsidR="00782CC2" w:rsidRPr="00B27AA8" w14:paraId="40FF1B76" w14:textId="77777777" w:rsidTr="00B27AA8">
        <w:trPr>
          <w:trHeight w:val="260"/>
        </w:trPr>
        <w:tc>
          <w:tcPr>
            <w:tcW w:w="439" w:type="dxa"/>
            <w:tcBorders>
              <w:top w:val="single" w:sz="4" w:space="0" w:color="auto"/>
              <w:bottom w:val="single" w:sz="4" w:space="0" w:color="auto"/>
            </w:tcBorders>
            <w:noWrap/>
            <w:hideMark/>
          </w:tcPr>
          <w:p w14:paraId="51E10DBF" w14:textId="77777777" w:rsidR="00782CC2" w:rsidRPr="00B27AA8" w:rsidRDefault="00782CC2" w:rsidP="00B27AA8">
            <w:pPr>
              <w:spacing w:before="120" w:after="120"/>
              <w:jc w:val="center"/>
              <w:rPr>
                <w:rFonts w:ascii="Arial" w:eastAsia="Times New Roman" w:hAnsi="Arial" w:cs="Arial"/>
                <w:b/>
                <w:sz w:val="20"/>
                <w:szCs w:val="20"/>
                <w:lang w:eastAsia="en-GB"/>
              </w:rPr>
            </w:pPr>
          </w:p>
        </w:tc>
        <w:tc>
          <w:tcPr>
            <w:tcW w:w="3043" w:type="dxa"/>
            <w:tcBorders>
              <w:top w:val="single" w:sz="4" w:space="0" w:color="auto"/>
              <w:bottom w:val="single" w:sz="4" w:space="0" w:color="auto"/>
            </w:tcBorders>
            <w:hideMark/>
          </w:tcPr>
          <w:p w14:paraId="41D929FC" w14:textId="77777777" w:rsidR="00782CC2" w:rsidRPr="00B27AA8" w:rsidRDefault="00782CC2" w:rsidP="00B27AA8">
            <w:pPr>
              <w:spacing w:before="120" w:after="120"/>
              <w:rPr>
                <w:rFonts w:ascii="Arial" w:eastAsia="Times New Roman" w:hAnsi="Arial" w:cs="Arial"/>
                <w:b/>
                <w:color w:val="000000"/>
                <w:sz w:val="20"/>
                <w:szCs w:val="20"/>
                <w:lang w:eastAsia="en-GB"/>
              </w:rPr>
            </w:pPr>
            <w:r w:rsidRPr="00B27AA8">
              <w:rPr>
                <w:rFonts w:ascii="Arial" w:eastAsia="Times New Roman" w:hAnsi="Arial" w:cs="Arial"/>
                <w:b/>
                <w:color w:val="000000"/>
                <w:sz w:val="20"/>
                <w:szCs w:val="20"/>
                <w:lang w:eastAsia="en-GB"/>
              </w:rPr>
              <w:t>Technology</w:t>
            </w:r>
          </w:p>
        </w:tc>
        <w:tc>
          <w:tcPr>
            <w:tcW w:w="5444" w:type="dxa"/>
            <w:tcBorders>
              <w:top w:val="single" w:sz="4" w:space="0" w:color="auto"/>
              <w:bottom w:val="single" w:sz="4" w:space="0" w:color="auto"/>
            </w:tcBorders>
            <w:noWrap/>
            <w:hideMark/>
          </w:tcPr>
          <w:p w14:paraId="432C7AF8" w14:textId="77777777" w:rsidR="00782CC2" w:rsidRPr="00B27AA8" w:rsidRDefault="00782CC2" w:rsidP="00B27AA8">
            <w:pPr>
              <w:spacing w:before="120" w:after="120"/>
              <w:jc w:val="center"/>
              <w:rPr>
                <w:rFonts w:ascii="Arial" w:eastAsia="Times New Roman" w:hAnsi="Arial" w:cs="Arial"/>
                <w:b/>
                <w:color w:val="000000"/>
                <w:sz w:val="20"/>
                <w:szCs w:val="20"/>
                <w:lang w:eastAsia="en-GB"/>
              </w:rPr>
            </w:pPr>
            <w:r w:rsidRPr="00B27AA8">
              <w:rPr>
                <w:rFonts w:ascii="Arial" w:eastAsia="Times New Roman" w:hAnsi="Arial" w:cs="Arial"/>
                <w:b/>
                <w:color w:val="000000"/>
                <w:sz w:val="20"/>
                <w:szCs w:val="20"/>
                <w:lang w:eastAsia="en-GB"/>
              </w:rPr>
              <w:t>Explanation</w:t>
            </w:r>
          </w:p>
        </w:tc>
        <w:tc>
          <w:tcPr>
            <w:tcW w:w="2810" w:type="dxa"/>
            <w:tcBorders>
              <w:top w:val="single" w:sz="4" w:space="0" w:color="auto"/>
              <w:bottom w:val="single" w:sz="4" w:space="0" w:color="auto"/>
            </w:tcBorders>
            <w:noWrap/>
            <w:hideMark/>
          </w:tcPr>
          <w:p w14:paraId="1C764E71" w14:textId="77777777" w:rsidR="00782CC2" w:rsidRPr="00B27AA8" w:rsidRDefault="00782CC2" w:rsidP="00B27AA8">
            <w:pPr>
              <w:spacing w:before="120" w:after="120"/>
              <w:jc w:val="center"/>
              <w:rPr>
                <w:rFonts w:ascii="Arial" w:eastAsia="Times New Roman" w:hAnsi="Arial" w:cs="Arial"/>
                <w:b/>
                <w:color w:val="000000"/>
                <w:sz w:val="20"/>
                <w:szCs w:val="20"/>
                <w:lang w:eastAsia="en-GB"/>
              </w:rPr>
            </w:pPr>
            <w:r w:rsidRPr="00B27AA8">
              <w:rPr>
                <w:rFonts w:ascii="Arial" w:eastAsia="Times New Roman" w:hAnsi="Arial" w:cs="Arial"/>
                <w:b/>
                <w:color w:val="000000"/>
                <w:sz w:val="20"/>
                <w:szCs w:val="20"/>
                <w:lang w:eastAsia="en-GB"/>
              </w:rPr>
              <w:t>Examples</w:t>
            </w:r>
          </w:p>
        </w:tc>
        <w:tc>
          <w:tcPr>
            <w:tcW w:w="3285" w:type="dxa"/>
            <w:tcBorders>
              <w:top w:val="single" w:sz="4" w:space="0" w:color="auto"/>
              <w:bottom w:val="single" w:sz="4" w:space="0" w:color="auto"/>
            </w:tcBorders>
            <w:noWrap/>
            <w:hideMark/>
          </w:tcPr>
          <w:p w14:paraId="01AC106F" w14:textId="77777777" w:rsidR="00782CC2" w:rsidRPr="00B27AA8" w:rsidRDefault="00782CC2" w:rsidP="00B27AA8">
            <w:pPr>
              <w:spacing w:before="120" w:after="120"/>
              <w:jc w:val="center"/>
              <w:rPr>
                <w:rFonts w:ascii="Arial" w:eastAsia="Times New Roman" w:hAnsi="Arial" w:cs="Arial"/>
                <w:b/>
                <w:color w:val="000000"/>
                <w:sz w:val="20"/>
                <w:szCs w:val="20"/>
                <w:lang w:eastAsia="en-GB"/>
              </w:rPr>
            </w:pPr>
            <w:r w:rsidRPr="00B27AA8">
              <w:rPr>
                <w:rFonts w:ascii="Arial" w:eastAsia="Times New Roman" w:hAnsi="Arial" w:cs="Arial"/>
                <w:b/>
                <w:color w:val="000000"/>
                <w:sz w:val="20"/>
                <w:szCs w:val="20"/>
                <w:lang w:eastAsia="en-GB"/>
              </w:rPr>
              <w:t>Key references</w:t>
            </w:r>
          </w:p>
        </w:tc>
      </w:tr>
      <w:tr w:rsidR="007B3842" w:rsidRPr="00B27AA8" w14:paraId="788BCB3A" w14:textId="77777777" w:rsidTr="00684A7C">
        <w:trPr>
          <w:trHeight w:val="500"/>
        </w:trPr>
        <w:tc>
          <w:tcPr>
            <w:tcW w:w="439" w:type="dxa"/>
            <w:shd w:val="clear" w:color="auto" w:fill="D5DCE4" w:themeFill="text2" w:themeFillTint="33"/>
            <w:noWrap/>
          </w:tcPr>
          <w:p w14:paraId="018A0302" w14:textId="21393C8C" w:rsidR="007B3842" w:rsidRPr="00B27AA8" w:rsidRDefault="007B3842" w:rsidP="007B3842">
            <w:pPr>
              <w:spacing w:before="120" w:after="120"/>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1</w:t>
            </w:r>
          </w:p>
        </w:tc>
        <w:tc>
          <w:tcPr>
            <w:tcW w:w="3043" w:type="dxa"/>
            <w:shd w:val="clear" w:color="auto" w:fill="D5DCE4" w:themeFill="text2" w:themeFillTint="33"/>
            <w:hideMark/>
          </w:tcPr>
          <w:p w14:paraId="26A21EB2" w14:textId="34605A1B" w:rsidR="007B3842" w:rsidRPr="00B27AA8" w:rsidRDefault="007B3842" w:rsidP="007B3842">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Wearables</w:t>
            </w:r>
          </w:p>
        </w:tc>
        <w:tc>
          <w:tcPr>
            <w:tcW w:w="5444" w:type="dxa"/>
            <w:shd w:val="clear" w:color="auto" w:fill="D5DCE4" w:themeFill="text2" w:themeFillTint="33"/>
            <w:noWrap/>
            <w:hideMark/>
          </w:tcPr>
          <w:p w14:paraId="34806AA2" w14:textId="5B70A0B0" w:rsidR="007B3842" w:rsidRPr="00B27AA8" w:rsidRDefault="007B3842" w:rsidP="007B3842">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Sensors that are worn on the body in clothing or directly attached or imbedded.</w:t>
            </w:r>
            <w:bookmarkStart w:id="0" w:name="_GoBack"/>
            <w:bookmarkEnd w:id="0"/>
          </w:p>
        </w:tc>
        <w:tc>
          <w:tcPr>
            <w:tcW w:w="2810" w:type="dxa"/>
            <w:shd w:val="clear" w:color="auto" w:fill="D5DCE4" w:themeFill="text2" w:themeFillTint="33"/>
            <w:noWrap/>
            <w:hideMark/>
          </w:tcPr>
          <w:p w14:paraId="3D879145" w14:textId="20F184FA" w:rsidR="007B3842" w:rsidRPr="00B27AA8" w:rsidRDefault="007B3842" w:rsidP="007B3842">
            <w:pPr>
              <w:spacing w:before="120" w:after="120"/>
              <w:rPr>
                <w:rFonts w:ascii="Arial" w:eastAsia="Times New Roman" w:hAnsi="Arial" w:cs="Arial"/>
                <w:sz w:val="20"/>
                <w:szCs w:val="20"/>
                <w:lang w:eastAsia="en-GB"/>
              </w:rPr>
            </w:pPr>
            <w:r>
              <w:rPr>
                <w:rFonts w:ascii="Arial" w:eastAsia="Times New Roman" w:hAnsi="Arial" w:cs="Arial"/>
                <w:sz w:val="20"/>
                <w:szCs w:val="20"/>
                <w:lang w:eastAsia="en-GB"/>
              </w:rPr>
              <w:t xml:space="preserve">Fitbit for heart rate monitoring </w:t>
            </w:r>
            <w:r>
              <w:rPr>
                <w:rFonts w:ascii="Arial" w:eastAsia="Times New Roman" w:hAnsi="Arial" w:cs="Arial"/>
                <w:sz w:val="20"/>
                <w:szCs w:val="20"/>
                <w:lang w:eastAsia="en-GB"/>
              </w:rPr>
              <w:fldChar w:fldCharType="begin" w:fldLock="1"/>
            </w:r>
            <w:r>
              <w:rPr>
                <w:rFonts w:ascii="Arial" w:eastAsia="Times New Roman" w:hAnsi="Arial" w:cs="Arial"/>
                <w:sz w:val="20"/>
                <w:szCs w:val="20"/>
                <w:lang w:eastAsia="en-GB"/>
              </w:rPr>
              <w:instrText>ADDIN CSL_CITATION {"citationItems":[{"id":"ITEM-1","itemData":{"DOI":"10.1371/journal.pone.0192691","ISBN":"1111111111","ISSN":"19326203","abstract":"Fitness trackers are devices or applications for monitoring and tracking fitness-related metrics such as distance walked or run, calorie consumption, quality of sleep and heart rate. Since accurate heart rate monitoring is essential in fitness training, the objective of this study was to assess the accuracy and precision of the Fitbit Charge 2 for measuring heart rate with respect to a gold standard electrocardiograph. Fifteen healthy participants were asked to ride a stationary bike for 10 minutes and their heart rate was simultaneously recorded from each device. Results showed that the Fitbit Charge 2 underestimates the heart rate. Although the mean bias in measuring heart rate was a modest -5.9 bpm (95% CI: -6.1 to -5.6 bpm), the limits of agreement, which indicate the precision of individual measurements, between the Fitbit Charge 2 and criterion measure were wide (+16.8 to -28.5 bpm) indicating that an individual heart rate measure could plausibly be underestimated by almost 30 bpm.","author":[{"dropping-particle":"","family":"Benedetto","given":"Simone","non-dropping-particle":"","parse-names":false,"suffix":""},{"dropping-particle":"","family":"Caldato","given":"Christian","non-dropping-particle":"","parse-names":false,"suffix":""},{"dropping-particle":"","family":"Bazzan","given":"Elia","non-dropping-particle":"","parse-names":false,"suffix":""},{"dropping-particle":"","family":"Greenwood","given":"Darren C.","non-dropping-particle":"","parse-names":false,"suffix":""},{"dropping-particle":"","family":"Pensabene","given":"Virginia","non-dropping-particle":"","parse-names":false,"suffix":""},{"dropping-particle":"","family":"Actis","given":"Paolo","non-dropping-particle":"","parse-names":false,"suffix":""}],"container-title":"PLoS ONE","id":"ITEM-1","issue":"2","issued":{"date-parts":[["2018"]]},"page":"1-10","title":"Assessment of the fitbit charge 2 for monitoring heart rate","type":"article-journal","volume":"13"},"uris":["http://www.mendeley.com/documents/?uuid=0d2c4077-8f95-4df2-bd17-f565453d7411"]}],"mendeley":{"formattedCitation":"(Benedetto et al., 2018)","plainTextFormattedCitation":"(Benedetto et al., 2018)","previouslyFormattedCitation":"(Benedetto et al., 2018)"},"properties":{"noteIndex":0},"schema":"https://github.com/citation-style-language/schema/raw/master/csl-citation.json"}</w:instrText>
            </w:r>
            <w:r>
              <w:rPr>
                <w:rFonts w:ascii="Arial" w:eastAsia="Times New Roman" w:hAnsi="Arial" w:cs="Arial"/>
                <w:sz w:val="20"/>
                <w:szCs w:val="20"/>
                <w:lang w:eastAsia="en-GB"/>
              </w:rPr>
              <w:fldChar w:fldCharType="separate"/>
            </w:r>
            <w:r w:rsidRPr="007135C7">
              <w:rPr>
                <w:rFonts w:ascii="Arial" w:eastAsia="Times New Roman" w:hAnsi="Arial" w:cs="Arial"/>
                <w:noProof/>
                <w:sz w:val="20"/>
                <w:szCs w:val="20"/>
                <w:lang w:eastAsia="en-GB"/>
              </w:rPr>
              <w:t>(Benedetto et al., 2018)</w:t>
            </w:r>
            <w:r>
              <w:rPr>
                <w:rFonts w:ascii="Arial" w:eastAsia="Times New Roman" w:hAnsi="Arial" w:cs="Arial"/>
                <w:sz w:val="20"/>
                <w:szCs w:val="20"/>
                <w:lang w:eastAsia="en-GB"/>
              </w:rPr>
              <w:fldChar w:fldCharType="end"/>
            </w:r>
            <w:r>
              <w:rPr>
                <w:rFonts w:ascii="Arial" w:eastAsia="Times New Roman" w:hAnsi="Arial" w:cs="Arial"/>
                <w:sz w:val="20"/>
                <w:szCs w:val="20"/>
                <w:lang w:eastAsia="en-GB"/>
              </w:rPr>
              <w:t xml:space="preserve">; Actiwatch for sleep tracking </w:t>
            </w:r>
            <w:r>
              <w:rPr>
                <w:rFonts w:ascii="Arial" w:eastAsia="Times New Roman" w:hAnsi="Arial" w:cs="Arial"/>
                <w:sz w:val="20"/>
                <w:szCs w:val="20"/>
                <w:lang w:eastAsia="en-GB"/>
              </w:rPr>
              <w:fldChar w:fldCharType="begin" w:fldLock="1"/>
            </w:r>
            <w:r>
              <w:rPr>
                <w:rFonts w:ascii="Arial" w:eastAsia="Times New Roman" w:hAnsi="Arial" w:cs="Arial"/>
                <w:sz w:val="20"/>
                <w:szCs w:val="20"/>
                <w:lang w:eastAsia="en-GB"/>
              </w:rPr>
              <w:instrText>ADDIN CSL_CITATION {"citationItems":[{"id":"ITEM-1","itemData":{"DOI":"10.1111/jsr.12926","ISSN":"13652869","abstract":"Clinical actigraphy devices provide adequate estimates of some sleep measures across large groups. In practice, providers are asked to apply clinical or consumer wearable data to individual patient assessments. Inter-individual variability in device performance will impact such patient-specific interpretation. We assessed two devices, clinical and consumer, to determine the magnitude and predictors of this individual-level variability. One hundred and two patients (55 [53.9%] female; 56.4 [±16.3] years old) undergoing polysomnography wore Jawbone UP3 and/or Actiwatch2. Device total sleep time, sleep efficiency, wake after sleep onset and sleep latency were compared with polysomnography. Demographics, sleep architecture and clinical measures were compared to device performance. Actiwatch overestimated total sleep time by 27.2 min (95% confidence limits [CL], 138.3 min over to 84.0 under), overestimated sleep efficiency by 6.8% (95% CL, 34.1% over to 20.5% under), overestimated sleep onset latency by 2.6 min (95% CL, 63.3 over to 58.2 under) and underestimated wake after sleep onset by 50.7 min (95% CL, 162.5 under to 61.2 over). Jawbone overestimated total sleep time by 59.1 min (95% CL, 208.6 min over to 90.5 under) and overestimated sleep efficiency by 14.9% (95% CL, 52.6% over to 22.7% under). In multivariate models, age, sleep onset latency, wake after sleep onset, % N1 and apnea–hypopnea index explained only some of the variance in device performance. Gender also affected performance. Actiwatch and Jawbone mis-estimate sleep measures with very wide confidence limits and accuracy varies with multiple patient-level characteristics. Given these large individual inaccuracies, data from these devices must be applied only with extreme caution in clinical practice.","author":[{"dropping-particle":"","family":"Danzig","given":"Rachel","non-dropping-particle":"","parse-names":false,"suffix":""},{"dropping-particle":"","family":"Wang","given":"Mengxi","non-dropping-particle":"","parse-names":false,"suffix":""},{"dropping-particle":"","family":"Shah","given":"Amit","non-dropping-particle":"","parse-names":false,"suffix":""},{"dropping-particle":"","family":"Trotti","given":"Lynn Marie","non-dropping-particle":"","parse-names":false,"suffix":""}],"container-title":"Journal of Sleep Research","id":"ITEM-1","issue":"1","issued":{"date-parts":[["2020"]]},"page":"1-10","title":"The wrist is not the brain: Estimation of sleep by clinical and consumer wearable actigraphy devices is impacted by multiple patient- and device-specific factors","type":"article-journal","volume":"29"},"uris":["http://www.mendeley.com/documents/?uuid=c5795044-51ce-4d44-a51c-40fc7044d195"]}],"mendeley":{"formattedCitation":"(Danzig et al., 2020)","plainTextFormattedCitation":"(Danzig et al., 2020)","previouslyFormattedCitation":"(Danzig et al., 2020)"},"properties":{"noteIndex":0},"schema":"https://github.com/citation-style-language/schema/raw/master/csl-citation.json"}</w:instrText>
            </w:r>
            <w:r>
              <w:rPr>
                <w:rFonts w:ascii="Arial" w:eastAsia="Times New Roman" w:hAnsi="Arial" w:cs="Arial"/>
                <w:sz w:val="20"/>
                <w:szCs w:val="20"/>
                <w:lang w:eastAsia="en-GB"/>
              </w:rPr>
              <w:fldChar w:fldCharType="separate"/>
            </w:r>
            <w:r w:rsidRPr="002A56E9">
              <w:rPr>
                <w:rFonts w:ascii="Arial" w:eastAsia="Times New Roman" w:hAnsi="Arial" w:cs="Arial"/>
                <w:noProof/>
                <w:sz w:val="20"/>
                <w:szCs w:val="20"/>
                <w:lang w:eastAsia="en-GB"/>
              </w:rPr>
              <w:t>(Danzig et al., 2020)</w:t>
            </w:r>
            <w:r>
              <w:rPr>
                <w:rFonts w:ascii="Arial" w:eastAsia="Times New Roman" w:hAnsi="Arial" w:cs="Arial"/>
                <w:sz w:val="20"/>
                <w:szCs w:val="20"/>
                <w:lang w:eastAsia="en-GB"/>
              </w:rPr>
              <w:fldChar w:fldCharType="end"/>
            </w:r>
            <w:r>
              <w:rPr>
                <w:rFonts w:ascii="Arial" w:eastAsia="Times New Roman" w:hAnsi="Arial" w:cs="Arial"/>
                <w:sz w:val="20"/>
                <w:szCs w:val="20"/>
                <w:lang w:eastAsia="en-GB"/>
              </w:rPr>
              <w:t xml:space="preserve">; Eating, activity and sleep </w:t>
            </w:r>
            <w:r>
              <w:rPr>
                <w:rFonts w:ascii="Arial" w:eastAsia="Times New Roman" w:hAnsi="Arial" w:cs="Arial"/>
                <w:sz w:val="20"/>
                <w:szCs w:val="20"/>
                <w:lang w:eastAsia="en-GB"/>
              </w:rPr>
              <w:fldChar w:fldCharType="begin" w:fldLock="1"/>
            </w:r>
            <w:r>
              <w:rPr>
                <w:rFonts w:ascii="Arial" w:eastAsia="Times New Roman" w:hAnsi="Arial" w:cs="Arial"/>
                <w:sz w:val="20"/>
                <w:szCs w:val="20"/>
                <w:lang w:eastAsia="en-GB"/>
              </w:rPr>
              <w:instrText>ADDIN CSL_CITATION {"citationItems":[{"id":"ITEM-1","itemData":{"DOI":"10.1007/s41347-018-0060-8","abstract":"An emerging area ofnutrition research is examining the health benefits ofconsuming plant-based diets (PBDs) since vegans or vegetarians tend to have better health outcomes than omnivores. However, a majority ofthe studies on PBDs rely on self-reported data for measuring dietary data and other variables, which are prone to bias or measurement error. One way to potentially address the limitations from current research is to use objective measurements. The development of various mobile health (mHealth) technologies, such as smart phone applications, automated text messaging, or wearable fitness activity monitors, allows re- searchers to use a low-cost and low-burden approach for objectively measuring dietary data. This informed the development of the present study. We identified two wearable mHealth devices—the Bite Counter and Misfit Flash—for the purpose ofassessing eating, physical activity (PA), and sleep as compared to self-reported methods (dietary recalls, PA questionnaire, sleep dairies). Thirty-four participants that were following one oftwo diets (n = 12 vegetarian; n = 22 omnivore) enrolled in the study and used both devices for a week. Examining data from the devices, the vegetarian group averaged more daily steps (9909 ± 878 vege- tarian vs. 6450 ± 566 omnivore, p &lt; 0.001) and the omnivore group averaged more minutes oflight sleep each night (247.4 ± 11.8 omnivore vs. 182.3 ± 18.9 vegetarian, p &lt; 0.001); however, there were no differences in self-reported sleep or PA measures. These findings suggest wearable methods may represent a low-burden and more effective approach to collecting behavioral data that may not be captured using traditional self-reported methods.","author":[{"dropping-particle":"","family":"Crimarco","given":"Anthony","non-dropping-particle":"","parse-names":false,"suffix":""},{"dropping-particle":"","family":"Turner-McGrievy","given":"Gabrielle M.","non-dropping-particle":"","parse-names":false,"suffix":""},{"dropping-particle":"","family":"Wright","given":"Marquivieus","non-dropping-particle":"","parse-names":false,"suffix":""}],"container-title":"Journal of Technology in Behavioral Science","id":"ITEM-1","issue":"4","issued":{"date-parts":[["2018"]]},"page":"259-267","title":"Use of Mobile Wearable Devices to Compare Eating, Physical Activity, and Sleep Between Individuals Following Vegetarian and Omnivorous Diets","type":"article-journal","volume":"3"},"uris":["http://www.mendeley.com/documents/?uuid=3e974f4d-a48f-4a2d-8625-fd4f15b7c76a"]}],"mendeley":{"formattedCitation":"(Crimarco et al., 2018)","plainTextFormattedCitation":"(Crimarco et al., 2018)","previouslyFormattedCitation":"(Crimarco et al., 2018)"},"properties":{"noteIndex":0},"schema":"https://github.com/citation-style-language/schema/raw/master/csl-citation.json"}</w:instrText>
            </w:r>
            <w:r>
              <w:rPr>
                <w:rFonts w:ascii="Arial" w:eastAsia="Times New Roman" w:hAnsi="Arial" w:cs="Arial"/>
                <w:sz w:val="20"/>
                <w:szCs w:val="20"/>
                <w:lang w:eastAsia="en-GB"/>
              </w:rPr>
              <w:fldChar w:fldCharType="separate"/>
            </w:r>
            <w:r w:rsidRPr="002A56E9">
              <w:rPr>
                <w:rFonts w:ascii="Arial" w:eastAsia="Times New Roman" w:hAnsi="Arial" w:cs="Arial"/>
                <w:noProof/>
                <w:sz w:val="20"/>
                <w:szCs w:val="20"/>
                <w:lang w:eastAsia="en-GB"/>
              </w:rPr>
              <w:t>(Crimarco et al., 2018)</w:t>
            </w:r>
            <w:r>
              <w:rPr>
                <w:rFonts w:ascii="Arial" w:eastAsia="Times New Roman" w:hAnsi="Arial" w:cs="Arial"/>
                <w:sz w:val="20"/>
                <w:szCs w:val="20"/>
                <w:lang w:eastAsia="en-GB"/>
              </w:rPr>
              <w:fldChar w:fldCharType="end"/>
            </w:r>
          </w:p>
        </w:tc>
        <w:tc>
          <w:tcPr>
            <w:tcW w:w="3285" w:type="dxa"/>
            <w:shd w:val="clear" w:color="auto" w:fill="D5DCE4" w:themeFill="text2" w:themeFillTint="33"/>
            <w:noWrap/>
            <w:hideMark/>
          </w:tcPr>
          <w:p w14:paraId="14DCE00B" w14:textId="2EBC0E8E" w:rsidR="007B3842" w:rsidRPr="00B27AA8" w:rsidRDefault="007B3842" w:rsidP="007B3842">
            <w:pPr>
              <w:spacing w:before="120" w:after="120"/>
              <w:rPr>
                <w:rFonts w:ascii="Arial" w:eastAsia="Times New Roman" w:hAnsi="Arial" w:cs="Arial"/>
                <w:sz w:val="20"/>
                <w:szCs w:val="20"/>
                <w:lang w:eastAsia="en-GB"/>
              </w:rPr>
            </w:pPr>
            <w:r>
              <w:rPr>
                <w:rFonts w:ascii="Arial" w:eastAsia="Times New Roman" w:hAnsi="Arial" w:cs="Arial"/>
                <w:sz w:val="20"/>
                <w:szCs w:val="20"/>
                <w:lang w:eastAsia="en-GB"/>
              </w:rPr>
              <w:t>Accuracy and m</w:t>
            </w:r>
            <w:r w:rsidRPr="00134D0D">
              <w:rPr>
                <w:rFonts w:ascii="Arial" w:eastAsia="Times New Roman" w:hAnsi="Arial" w:cs="Arial"/>
                <w:sz w:val="20"/>
                <w:szCs w:val="20"/>
                <w:lang w:eastAsia="en-GB"/>
              </w:rPr>
              <w:t xml:space="preserve">etrological </w:t>
            </w:r>
            <w:r>
              <w:rPr>
                <w:rFonts w:ascii="Arial" w:eastAsia="Times New Roman" w:hAnsi="Arial" w:cs="Arial"/>
                <w:sz w:val="20"/>
                <w:szCs w:val="20"/>
                <w:lang w:eastAsia="en-GB"/>
              </w:rPr>
              <w:t>c</w:t>
            </w:r>
            <w:r w:rsidRPr="00134D0D">
              <w:rPr>
                <w:rFonts w:ascii="Arial" w:eastAsia="Times New Roman" w:hAnsi="Arial" w:cs="Arial"/>
                <w:sz w:val="20"/>
                <w:szCs w:val="20"/>
                <w:lang w:eastAsia="en-GB"/>
              </w:rPr>
              <w:t>haracteristic</w:t>
            </w:r>
            <w:r>
              <w:rPr>
                <w:rFonts w:ascii="Arial" w:eastAsia="Times New Roman" w:hAnsi="Arial" w:cs="Arial"/>
                <w:sz w:val="20"/>
                <w:szCs w:val="20"/>
                <w:lang w:eastAsia="en-GB"/>
              </w:rPr>
              <w:t xml:space="preserve">s </w:t>
            </w:r>
            <w:r>
              <w:rPr>
                <w:rFonts w:ascii="Arial" w:eastAsia="Times New Roman" w:hAnsi="Arial" w:cs="Arial"/>
                <w:sz w:val="20"/>
                <w:szCs w:val="20"/>
                <w:lang w:eastAsia="en-GB"/>
              </w:rPr>
              <w:fldChar w:fldCharType="begin" w:fldLock="1"/>
            </w:r>
            <w:r>
              <w:rPr>
                <w:rFonts w:ascii="Arial" w:eastAsia="Times New Roman" w:hAnsi="Arial" w:cs="Arial"/>
                <w:sz w:val="20"/>
                <w:szCs w:val="20"/>
                <w:lang w:eastAsia="en-GB"/>
              </w:rPr>
              <w:instrText>ADDIN CSL_CITATION {"citationItems":[{"id":"ITEM-1","itemData":{"DOI":"10.1007/978-3-030-04324-7","ISBN":"978-3-030-04324-0","author":[{"dropping-particle":"","family":"Cosoli","given":"Gloria","non-dropping-particle":"","parse-names":false,"suffix":""},{"dropping-particle":"","family":"Scalise","given":"Lorenzo","non-dropping-particle":"","parse-names":false,"suffix":""}],"container-title":"Sensors: Proceedings of the Fourth National Conference on Sensors, February 21-23, 2018, Catania, Italy","editor":[{"dropping-particle":"","family":"Andò","given":"Bruno","non-dropping-particle":"","parse-names":false,"suffix":""},{"dropping-particle":"","family":"Baldini","given":"Francesco","non-dropping-particle":"","parse-names":false,"suffix":""},{"dropping-particle":"","family":"Natale","given":"Corrado","non-dropping-particle":"Di","parse-names":false,"suffix":""},{"dropping-particle":"","family":"Ferrari","given":"Vittorio","non-dropping-particle":"","parse-names":false,"suffix":""},{"dropping-particle":"","family":"Marletta","given":"Vincenzo","non-dropping-particle":"","parse-names":false,"suffix":""},{"dropping-particle":"","family":"Marrazza","given":"Giovanna","non-dropping-particle":"","parse-names":false,"suffix":""},{"dropping-particle":"","family":"Militello","given":"Valeria","non-dropping-particle":"","parse-names":false,"suffix":""},{"dropping-particle":"","family":"Miolo","given":"Giorgia","non-dropping-particle":"","parse-names":false,"suffix":""},{"dropping-particle":"","family":"Rossi","given":"Marco","non-dropping-particle":"","parse-names":false,"suffix":""},{"dropping-particle":"","family":"Scalise","given":"Lorenzo","non-dropping-particle":"","parse-names":false,"suffix":""},{"dropping-particle":"","family":"Sciliano","given":"Pietro","non-dropping-particle":"","parse-names":false,"suffix":""}],"id":"ITEM-1","issued":{"date-parts":[["2019"]]},"publisher":"Springer","title":"Accuracy and Metrological Characteristics of Wearable Devices: A Systematic Review","type":"chapter"},"uris":["http://www.mendeley.com/documents/?uuid=3320f37b-ee49-4923-8afd-702ee944a36a"]}],"mendeley":{"formattedCitation":"(Cosoli &amp; Scalise, 2019)","plainTextFormattedCitation":"(Cosoli &amp; Scalise, 2019)"},"properties":{"noteIndex":0},"schema":"https://github.com/citation-style-language/schema/raw/master/csl-citation.json"}</w:instrText>
            </w:r>
            <w:r>
              <w:rPr>
                <w:rFonts w:ascii="Arial" w:eastAsia="Times New Roman" w:hAnsi="Arial" w:cs="Arial"/>
                <w:sz w:val="20"/>
                <w:szCs w:val="20"/>
                <w:lang w:eastAsia="en-GB"/>
              </w:rPr>
              <w:fldChar w:fldCharType="separate"/>
            </w:r>
            <w:r w:rsidRPr="00134D0D">
              <w:rPr>
                <w:rFonts w:ascii="Arial" w:eastAsia="Times New Roman" w:hAnsi="Arial" w:cs="Arial"/>
                <w:noProof/>
                <w:sz w:val="20"/>
                <w:szCs w:val="20"/>
                <w:lang w:eastAsia="en-GB"/>
              </w:rPr>
              <w:t>(Cosoli &amp; Scalise, 2019)</w:t>
            </w:r>
            <w:r>
              <w:rPr>
                <w:rFonts w:ascii="Arial" w:eastAsia="Times New Roman" w:hAnsi="Arial" w:cs="Arial"/>
                <w:sz w:val="20"/>
                <w:szCs w:val="20"/>
                <w:lang w:eastAsia="en-GB"/>
              </w:rPr>
              <w:fldChar w:fldCharType="end"/>
            </w:r>
          </w:p>
        </w:tc>
      </w:tr>
      <w:tr w:rsidR="00730A49" w:rsidRPr="00B27AA8" w14:paraId="5A266652" w14:textId="77777777" w:rsidTr="00B27AA8">
        <w:trPr>
          <w:trHeight w:val="500"/>
        </w:trPr>
        <w:tc>
          <w:tcPr>
            <w:tcW w:w="439" w:type="dxa"/>
            <w:noWrap/>
          </w:tcPr>
          <w:p w14:paraId="6C0FFB0B" w14:textId="2BD47ADC" w:rsidR="00730A49" w:rsidRPr="00B27AA8" w:rsidRDefault="007B3842" w:rsidP="00C93CB9">
            <w:pPr>
              <w:spacing w:before="120" w:after="120"/>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2</w:t>
            </w:r>
          </w:p>
        </w:tc>
        <w:tc>
          <w:tcPr>
            <w:tcW w:w="3043" w:type="dxa"/>
            <w:hideMark/>
          </w:tcPr>
          <w:p w14:paraId="3C1ED5B9" w14:textId="56EDA1CE" w:rsidR="00730A49" w:rsidRPr="00B27AA8" w:rsidRDefault="002E75EA"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 xml:space="preserve">Immersive technology, a.k.a. </w:t>
            </w:r>
            <w:r w:rsidR="00730A49" w:rsidRPr="00B27AA8">
              <w:rPr>
                <w:rFonts w:ascii="Arial" w:eastAsia="Times New Roman" w:hAnsi="Arial" w:cs="Arial"/>
                <w:color w:val="000000"/>
                <w:sz w:val="20"/>
                <w:szCs w:val="20"/>
                <w:lang w:eastAsia="en-GB"/>
              </w:rPr>
              <w:t>Virtual, Augmented and Mixed Reality</w:t>
            </w:r>
          </w:p>
        </w:tc>
        <w:tc>
          <w:tcPr>
            <w:tcW w:w="5444" w:type="dxa"/>
            <w:noWrap/>
            <w:hideMark/>
          </w:tcPr>
          <w:p w14:paraId="05F9F673" w14:textId="6479D16E" w:rsidR="00730A49" w:rsidRPr="00B27AA8" w:rsidRDefault="007503BA" w:rsidP="00C93CB9">
            <w:pPr>
              <w:spacing w:before="120" w:after="120"/>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w:t>
            </w:r>
            <w:r w:rsidRPr="007000A3">
              <w:rPr>
                <w:rFonts w:ascii="Arial" w:eastAsia="Times New Roman" w:hAnsi="Arial" w:cs="Arial"/>
                <w:i/>
                <w:color w:val="000000"/>
                <w:sz w:val="20"/>
                <w:szCs w:val="20"/>
                <w:lang w:eastAsia="en-GB"/>
              </w:rPr>
              <w:t>technologies that interact with, or leverage, the neuroscience of the human brain</w:t>
            </w:r>
            <w:r>
              <w:rPr>
                <w:rFonts w:ascii="Arial" w:eastAsia="Times New Roman" w:hAnsi="Arial" w:cs="Arial"/>
                <w:color w:val="000000"/>
                <w:sz w:val="20"/>
                <w:szCs w:val="20"/>
                <w:lang w:eastAsia="en-GB"/>
              </w:rPr>
              <w:t xml:space="preserve">” via computer-generated visualisations </w:t>
            </w:r>
            <w:r>
              <w:rPr>
                <w:rFonts w:ascii="Arial" w:eastAsia="Times New Roman" w:hAnsi="Arial" w:cs="Arial"/>
                <w:color w:val="000000"/>
                <w:sz w:val="20"/>
                <w:szCs w:val="20"/>
                <w:lang w:eastAsia="en-GB"/>
              </w:rPr>
              <w:fldChar w:fldCharType="begin" w:fldLock="1"/>
            </w:r>
            <w:r w:rsidR="00A6339A">
              <w:rPr>
                <w:rFonts w:ascii="Arial" w:eastAsia="Times New Roman" w:hAnsi="Arial" w:cs="Arial"/>
                <w:color w:val="000000"/>
                <w:sz w:val="20"/>
                <w:szCs w:val="20"/>
                <w:lang w:eastAsia="en-GB"/>
              </w:rPr>
              <w:instrText>ADDIN CSL_CITATION {"citationItems":[{"id":"ITEM-1","itemData":{"author":[{"dropping-particle":"","family":"Bremner","given":"Robbie","non-dropping-particle":"","parse-names":false,"suffix":""},{"dropping-particle":"","family":"Gibbs","given":"Austin","non-dropping-particle":"","parse-names":false,"suffix":""},{"dropping-particle":"","family":"Mitchell","given":"Andrew R.J.","non-dropping-particle":"","parse-names":false,"suffix":""}],"container-title":"EMJ Innov","id":"ITEM-1","issue":"1","issued":{"date-parts":[["2020"]]},"page":"40-47","title":"The Era of Immersive Health Technology","type":"article-journal","volume":"4"},"uris":["http://www.mendeley.com/documents/?uuid=8edcb9fa-f801-4bf9-8bd6-a5a914177cfa"]}],"mendeley":{"formattedCitation":"(Bremner et al., 2020)","plainTextFormattedCitation":"(Bremner et al., 2020)","previouslyFormattedCitation":"(Bremner et al., 2020)"},"properties":{"noteIndex":0},"schema":"https://github.com/citation-style-language/schema/raw/master/csl-citation.json"}</w:instrText>
            </w:r>
            <w:r>
              <w:rPr>
                <w:rFonts w:ascii="Arial" w:eastAsia="Times New Roman" w:hAnsi="Arial" w:cs="Arial"/>
                <w:color w:val="000000"/>
                <w:sz w:val="20"/>
                <w:szCs w:val="20"/>
                <w:lang w:eastAsia="en-GB"/>
              </w:rPr>
              <w:fldChar w:fldCharType="separate"/>
            </w:r>
            <w:r w:rsidRPr="007000A3">
              <w:rPr>
                <w:rFonts w:ascii="Arial" w:eastAsia="Times New Roman" w:hAnsi="Arial" w:cs="Arial"/>
                <w:noProof/>
                <w:color w:val="000000"/>
                <w:sz w:val="20"/>
                <w:szCs w:val="20"/>
                <w:lang w:eastAsia="en-GB"/>
              </w:rPr>
              <w:t>(Bremner et al., 2020)</w:t>
            </w:r>
            <w:r>
              <w:rPr>
                <w:rFonts w:ascii="Arial" w:eastAsia="Times New Roman" w:hAnsi="Arial" w:cs="Arial"/>
                <w:color w:val="000000"/>
                <w:sz w:val="20"/>
                <w:szCs w:val="20"/>
                <w:lang w:eastAsia="en-GB"/>
              </w:rPr>
              <w:fldChar w:fldCharType="end"/>
            </w:r>
          </w:p>
        </w:tc>
        <w:tc>
          <w:tcPr>
            <w:tcW w:w="2810" w:type="dxa"/>
            <w:noWrap/>
            <w:hideMark/>
          </w:tcPr>
          <w:p w14:paraId="61703DE4" w14:textId="731404C6"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Decision making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10.1111/hex.12981","ISSN":"13697625","author":[{"dropping-particle":"","family":"Li","given":"Yan","non-dropping-particle":"","parse-names":false,"suffix":""},{"dropping-particle":"","family":"Li","given":"Jinzhi","non-dropping-particle":"","parse-names":false,"suffix":""},{"dropping-particle":"","family":"Zhang","given":"Jing","non-dropping-particle":"","parse-names":false,"suffix":""},{"dropping-particle":"","family":"Ye","given":"Guoliu","non-dropping-particle":"","parse-names":false,"suffix":""},{"dropping-particle":"","family":"Zhou","given":"Zhengmei","non-dropping-particle":"","parse-names":false,"suffix":""}],"container-title":"Health Expectations","id":"ITEM-1","issue":"1","issued":{"date-parts":[["2020"]]},"page":"3-4","title":"medAR: An augmented reality application to improve participation in health-care decisions by family-based intervention","type":"article-journal","volume":"23"},"uris":["http://www.mendeley.com/documents/?uuid=79db23a1-49b1-467e-a899-0350379b6da6"]},{"id":"ITEM-2","itemData":{"DOI":"10.5811/westjem.2017.10.35026","ISSN":"19369018","abstract":"Introduction: Augmented reality (AR), mixed reality (MR), and virtual reality devices are enabling technologies that may facilitate effective communication in healthcare between those with information and knowledge (clinician/specialist; expert; educator) and those seeking understanding and insight (patient/family; non-expert; learner). Investigators initiated an exploratory program to enable the study of AR/MR use-cases in acute care clinical and instructional settings. Methods: Academic clinician educators, computer scientists, and diagnostic imaging specialists conducted a proof-of-concept project to 1) implement a core holoimaging pipeline infrastructure and open-access repository at the study institution, and 2) use novel AR/MR techniques on off-the-shelf devices with holoimages generated by the infrastructure to demonstrate their potential role in the instructive communication of complex medical information. Results: The study team successfully developed a medical holoimaging infrastructure methodology to identify, retrieve, and manipulate real patients’ de-identified computed tomography and magnetic resonance imagesets for rendering, packaging, transfer, and display of modular holoimages onto AR/MR headset devices and connected displays. Holoimages containing key segmentations of cervical and thoracic anatomic structures and pathology were overlaid and registered onto physical task trainers for simulation-based “blind insertion” invasive procedural training. During the session, learners experienced and used task-relevant anatomic holoimages for central venous catheter and tube thoracostomy insertion training with enhanced visual cues and haptic feedback. Direct instructor access into the learner’s AR/MR headset view of the task trainer was achieved for visual-axis interactive instructional guidance. Conclusion: Investigators implemented a core holoimaging pipeline infrastructure and modular open-access repository to generate and enable access to modular holoimages during exploratory pilot stage applications for invasive procedure training that featured innovative AR/MR techniques on off-the-shelf headset devices.","author":[{"dropping-particle":"","family":"Kobayashi","given":"Leo","non-dropping-particle":"","parse-names":false,"suffix":""},{"dropping-particle":"","family":"Zhang","given":"Xiao Chi","non-dropping-particle":"","parse-names":false,"suffix":""},{"dropping-particle":"","family":"Collins","given":"Scott A.","non-dropping-particle":"","parse-names":false,"suffix":""},{"dropping-particle":"","family":"Karim","given":"Naz","non-dropping-particle":"","parse-names":false,"suffix":""},{"dropping-particle":"","family":"Merck","given":"Derek L.","non-dropping-particle":"","parse-names":false,"suffix":""}],"container-title":"Western Journal of Emergency Medicine","id":"ITEM-2","issue":"1","issued":{"date-parts":[["2018"]]},"page":"158-164","title":"Exploratory application of augmented reality/mixed reality devices for acute care procedure training","type":"article-journal","volume":"19"},"uris":["http://www.mendeley.com/documents/?uuid=baa170d1-06fe-4390-9954-b86c215357b2"]}],"mendeley":{"formattedCitation":"(Kobayashi et al., 2018; Li et al., 2020)","plainTextFormattedCitation":"(Kobayashi et al., 2018; Li et al., 2020)","previouslyFormattedCitation":"(Kobayashi et al., 2018; Li et al., 2020)"},"properties":{"noteIndex":0},"schema":"https://github.com/citation-style-language/schema/raw/master/csl-citation.json"}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(Kobayashi et al., 2018; Li et al., 2020)</w:t>
            </w:r>
            <w:r w:rsidRPr="00B27AA8">
              <w:rPr>
                <w:rFonts w:ascii="Arial" w:hAnsi="Arial" w:cs="Arial"/>
                <w:sz w:val="20"/>
                <w:szCs w:val="20"/>
              </w:rPr>
              <w:fldChar w:fldCharType="end"/>
            </w:r>
            <w:r w:rsidRPr="00B27AA8">
              <w:rPr>
                <w:rFonts w:ascii="Arial" w:hAnsi="Arial" w:cs="Arial"/>
                <w:sz w:val="20"/>
                <w:szCs w:val="20"/>
              </w:rPr>
              <w:t xml:space="preserve">; Neurology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{"citationItems":[{"id":"ITEM-1","itemData":{"DOI":"10.5213/inj.1620edi005","ISBN":"0000000270458","ISSN":"2093-6931","author":[{"dropping-particle":"","family":"Kim","given":"Khae Hawn","non-dropping-particle":"","parse-names":false,"suffix":""}],"container-title":"International Neurourology Journal","id":"ITEM-1","issue":"3","issued":{"date-parts":[["2016"]]},"page":"169-170","title":"The Potential Application of Virtual, Augmented, and Mixed Reality in Neurourology","type":"article-journal","volume":"20"},"uris":["http://www.mendeley.com/documents/?uuid=7141455c-6f59-48d7-a271-98b49cbb57aa"]}],"mendeley":{"formattedCitation":"(K. H. Kim, 2016)","plainTextFormattedCitation":"(K. H. Kim, 2016)","previouslyFormattedCitation":"(K. H. Kim, 2016)"},"properties":{"noteIndex":0},"schema":"https://github.com/citation-style-language/schema/raw/master/csl-citation.json"}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(K. H. Kim, 2016)</w:t>
            </w:r>
            <w:r w:rsidRPr="00B27AA8">
              <w:rPr>
                <w:rFonts w:ascii="Arial" w:hAnsi="Arial" w:cs="Arial"/>
                <w:sz w:val="20"/>
                <w:szCs w:val="20"/>
              </w:rPr>
              <w:fldChar w:fldCharType="end"/>
            </w:r>
            <w:r w:rsidRPr="00B27AA8">
              <w:rPr>
                <w:rFonts w:ascii="Arial" w:hAnsi="Arial" w:cs="Arial"/>
                <w:sz w:val="20"/>
                <w:szCs w:val="20"/>
              </w:rPr>
              <w:t xml:space="preserve">; Urology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{"citationItems":[{"id":"ITEM-1","itemData":{"DOI":"10.5213/inj.1632714.357","ISSN":"20936931","abstract":"Recent developments in virtual, augmented, and mixed reality have introduced a considerable number of new devices into the consumer market. This momentum is also affecting the medical and health care sector. Although many of the theoretical and practical foundations of virtual reality (VR) were already researched and experienced in the 1980s, the vastly improved features of displays, sensors, interactivity, and computing power currently available in devices offer a new field of applications to the medical sector and also to urology in particular. The purpose of this review article is to review the extent to which VR technology has already influenced certain aspects of medicine, the applications that are currently in use in urology, and the future development trends that could be expected.","author":[{"dropping-particle":"","family":"Hamacher","given":"Alaric","non-dropping-particle":"","parse-names":false,"suffix":""},{"dropping-particle":"","family":"Kim","given":"Su Jin","non-dropping-particle":"","parse-names":false,"suffix":""},{"dropping-particle":"","family":"Cho","given":"Sung Tae","non-dropping-particle":"","parse-names":false,"suffix":""},{"dropping-particle":"","family":"Pardeshi","given":"Sunil","non-dropping-particle":"","parse-names":false,"suffix":""},{"dropping-particle":"","family":"Lee","given":"Seung Hyun","non-dropping-particle":"","parse-names":false,"suffix":""},{"dropping-particle":"","family":"Eun","given":"Sung Jong","non-dropping-particle":"","parse-names":false,"suffix":""},{"dropping-particle":"","family":"Whangbo","given":"Taeg Keun","non-dropping-particle":"","parse-names":false,"suffix":""}],"container-title":"International Neurourology Journal","id":"ITEM-1","issue":"3","issued":{"date-parts":[["2016"]]},"page":"172-181","title":"Application of virtual, augmented, and mixed reality to urology","type":"article-journal","volume":"20"},"uris":["http://www.mendeley.com/documents/?uuid=0be7d048-d18e-4a11-b9be-0af30ac4bdb2"]}],"mendeley":{"formattedCitation":"(Hamacher et al., 2016)","plainTextFormattedCitation":"(Hamacher et al., 2016)","previouslyFormattedCitation":"(Hamacher et al., 2016)"},"properties":{"noteIndex":0},"schema":"https://github.com/citation-style-language/schema/raw/master/csl-citation.json"}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(Hamacher et al., 2016)</w:t>
            </w:r>
            <w:r w:rsidRPr="00B27AA8">
              <w:rPr>
                <w:rFonts w:ascii="Arial" w:hAnsi="Arial" w:cs="Arial"/>
                <w:sz w:val="20"/>
                <w:szCs w:val="20"/>
              </w:rPr>
              <w:fldChar w:fldCharType="end"/>
            </w:r>
            <w:r w:rsidR="002E75EA" w:rsidRPr="00B27AA8">
              <w:rPr>
                <w:rFonts w:ascii="Arial" w:hAnsi="Arial" w:cs="Arial"/>
                <w:sz w:val="20"/>
                <w:szCs w:val="20"/>
              </w:rPr>
              <w:t xml:space="preserve">; Mental health </w:t>
            </w:r>
            <w:r w:rsidR="002E75EA" w:rsidRPr="00B27AA8">
              <w:rPr>
                <w:rFonts w:ascii="Arial" w:hAnsi="Arial" w:cs="Arial"/>
                <w:sz w:val="20"/>
                <w:szCs w:val="20"/>
              </w:rPr>
              <w:fldChar w:fldCharType="begin" w:fldLock="1"/>
            </w:r>
            <w:r w:rsidR="001C6DBC">
              <w:rPr>
                <w:rFonts w:ascii="Arial" w:hAnsi="Arial" w:cs="Arial"/>
                <w:sz w:val="20"/>
                <w:szCs w:val="20"/>
              </w:rPr>
              <w:instrText>ADDIN CSL_CITATION {"citationItems":[{"id":"ITEM-1","itemData":{"DOI":"10.1017/S003329171700040X","ISSN":"14698978","abstract":"Mental health problems are inseparable from the environment. With virtual reality (VR), computer-generated interactive environments, individuals can repeatedly experience their problematic situations and be taught, via evidence-based psychological treatments, how to overcome difficulties. VR is moving out of specialist laboratories. Our central aim was to describe the potential of VR in mental health, including a consideration of the first 20 years of applications. A systematic review of empirical studies was conducted. In all, 285 studies were identified, with 86 concerning assessment, 45 theory development, and 154 treatment. The main disorders researched were anxiety (n = 192), schizophrenia (n = 44), substance-related disorders (n = 22) and eating disorders (n = 18). There are pioneering early studies, but the methodological quality of studies was generally low. The gaps in meaningful applications to mental health are extensive. The most established finding is that VR exposure-based treatments can reduce anxiety disorders, but there are numerous research and treatment avenues of promise. VR was found to be a much-misused term, often applied to non-interactive and non-immersive technologies. We conclude that VR has the potential to transform the assessment, understanding and treatment of mental health problems. The treatment possibilities will only be realized if - with the user experience at the heart of design - the best immersive VR technology is combined with targeted translational interventions. The capability of VR to simulate reality could greatly increase access to psychological therapies, while treatment outcomes could be enhanced by the technology's ability to create new realities. VR may merit the level of attention given to neuroimaging.","author":[{"dropping-particle":"","family":"Freeman","given":"D.","non-dropping-particle":"","parse-names":false,"suffix":""},{"dropping-particle":"","family":"Reeve","given":"S.","non-dropping-particle":"","parse-names":false,"suffix":""},{"dropping-particle":"","family":"Robinson","given":"A.","non-dropping-particle":"","parse-names":false,"suffix":""},{"dropping-particle":"","family":"Ehlers","given":"A.","non-dropping-particle":"","parse-names":false,"suffix":""},{"dropping-particle":"","family":"Clark","given":"D.","non-dropping-particle":"","parse-names":false,"suffix":""},{"dropping-particle":"","family":"Spanlang","given":"B.","non-dropping-particle":"","parse-names":false,"suffix":""},{"dropping-particle":"","family":"Slater","given":"M.","non-dropping-particle":"","parse-names":false,"suffix":""}],"container-title":"Psychological Medicine","id":"ITEM-1","issue":"14","issued":{"date-parts":[["2017"]]},"page":"2393-2400","title":"Virtual reality in the assessment, understanding, and treatment of mental health disorders","type":"article-journal","volume":"47"},"uris":["http://www.mendeley.com/documents/?uuid=a5624055-b99c-43b8-badd-0d0fb22aecbd"]}],"mendeley":{"formattedCitation":"(Freeman et al., 2017)","plainTextFormattedCitation":"(Freeman et al., 2017)","previouslyFormattedCitation":"(Freeman et al., 2017)"},"properties":{"noteIndex":0},"schema":"https://github.com/citation-style-language/schema/raw/master/csl-citation.json"}</w:instrText>
            </w:r>
            <w:r w:rsidR="002E75EA" w:rsidRPr="00B27AA8">
              <w:rPr>
                <w:rFonts w:ascii="Arial" w:hAnsi="Arial" w:cs="Arial"/>
                <w:sz w:val="20"/>
                <w:szCs w:val="20"/>
              </w:rPr>
              <w:fldChar w:fldCharType="separate"/>
            </w:r>
            <w:r w:rsidR="002E75EA" w:rsidRPr="00B27AA8">
              <w:rPr>
                <w:rFonts w:ascii="Arial" w:hAnsi="Arial" w:cs="Arial"/>
                <w:noProof/>
                <w:sz w:val="20"/>
                <w:szCs w:val="20"/>
              </w:rPr>
              <w:t>(Freeman et al., 2017)</w:t>
            </w:r>
            <w:r w:rsidR="002E75EA" w:rsidRPr="00B27AA8">
              <w:rPr>
                <w:rFonts w:ascii="Arial" w:hAnsi="Arial" w:cs="Arial"/>
                <w:sz w:val="20"/>
                <w:szCs w:val="20"/>
              </w:rPr>
              <w:fldChar w:fldCharType="end"/>
            </w:r>
          </w:p>
        </w:tc>
        <w:tc>
          <w:tcPr>
            <w:tcW w:w="3285" w:type="dxa"/>
            <w:noWrap/>
            <w:hideMark/>
          </w:tcPr>
          <w:p w14:paraId="2A0342CC" w14:textId="123D5BA4" w:rsidR="00730A49" w:rsidRPr="00B27AA8" w:rsidRDefault="002E75EA" w:rsidP="002E75EA">
            <w:pPr>
              <w:spacing w:before="120" w:after="120"/>
              <w:rPr>
                <w:rFonts w:ascii="Arial" w:eastAsia="Times New Roman" w:hAnsi="Arial" w:cs="Arial"/>
                <w:sz w:val="20"/>
                <w:szCs w:val="20"/>
                <w:lang w:eastAsia="en-GB"/>
              </w:rPr>
            </w:pPr>
            <w:r w:rsidRPr="00B27AA8">
              <w:rPr>
                <w:rFonts w:ascii="Arial" w:hAnsi="Arial" w:cs="Arial"/>
                <w:sz w:val="20"/>
                <w:szCs w:val="20"/>
              </w:rPr>
              <w:t>R</w:t>
            </w:r>
            <w:r w:rsidR="00730A49" w:rsidRPr="00B27AA8">
              <w:rPr>
                <w:rFonts w:ascii="Arial" w:hAnsi="Arial" w:cs="Arial"/>
                <w:sz w:val="20"/>
                <w:szCs w:val="20"/>
              </w:rPr>
              <w:t>eview</w:t>
            </w:r>
            <w:r w:rsidRPr="00B27AA8">
              <w:rPr>
                <w:rFonts w:ascii="Arial" w:hAnsi="Arial" w:cs="Arial"/>
                <w:sz w:val="20"/>
                <w:szCs w:val="20"/>
              </w:rPr>
              <w:t>s</w:t>
            </w:r>
            <w:r w:rsidR="00730A49" w:rsidRPr="00B27AA8">
              <w:rPr>
                <w:rFonts w:ascii="Arial" w:hAnsi="Arial" w:cs="Arial"/>
                <w:sz w:val="20"/>
                <w:szCs w:val="20"/>
              </w:rPr>
              <w:t xml:space="preserve"> </w:t>
            </w:r>
            <w:r w:rsidRPr="00B27AA8">
              <w:rPr>
                <w:rFonts w:ascii="Arial" w:hAnsi="Arial" w:cs="Arial"/>
                <w:sz w:val="20"/>
                <w:szCs w:val="20"/>
              </w:rPr>
              <w:t xml:space="preserve">as applied </w:t>
            </w:r>
            <w:r w:rsidR="00730A49" w:rsidRPr="00B27AA8">
              <w:rPr>
                <w:rFonts w:ascii="Arial" w:hAnsi="Arial" w:cs="Arial"/>
                <w:sz w:val="20"/>
                <w:szCs w:val="20"/>
              </w:rPr>
              <w:t xml:space="preserve">healthcare </w:t>
            </w:r>
            <w:r w:rsidR="00730A49"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10.1007/978-3-030-17347-0_18","ISBN":"9783030173470","author":[{"dropping-particle":"","family":"John","given":"Blooma","non-dropping-particle":"","parse-names":false,"suffix":""},{"dropping-particle":"","family":"Wickramasinghe","given":"Nilmini","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375-382","publisher":"Springer","title":"A Review of Mixed Reality in Health Care","type":"chapter"},"uris":["http://www.mendeley.com/documents/?uuid=8c21c190-825d-475e-9027-e519a1343cc1"]},{"id":"ITEM-2","itemData":{"author":[{"dropping-particle":"","family":"Bremner","given":"Robbie","non-dropping-particle":"","parse-names":false,"suffix":""},{"dropping-particle":"","family":"Gibbs","given":"Austin","non-dropping-particle":"","parse-names":false,"suffix":""},{"dropping-particle":"","family":"Mitchell","given":"Andrew R.J.","non-dropping-particle":"","parse-names":false,"suffix":""}],"container-title":"EMJ Innov","id":"ITEM-2","issue":"1","issued":{"date-parts":[["2020"]]},"page":"40-47","title":"The Era of Immersive Health Technology","type":"article-journal","volume":"4"},"uris":["http://www.mendeley.com/documents/?uuid=8edcb9fa-f801-4bf9-8bd6-a5a914177cfa"]}],"mendeley":{"formattedCitation":"(Bremner et al., 2020; John &amp; Wickramasinghe, 2020)","plainTextFormattedCitation":"(Bremner et al., 2020; John &amp; Wickramasinghe, 2020)","previouslyFormattedCitation":"(Bremner et al., 2020; John &amp; Wickramasinghe, 2020)"},"properties":{"noteIndex":0},"schema":"https://github.com/citation-style-language/schema/raw/master/csl-citation.json"}</w:instrText>
            </w:r>
            <w:r w:rsidR="00730A49" w:rsidRPr="00B27AA8">
              <w:rPr>
                <w:rFonts w:ascii="Arial" w:hAnsi="Arial" w:cs="Arial"/>
                <w:sz w:val="20"/>
                <w:szCs w:val="20"/>
              </w:rPr>
              <w:fldChar w:fldCharType="separate"/>
            </w:r>
            <w:r w:rsidRPr="00B27AA8">
              <w:rPr>
                <w:rFonts w:ascii="Arial" w:hAnsi="Arial" w:cs="Arial"/>
                <w:noProof/>
                <w:sz w:val="20"/>
                <w:szCs w:val="20"/>
              </w:rPr>
              <w:t>(Bremner et al., 2020; John &amp; Wickramasinghe, 2020)</w:t>
            </w:r>
            <w:r w:rsidR="00730A49" w:rsidRPr="00B27AA8">
              <w:rPr>
                <w:rFonts w:ascii="Arial" w:hAnsi="Arial" w:cs="Arial"/>
                <w:sz w:val="20"/>
                <w:szCs w:val="20"/>
              </w:rPr>
              <w:fldChar w:fldCharType="end"/>
            </w:r>
            <w:r w:rsidR="00730A49" w:rsidRPr="00B27AA8">
              <w:rPr>
                <w:rFonts w:ascii="Arial" w:hAnsi="Arial" w:cs="Arial"/>
                <w:sz w:val="20"/>
                <w:szCs w:val="20"/>
              </w:rPr>
              <w:t>;</w:t>
            </w:r>
          </w:p>
        </w:tc>
      </w:tr>
      <w:tr w:rsidR="00730A49" w:rsidRPr="00B27AA8" w14:paraId="1D5597A4" w14:textId="77777777" w:rsidTr="00B27AA8">
        <w:trPr>
          <w:trHeight w:val="500"/>
        </w:trPr>
        <w:tc>
          <w:tcPr>
            <w:tcW w:w="439" w:type="dxa"/>
            <w:shd w:val="clear" w:color="auto" w:fill="D5DCE4" w:themeFill="text2" w:themeFillTint="33"/>
            <w:noWrap/>
          </w:tcPr>
          <w:p w14:paraId="0E304C4E" w14:textId="117A2603" w:rsidR="00730A49" w:rsidRPr="00B27AA8" w:rsidRDefault="007B3842" w:rsidP="00C93CB9">
            <w:pPr>
              <w:spacing w:before="120" w:after="120"/>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3</w:t>
            </w:r>
          </w:p>
        </w:tc>
        <w:tc>
          <w:tcPr>
            <w:tcW w:w="3043" w:type="dxa"/>
            <w:shd w:val="clear" w:color="auto" w:fill="D5DCE4" w:themeFill="text2" w:themeFillTint="33"/>
            <w:hideMark/>
          </w:tcPr>
          <w:p w14:paraId="6DEC111E"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Internet of Things an Industry Internet of Things</w:t>
            </w:r>
          </w:p>
        </w:tc>
        <w:tc>
          <w:tcPr>
            <w:tcW w:w="5444" w:type="dxa"/>
            <w:shd w:val="clear" w:color="auto" w:fill="D5DCE4" w:themeFill="text2" w:themeFillTint="33"/>
            <w:noWrap/>
            <w:hideMark/>
          </w:tcPr>
          <w:p w14:paraId="1459A25D" w14:textId="54AE42C0"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hAnsi="Arial" w:cs="Arial"/>
                <w:sz w:val="20"/>
                <w:szCs w:val="20"/>
              </w:rPr>
              <w:t>“</w:t>
            </w:r>
            <w:r w:rsidRPr="00B27AA8">
              <w:rPr>
                <w:rFonts w:ascii="Arial" w:hAnsi="Arial" w:cs="Arial"/>
                <w:i/>
                <w:sz w:val="20"/>
                <w:szCs w:val="20"/>
              </w:rPr>
              <w:t>a network of devices all embedded with electronics, software, sensors, and connectivity to enable them to connect, interconnect, and exchange data</w:t>
            </w:r>
            <w:r w:rsidRPr="00B27AA8">
              <w:rPr>
                <w:rFonts w:ascii="Arial" w:hAnsi="Arial" w:cs="Arial"/>
                <w:sz w:val="20"/>
                <w:szCs w:val="20"/>
              </w:rPr>
              <w:t xml:space="preserv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&amp; Bodendorf, 2020)","plainTextFormattedCitation":"(Wickramasinghe &amp; Bodendorf, 2020)","previouslyFormattedCitation":"(Wickramasinghe &amp; Bodendorf, 2020)"},"properties":{"noteIndex":0},"schema":"https://github.com/citation-style-language/schema/raw/master/csl-citation.json"}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(Wickramasinghe &amp; Bodendorf, 2020)</w:t>
            </w:r>
            <w:r w:rsidRPr="00B27AA8">
              <w:rPr>
                <w:rFonts w:ascii="Arial" w:hAnsi="Arial" w:cs="Arial"/>
                <w:sz w:val="20"/>
                <w:szCs w:val="20"/>
              </w:rPr>
              <w:fldChar w:fldCharType="end"/>
            </w:r>
          </w:p>
        </w:tc>
        <w:tc>
          <w:tcPr>
            <w:tcW w:w="2810" w:type="dxa"/>
            <w:shd w:val="clear" w:color="auto" w:fill="D5DCE4" w:themeFill="text2" w:themeFillTint="33"/>
            <w:noWrap/>
            <w:hideMark/>
          </w:tcPr>
          <w:p w14:paraId="4DB68401" w14:textId="1109E70D" w:rsidR="00730A49" w:rsidRPr="00B27AA8" w:rsidRDefault="00C92ED1" w:rsidP="00C93CB9">
            <w:pPr>
              <w:spacing w:before="120" w:after="120"/>
              <w:rPr>
                <w:rFonts w:ascii="Arial" w:eastAsia="Times New Roman" w:hAnsi="Arial" w:cs="Arial"/>
                <w:sz w:val="20"/>
                <w:szCs w:val="20"/>
                <w:lang w:eastAsia="en-GB"/>
              </w:rPr>
            </w:pPr>
            <w:r>
              <w:rPr>
                <w:rFonts w:ascii="Arial" w:eastAsia="Times New Roman" w:hAnsi="Arial" w:cs="Arial"/>
                <w:sz w:val="20"/>
                <w:szCs w:val="20"/>
                <w:lang w:eastAsia="en-GB"/>
              </w:rPr>
              <w:t xml:space="preserve">Smart Continuous Glucose Monitors </w:t>
            </w:r>
            <w:r>
              <w:rPr>
                <w:rFonts w:ascii="Arial" w:eastAsia="Times New Roman" w:hAnsi="Arial" w:cs="Arial"/>
                <w:sz w:val="20"/>
                <w:szCs w:val="20"/>
                <w:lang w:eastAsia="en-GB"/>
              </w:rPr>
              <w:fldChar w:fldCharType="begin" w:fldLock="1"/>
            </w:r>
            <w:r>
              <w:rPr>
                <w:rFonts w:ascii="Arial" w:eastAsia="Times New Roman" w:hAnsi="Arial" w:cs="Arial"/>
                <w:sz w:val="20"/>
                <w:szCs w:val="20"/>
                <w:lang w:eastAsia="en-GB"/>
              </w:rPr>
              <w:instrText>ADDIN CSL_CITATION {"citationItems":[{"id":"ITEM-1","itemData":{"DOI":"10.3390/s16122093","ISSN":"14248220","abstract":"Continuous glucose monitoring (CGM) sensors are portable devices that allow measuring and visualizing the glucose concentration in real time almost continuously for several days and are provided with hypo/hyperglycemic alerts and glucose trend information. CGM sensors have revolutionized Type 1 diabetes (T1D) management, improving glucose control when used adjunctively to self-monitoring blood glucose systems. Furthermore, CGM devices have stimulated the development of applications that were impossible to create without a continuous-time glucose signal, e.g., real-time predictive alerts of hypo/hyperglycemic episodes based on the prediction of future glucose concentration, automatic basal insulin attenuation methods for hypoglycemia prevention, and the artificial pancreas. However, CGM sensors’ lack of accuracy and reliability limited their usability in the clinical practice, calling upon the academic community for the development of suitable signal processing methods to improve CGM performance. The aim of this paper is to review the past and present algorithmic challenges of CGM sensors, to show how they have been tackled by our research group, and to identify the possible future ones.","author":[{"dropping-particle":"","family":"Facchinetti","given":"Andrea","non-dropping-particle":"","parse-names":false,"suffix":""}],"container-title":"Sensors (Switzerland)","id":"ITEM-1","issue":"12","issued":{"date-parts":[["2016"]]},"page":"1-12","title":"Continuous glucose monitoring sensors: Past, present and future algorithmic challenges","type":"article-journal","volume":"16"},"uris":["http://www.mendeley.com/documents/?uuid=20023dc2-4458-4c35-a87d-58af4efaeeff"]}],"mendeley":{"formattedCitation":"(Facchinetti, 2016)","plainTextFormattedCitation":"(Facchinetti, 2016)","previouslyFormattedCitation":"(Facchinetti, 2016)"},"properties":{"noteIndex":0},"schema":"https://github.com/citation-style-language/schema/raw/master/csl-citation.json"}</w:instrText>
            </w:r>
            <w:r>
              <w:rPr>
                <w:rFonts w:ascii="Arial" w:eastAsia="Times New Roman" w:hAnsi="Arial" w:cs="Arial"/>
                <w:sz w:val="20"/>
                <w:szCs w:val="20"/>
                <w:lang w:eastAsia="en-GB"/>
              </w:rPr>
              <w:fldChar w:fldCharType="separate"/>
            </w:r>
            <w:r w:rsidRPr="00B9196D">
              <w:rPr>
                <w:rFonts w:ascii="Arial" w:eastAsia="Times New Roman" w:hAnsi="Arial" w:cs="Arial"/>
                <w:noProof/>
                <w:sz w:val="20"/>
                <w:szCs w:val="20"/>
                <w:lang w:eastAsia="en-GB"/>
              </w:rPr>
              <w:t>(Facchinetti, 2016)</w:t>
            </w:r>
            <w:r>
              <w:rPr>
                <w:rFonts w:ascii="Arial" w:eastAsia="Times New Roman" w:hAnsi="Arial" w:cs="Arial"/>
                <w:sz w:val="20"/>
                <w:szCs w:val="20"/>
                <w:lang w:eastAsia="en-GB"/>
              </w:rPr>
              <w:fldChar w:fldCharType="end"/>
            </w:r>
            <w:r>
              <w:rPr>
                <w:rFonts w:ascii="Arial" w:eastAsia="Times New Roman" w:hAnsi="Arial" w:cs="Arial"/>
                <w:sz w:val="20"/>
                <w:szCs w:val="20"/>
                <w:lang w:eastAsia="en-GB"/>
              </w:rPr>
              <w:t xml:space="preserve">; Parkinson’s disease monitoring via Apply Watch </w:t>
            </w:r>
            <w:r>
              <w:rPr>
                <w:rFonts w:ascii="Arial" w:eastAsia="Times New Roman" w:hAnsi="Arial" w:cs="Arial"/>
                <w:sz w:val="20"/>
                <w:szCs w:val="20"/>
                <w:lang w:eastAsia="en-GB"/>
              </w:rPr>
              <w:fldChar w:fldCharType="begin" w:fldLock="1"/>
            </w:r>
            <w:r>
              <w:rPr>
                <w:rFonts w:ascii="Arial" w:eastAsia="Times New Roman" w:hAnsi="Arial" w:cs="Arial"/>
                <w:sz w:val="20"/>
                <w:szCs w:val="20"/>
                <w:lang w:eastAsia="en-GB"/>
              </w:rPr>
              <w:instrText>ADDIN CSL_CITATION {"citationItems":[{"id":"ITEM-1","itemData":{"DOI":"10.1038/sdata.2016.11","ISSN":"20524463","abstract":"Current measures of health and disease are often insensitive, episodic, and subjective. Further, these measures generally are not designed to provide meaningful feedback to individuals. The impact of high-resolution activity data collected from mobile phones is only beginning to be explored. Here we present data from mPower, a clinical observational study about Parkinson disease conducted purely through an iPhone app interface. The study interrogated aspects of this movement disorder through surveys and frequent sensor-based recordings from participants with and without Parkinson disease. Benefitting from large enrollment and repeated measurements on many individuals, these data may help establish baseline variability of real-world activity measurement collected via mobile phones, and ultimately may lead to quantification of the ebbs-and-flows of Parkinson symptoms. App source code for these data collection modules are available through an open source license for use in studies of other conditions. We hope that releasing data contributed by engaged research participants will seed a new community of analysts working collaboratively on understanding mobile health data to advance human health.","author":[{"dropping-particle":"","family":"Bot","given":"Brian M.","non-dropping-particle":"","parse-names":false,"suffix":""},{"dropping-particle":"","family":"Suver","given":"Christine","non-dropping-particle":"","parse-names":false,"suffix":""},{"dropping-particle":"","family":"Neto","given":"Elias Chaibub","non-dropping-particle":"","parse-names":false,"suffix":""},{"dropping-particle":"","family":"Kellen","given":"Michael","non-dropping-particle":"","parse-names":false,"suffix":""},{"dropping-particle":"","family":"Klein","given":"Arno","non-dropping-particle":"","parse-names":false,"suffix":""},{"dropping-particle":"","family":"Bare","given":"Christopher","non-dropping-particle":"","parse-names":false,"suffix":""},{"dropping-particle":"","family":"Doerr","given":"Megan","non-dropping-particle":"","parse-names":false,"suffix":""},{"dropping-particle":"","family":"Pratap","given":"Abhishek","non-dropping-particle":"","parse-names":false,"suffix":""},{"dropping-particle":"","family":"Wilbanks","given":"John","non-dropping-particle":"","parse-names":false,"suffix":""},{"dropping-particle":"","family":"Dorsey","given":"E. Ray","non-dropping-particle":"","parse-names":false,"suffix":""},{"dropping-particle":"","family":"Friend","given":"Stephen H.","non-dropping-particle":"","parse-names":false,"suffix":""},{"dropping-particle":"","family":"Trister","given":"Andrew D.","non-dropping-particle":"","parse-names":false,"suffix":""}],"container-title":"Scientific Data","id":"ITEM-1","issued":{"date-parts":[["2016"]]},"page":"1-9","title":"The mPower study, Parkinson disease mobile data collected using ResearchKit","type":"article-journal","volume":"3"},"uris":["http://www.mendeley.com/documents/?uuid=cb1f19f0-ddfa-48f8-a6fb-57aa16a6c060"]}],"mendeley":{"formattedCitation":"(Bot et al., 2016)","plainTextFormattedCitation":"(Bot et al., 2016)"},"properties":{"noteIndex":0},"schema":"https://github.com/citation-style-language/schema/raw/master/csl-citation.json"}</w:instrText>
            </w:r>
            <w:r>
              <w:rPr>
                <w:rFonts w:ascii="Arial" w:eastAsia="Times New Roman" w:hAnsi="Arial" w:cs="Arial"/>
                <w:sz w:val="20"/>
                <w:szCs w:val="20"/>
                <w:lang w:eastAsia="en-GB"/>
              </w:rPr>
              <w:fldChar w:fldCharType="separate"/>
            </w:r>
            <w:r w:rsidRPr="00B9196D">
              <w:rPr>
                <w:rFonts w:ascii="Arial" w:eastAsia="Times New Roman" w:hAnsi="Arial" w:cs="Arial"/>
                <w:noProof/>
                <w:sz w:val="20"/>
                <w:szCs w:val="20"/>
                <w:lang w:eastAsia="en-GB"/>
              </w:rPr>
              <w:t>(Bot et al., 2016)</w:t>
            </w:r>
            <w:r>
              <w:rPr>
                <w:rFonts w:ascii="Arial" w:eastAsia="Times New Roman" w:hAnsi="Arial" w:cs="Arial"/>
                <w:sz w:val="20"/>
                <w:szCs w:val="20"/>
                <w:lang w:eastAsia="en-GB"/>
              </w:rPr>
              <w:fldChar w:fldCharType="end"/>
            </w:r>
          </w:p>
        </w:tc>
        <w:tc>
          <w:tcPr>
            <w:tcW w:w="3285" w:type="dxa"/>
            <w:shd w:val="clear" w:color="auto" w:fill="D5DCE4" w:themeFill="text2" w:themeFillTint="33"/>
            <w:noWrap/>
            <w:hideMark/>
          </w:tcPr>
          <w:p w14:paraId="6DF2F95F" w14:textId="1E2645A0"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Managing the risks of IoT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Devices","type":"chapter"},"uris":["http://www.mendeley.com/documents/?uuid=a4618bfc-fd02-4e6d-b47b-40177cfb5397"]}],"mendeley":{"formattedCitation":"(Paxton &amp; Branca, 2020)","plainTextFormattedCitation":"(Paxton &amp; Branca, 2020)","previouslyFormattedCitation":"(Paxton &amp; Branca, 2020)"},"properties":{"noteIndex":0},"schema":"https://github.com/citation-style-language/schema/raw/master/csl-citation.json"}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(Paxton &amp; Branca, 2020)</w:t>
            </w:r>
            <w:r w:rsidRPr="00B27AA8">
              <w:rPr>
                <w:rFonts w:ascii="Arial" w:hAnsi="Arial" w:cs="Arial"/>
                <w:sz w:val="20"/>
                <w:szCs w:val="20"/>
              </w:rPr>
              <w:fldChar w:fldCharType="end"/>
            </w:r>
          </w:p>
        </w:tc>
      </w:tr>
      <w:tr w:rsidR="00730A49" w:rsidRPr="00B27AA8" w14:paraId="5072C0AD" w14:textId="77777777" w:rsidTr="00B27AA8">
        <w:trPr>
          <w:trHeight w:val="500"/>
        </w:trPr>
        <w:tc>
          <w:tcPr>
            <w:tcW w:w="439" w:type="dxa"/>
            <w:noWrap/>
          </w:tcPr>
          <w:p w14:paraId="77A7383B" w14:textId="1610FDA3" w:rsidR="00730A49" w:rsidRPr="00B27AA8" w:rsidRDefault="007B3842" w:rsidP="00C93CB9">
            <w:pPr>
              <w:spacing w:before="120" w:after="120"/>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4</w:t>
            </w:r>
          </w:p>
        </w:tc>
        <w:tc>
          <w:tcPr>
            <w:tcW w:w="3043" w:type="dxa"/>
            <w:hideMark/>
          </w:tcPr>
          <w:p w14:paraId="65251E7A"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A.I.-assisted clinical decision support</w:t>
            </w:r>
          </w:p>
        </w:tc>
        <w:tc>
          <w:tcPr>
            <w:tcW w:w="5444" w:type="dxa"/>
            <w:noWrap/>
            <w:hideMark/>
          </w:tcPr>
          <w:p w14:paraId="5C0F0FA7" w14:textId="28D8757F" w:rsidR="00730A49" w:rsidRPr="00B27AA8" w:rsidRDefault="007503BA" w:rsidP="00C93CB9">
            <w:pPr>
              <w:spacing w:before="120" w:after="120"/>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Any software that informs a clinical decision or prompts clinical action.</w:t>
            </w:r>
          </w:p>
        </w:tc>
        <w:tc>
          <w:tcPr>
            <w:tcW w:w="2810" w:type="dxa"/>
            <w:noWrap/>
            <w:hideMark/>
          </w:tcPr>
          <w:p w14:paraId="48D851A2" w14:textId="3099B7B7" w:rsidR="00730A49" w:rsidRPr="00B27AA8" w:rsidRDefault="001C6DBC" w:rsidP="001C6DBC">
            <w:pPr>
              <w:spacing w:before="120" w:after="120"/>
              <w:rPr>
                <w:rFonts w:ascii="Arial" w:eastAsia="Times New Roman" w:hAnsi="Arial" w:cs="Arial"/>
                <w:sz w:val="20"/>
                <w:szCs w:val="20"/>
                <w:lang w:eastAsia="en-GB"/>
              </w:rPr>
            </w:pPr>
            <w:r>
              <w:rPr>
                <w:rFonts w:ascii="Arial" w:eastAsia="Times New Roman" w:hAnsi="Arial" w:cs="Arial"/>
                <w:sz w:val="20"/>
                <w:szCs w:val="20"/>
                <w:lang w:eastAsia="en-GB"/>
              </w:rPr>
              <w:t xml:space="preserve">Sepsis </w:t>
            </w:r>
            <w:r>
              <w:rPr>
                <w:rFonts w:ascii="Arial" w:eastAsia="Times New Roman" w:hAnsi="Arial" w:cs="Arial"/>
                <w:sz w:val="20"/>
                <w:szCs w:val="20"/>
                <w:lang w:eastAsia="en-GB"/>
              </w:rPr>
              <w:fldChar w:fldCharType="begin" w:fldLock="1"/>
            </w:r>
            <w:r w:rsidR="00A6339A">
              <w:rPr>
                <w:rFonts w:ascii="Arial" w:eastAsia="Times New Roman" w:hAnsi="Arial" w:cs="Arial"/>
                <w:sz w:val="20"/>
                <w:szCs w:val="20"/>
                <w:lang w:eastAsia="en-GB"/>
              </w:rPr>
              <w:instrText>ADDIN CSL_CITATION {"citationItems":[{"id":"ITEM-1","itemData":{"DOI":"10.1038/s41591-018-0213-5","ISSN":"1546170X","abstract":"From 2017 to 2018 the number of scientific publications found via PubMed search using the keyword \"Machine Learning\" increased by 46% (4,317 to 6,307). The results of studies involving machine learning, artificial intelligence (AI), and big data have captured the attention of healthcare practitioners, healthcare managers, and the public at a time when Western medicine grapples with unmitigated cost increases and public demands for accountability. The complexity involved in healthcare applications of machine learning and the size of the associated data sets has afforded many researchers an uncontested opportunity to satisfy these demands with relatively little oversight. In a recent Nature Medicine article, \"The Artificial Intelligence Clinician learns optimal treatment strategies for sepsis in intensive care,\" Komorowski and his coauthors propose methods to train an artificial intelligence clinician to treat sepsis patients with vasopressors and IV fluids. In this post, we will closely examine the claims laid out in this paper. In particular, we will study the individual treatment profiles suggested by their AI Clinician to gain insight into how their AI Clinician intends to treat patients on an individual level.","author":[{"dropping-particle":"","family":"Komorowski","given":"Matthieu","non-dropping-particle":"","parse-names":false,"suffix":""},{"dropping-particle":"","family":"Celi","given":"Leo A.","non-dropping-particle":"","parse-names":false,"suffix":""},{"dropping-particle":"","family":"Badawi","given":"Omar","non-dropping-particle":"","parse-names":false,"suffix":""},{"dropping-particle":"","family":"Gordon","given":"Anthony C.","non-dropping-particle":"","parse-names":false,"suffix":""},{"dropping-particle":"","family":"Faisal","given":"A. Aldo","non-dropping-particle":"","parse-names":false,"suffix":""}],"container-title":"Nature Medicine","id":"ITEM-1","issue":"11","issued":{"date-parts":[["2018"]]},"page":"1716-1720","publisher":"Springer US","title":"The Artificial Intelligence Clinician learns optimal treatment strategies for sepsis in intensive care","type":"article-journal","volume":"24"},"uris":["http://www.mendeley.com/documents/?uuid=9e14236e-bff5-492b-81f5-376280cad94b"]},{"id":"ITEM-2","itemData":{"DOI":"10.2471/BLT.19.237487","ISSN":"0045-5075","author":[{"dropping-particle":"","family":"Habli","given":"Ibrahim","non-dropping-particle":"","parse-names":false,"suffix":""},{"dropping-particle":"","family":"Lawton","given":"Tom","non-dropping-particle":"","parse-names":false,"suffix":""},{"dropping-particle":"","family":"Porter","given":"Zoe","non-dropping-particle":"","parse-names":false,"suffix":""}],"container-title":"Bull World Health Organ","id":"ITEM-2","issued":{"date-parts":[["2020"]]},"page":"251-256","title":"Artificial Intelligence in Health Care: Accountability and safety","type":"article-journal","volume":"98"},"uris":["http://www.mendeley.com/documents/?uuid=bc77445e-b5e6-454b-b935-19436fab6e70"]}],"mendeley":{"formattedCitation":"(Habli et al., 2020; Komorowski et al., 2018)","manualFormatting":"(Komorowski et al., 2018 with critique by Habli et al., 2020)","plainTextFormattedCitation":"(Habli et al., 2020; Komorowski et al., 2018)","previouslyFormattedCitation":"(Habli et al., 2020; Komorowski et al., 2018)"},"properties":{"noteIndex":0},"schema":"https://github.com/citation-style-language/schema/raw/master/csl-citation.json"}</w:instrText>
            </w:r>
            <w:r>
              <w:rPr>
                <w:rFonts w:ascii="Arial" w:eastAsia="Times New Roman" w:hAnsi="Arial" w:cs="Arial"/>
                <w:sz w:val="20"/>
                <w:szCs w:val="20"/>
                <w:lang w:eastAsia="en-GB"/>
              </w:rPr>
              <w:fldChar w:fldCharType="separate"/>
            </w:r>
            <w:r w:rsidRPr="001C6DBC">
              <w:rPr>
                <w:rFonts w:ascii="Arial" w:eastAsia="Times New Roman" w:hAnsi="Arial" w:cs="Arial"/>
                <w:noProof/>
                <w:sz w:val="20"/>
                <w:szCs w:val="20"/>
                <w:lang w:eastAsia="en-GB"/>
              </w:rPr>
              <w:t>(Komorowski et al., 2018</w:t>
            </w:r>
            <w:r>
              <w:rPr>
                <w:rFonts w:ascii="Arial" w:eastAsia="Times New Roman" w:hAnsi="Arial" w:cs="Arial"/>
                <w:noProof/>
                <w:sz w:val="20"/>
                <w:szCs w:val="20"/>
                <w:lang w:eastAsia="en-GB"/>
              </w:rPr>
              <w:t xml:space="preserve"> with critique by </w:t>
            </w:r>
            <w:r w:rsidRPr="001C6DBC">
              <w:rPr>
                <w:rFonts w:ascii="Arial" w:eastAsia="Times New Roman" w:hAnsi="Arial" w:cs="Arial"/>
                <w:noProof/>
                <w:sz w:val="20"/>
                <w:szCs w:val="20"/>
                <w:lang w:eastAsia="en-GB"/>
              </w:rPr>
              <w:t>Habli et al., 2020)</w:t>
            </w:r>
            <w:r>
              <w:rPr>
                <w:rFonts w:ascii="Arial" w:eastAsia="Times New Roman" w:hAnsi="Arial" w:cs="Arial"/>
                <w:sz w:val="20"/>
                <w:szCs w:val="20"/>
                <w:lang w:eastAsia="en-GB"/>
              </w:rPr>
              <w:fldChar w:fldCharType="end"/>
            </w:r>
          </w:p>
        </w:tc>
        <w:tc>
          <w:tcPr>
            <w:tcW w:w="3285" w:type="dxa"/>
            <w:noWrap/>
            <w:hideMark/>
          </w:tcPr>
          <w:p w14:paraId="2DC09722" w14:textId="207FAAD1"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Opinion on AI for CDS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{"citationItems":[{"id":"ITEM-1","itemData":{"DOI":"10.1001/jama.2018.17163","ISBN":"0003481910646","ISSN":"15383598","author":[{"dropping-particle":"","family":"Shortliffe","given":"Edward H.","non-dropping-particle":"","parse-names":false,"suffix":""},{"dropping-particle":"","family":"Sepúlveda","given":"Martin J.","non-dropping-particle":"","parse-names":false,"suffix":""}],"container-title":"JAMA - Journal of the American Medical Association","id":"ITEM-1","issue":"21","issued":{"date-parts":[["2018"]]},"page":"2199-2200","title":"Clinical Decision Support in the Era of Artificial Intelligence","type":"article-journal","volume":"320"},"uris":["http://www.mendeley.com/documents/?uuid=b1d221fa-7d7f-4250-96d9-532f5d66bb5d"]}],"mendeley":{"formattedCitation":"(Shortliffe &amp; Sepúlveda, 2018)","plainTextFormattedCitation":"(Shortliffe &amp; Sepúlveda, 2018)","previouslyFormattedCitation":"(Shortliffe &amp; Sepúlveda,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(Shortliffe &amp; Sepúlveda, 2018)</w:t>
            </w:r>
            <w:r w:rsidRPr="00B27AA8">
              <w:rPr>
                <w:rFonts w:ascii="Arial" w:hAnsi="Arial" w:cs="Arial"/>
                <w:sz w:val="20"/>
                <w:szCs w:val="20"/>
              </w:rPr>
              <w:fldChar w:fldCharType="end"/>
            </w:r>
            <w:r w:rsidRPr="00B27AA8">
              <w:rPr>
                <w:rFonts w:ascii="Arial" w:hAnsi="Arial" w:cs="Arial"/>
                <w:sz w:val="20"/>
                <w:szCs w:val="20"/>
              </w:rPr>
              <w:t xml:space="preserve">; Methodological appraisal of A.I. approaches for suitability to CDS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{"citationItems":[{"id":"ITEM-1","itemData":{"DOI":"10.1109/SAI.2015.7237196","ISBN":"9781479985470","abstract":"Intelligent clinical decision support systems have been increasingly used in health care organisations. These systems are intended to help physicians in their diagnosis procedures; making decisions more accurate and effective, minimising medical errors, improving patient safety and reducing costs. However, the effectiveness and accuracy of these systems largely depend on the underlying AI technique that has been used, where same clinical-related problem can be solved using more than one AI technique which may provide different outcomes. Consequently, it is crucial to figure out the ideal utilisation of AI techniques in the clinical decision support systems. Our research study reviews various researches which utilised Artificial Intelligence techniques in clinical decision support systems with the aim of identifying basic criterion for adequate use of intelligent techniques within such systems. This paper presents a yes/no inquiry approach based on observations of previous research studies. The objective of this inquiry is to facilitate the selection of the most beneficial and effective AI technique that can be applied in the medical decision support system to provide the best outcomes.","author":[{"dropping-particle":"","family":"Aljaaf","given":"Ahmed J.","non-dropping-particle":"","parse-names":false,"suffix":""},{"dropping-particle":"","family":"Al-Jumeily","given":"Dhiya","non-dropping-particle":"","parse-names":false,"suffix":""},{"dropping-particle":"","family":"Hussain","given":"Abir J.","non-dropping-particle":"","parse-names":false,"suffix":""},{"dropping-particle":"","family":"Fergus","given":"Paul","non-dropping-particle":"","parse-names":false,"suffix":""},{"dropping-particle":"","family":"Al-Jumaily","given":"Mohammed","non-dropping-particle":"","parse-names":false,"suffix":""},{"dropping-particle":"","family":"Abdel-Aziz","given":"Khaled","non-dropping-particle":"","parse-names":false,"suffix":""}],"container-title":"Proceedings of the 2015 Science and Information Conference, SAI 2015","id":"ITEM-1","issued":{"date-parts":[["2015"]]},"page":"548-554","publisher":"IEEE","title":"Toward an optimal use of artificial intelligence techniques within a clinical decision support system","type":"article-journal"},"uris":["http://www.mendeley.com/documents/?uuid=e6d341cc-bd92-4e26-9692-1d207cfe0bda"]},{"id":"ITEM-2","itemData":{"author":[{"dropping-particle":"","family":"Abbasi","given":"M. M.","non-dropping-particle":"","parse-names":false,"suffix":""},{"dropping-particle":"","family":"Kashiyarndi","given":"S","non-dropping-particle":"","parse-names":false,"suffix":""}],"id":"ITEM-2","issued":{"date-parts":[["2006"]]},"title":"Clinical Decision Support Systems: A discussion on different methodologies used in Health Care","type":"article"},"uris":["http://www.mendeley.com/documents/?uuid=7806cdc7-5927-4772-badd-2777cd9d1dca"]}],"mendeley":{"formattedCitation":"(Abbasi &amp; Kashiyarndi, 2006; Aljaaf et al., 2015)","plainTextFormattedCitation":"(Abbasi &amp; Kashiyarndi, 2006; Aljaaf et al., 2015)","previouslyFormattedCitation":"(Abbasi &amp; Kashiyarndi, 2006; Aljaaf et al., 2015)"},"properties":{"noteIndex":0},"schema":"https://github.com/citation-style-language/schema/raw/master/csl-citation.json"}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(Abbasi &amp; Kashiyarndi, 2006; Aljaaf et al., 2015)</w:t>
            </w:r>
            <w:r w:rsidRPr="00B27AA8">
              <w:rPr>
                <w:rFonts w:ascii="Arial" w:hAnsi="Arial" w:cs="Arial"/>
                <w:sz w:val="20"/>
                <w:szCs w:val="20"/>
              </w:rPr>
              <w:fldChar w:fldCharType="end"/>
            </w:r>
          </w:p>
        </w:tc>
      </w:tr>
      <w:tr w:rsidR="00730A49" w:rsidRPr="00B27AA8" w14:paraId="29AC883E" w14:textId="77777777" w:rsidTr="00B27AA8">
        <w:trPr>
          <w:trHeight w:val="250"/>
        </w:trPr>
        <w:tc>
          <w:tcPr>
            <w:tcW w:w="439" w:type="dxa"/>
            <w:shd w:val="clear" w:color="auto" w:fill="D5DCE4" w:themeFill="text2" w:themeFillTint="33"/>
            <w:noWrap/>
          </w:tcPr>
          <w:p w14:paraId="5D569812" w14:textId="24DF00B4" w:rsidR="00730A49" w:rsidRPr="00B27AA8" w:rsidRDefault="007B3842" w:rsidP="00C93CB9">
            <w:pPr>
              <w:spacing w:before="120" w:after="120"/>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5</w:t>
            </w:r>
          </w:p>
        </w:tc>
        <w:tc>
          <w:tcPr>
            <w:tcW w:w="3043" w:type="dxa"/>
            <w:shd w:val="clear" w:color="auto" w:fill="D5DCE4" w:themeFill="text2" w:themeFillTint="33"/>
            <w:hideMark/>
          </w:tcPr>
          <w:p w14:paraId="5E14C19B" w14:textId="6359D4D0" w:rsidR="00730A49" w:rsidRPr="00B27AA8" w:rsidRDefault="007503BA" w:rsidP="007503BA">
            <w:pPr>
              <w:spacing w:before="120" w:after="120"/>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Drones</w:t>
            </w:r>
          </w:p>
        </w:tc>
        <w:tc>
          <w:tcPr>
            <w:tcW w:w="5444" w:type="dxa"/>
            <w:shd w:val="clear" w:color="auto" w:fill="D5DCE4" w:themeFill="text2" w:themeFillTint="33"/>
            <w:noWrap/>
            <w:hideMark/>
          </w:tcPr>
          <w:p w14:paraId="5D5433B2" w14:textId="7F031441" w:rsidR="00730A49" w:rsidRPr="00B27AA8" w:rsidRDefault="00A6339A" w:rsidP="00A6339A">
            <w:pPr>
              <w:spacing w:before="120" w:after="120"/>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w:t>
            </w:r>
            <w:r w:rsidRPr="00A6339A">
              <w:rPr>
                <w:rFonts w:ascii="Arial" w:eastAsia="Times New Roman" w:hAnsi="Arial" w:cs="Arial"/>
                <w:i/>
                <w:color w:val="000000"/>
                <w:sz w:val="20"/>
                <w:szCs w:val="20"/>
                <w:lang w:eastAsia="en-GB"/>
              </w:rPr>
              <w:t>devices which are capable of sustained flight, which do not have a human on board, and are under sufficient control to perform useful functions</w:t>
            </w:r>
            <w:r>
              <w:rPr>
                <w:rFonts w:ascii="Arial" w:eastAsia="Times New Roman" w:hAnsi="Arial" w:cs="Arial"/>
                <w:color w:val="000000"/>
                <w:sz w:val="20"/>
                <w:szCs w:val="20"/>
                <w:lang w:eastAsia="en-GB"/>
              </w:rPr>
              <w:t xml:space="preserve">” </w:t>
            </w:r>
            <w:r>
              <w:rPr>
                <w:rFonts w:ascii="Arial" w:eastAsia="Times New Roman" w:hAnsi="Arial" w:cs="Arial"/>
                <w:color w:val="000000"/>
                <w:sz w:val="20"/>
                <w:szCs w:val="20"/>
                <w:lang w:eastAsia="en-GB"/>
              </w:rPr>
              <w:fldChar w:fldCharType="begin" w:fldLock="1"/>
            </w:r>
            <w:r>
              <w:rPr>
                <w:rFonts w:ascii="Arial" w:eastAsia="Times New Roman" w:hAnsi="Arial" w:cs="Arial"/>
                <w:color w:val="000000"/>
                <w:sz w:val="20"/>
                <w:szCs w:val="20"/>
                <w:lang w:eastAsia="en-GB"/>
              </w:rPr>
              <w:instrText>ADDIN CSL_CITATION {"citationItems":[{"id":"ITEM-1","itemData":{"DOI":"10.1007/978-3-030-17347-0_3","ISBN":"9783030173470","author":[{"dropping-particle":"","family":"Scott","given":"Judy E.","non-dropping-particle":"","parse-names":false,"suffix":""},{"dropping-particle":"","family":"Scott","given":"Carlton H.","non-dropping-particle":"","parse-names":false,"suffix":""}],"container-title":"Delivering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69-85","publisher":"Springer","title":"Drone Delivery Models for Medical Emergencies","type":"chapter"},"uris":["http://www.mendeley.com/documents/?uuid=a195028d-c433-4c96-9bb0-0e44c6b95dfb"]}],"mendeley":{"formattedCitation":"(Scott &amp; Scott, 2020)","plainTextFormattedCitation":"(Scott &amp; Scott, 2020)"},"properties":{"noteIndex":0},"schema":"https://github.com/citation-style-language/schema/raw/master/csl-citation.json"}</w:instrText>
            </w:r>
            <w:r>
              <w:rPr>
                <w:rFonts w:ascii="Arial" w:eastAsia="Times New Roman" w:hAnsi="Arial" w:cs="Arial"/>
                <w:color w:val="000000"/>
                <w:sz w:val="20"/>
                <w:szCs w:val="20"/>
                <w:lang w:eastAsia="en-GB"/>
              </w:rPr>
              <w:fldChar w:fldCharType="separate"/>
            </w:r>
            <w:r w:rsidRPr="00A6339A">
              <w:rPr>
                <w:rFonts w:ascii="Arial" w:eastAsia="Times New Roman" w:hAnsi="Arial" w:cs="Arial"/>
                <w:noProof/>
                <w:color w:val="000000"/>
                <w:sz w:val="20"/>
                <w:szCs w:val="20"/>
                <w:lang w:eastAsia="en-GB"/>
              </w:rPr>
              <w:t>(Scott &amp; Scott, 2020)</w:t>
            </w:r>
            <w:r>
              <w:rPr>
                <w:rFonts w:ascii="Arial" w:eastAsia="Times New Roman" w:hAnsi="Arial" w:cs="Arial"/>
                <w:color w:val="000000"/>
                <w:sz w:val="20"/>
                <w:szCs w:val="20"/>
                <w:lang w:eastAsia="en-GB"/>
              </w:rPr>
              <w:fldChar w:fldCharType="end"/>
            </w:r>
          </w:p>
        </w:tc>
        <w:tc>
          <w:tcPr>
            <w:tcW w:w="2810" w:type="dxa"/>
            <w:shd w:val="clear" w:color="auto" w:fill="D5DCE4" w:themeFill="text2" w:themeFillTint="33"/>
            <w:noWrap/>
            <w:hideMark/>
          </w:tcPr>
          <w:p w14:paraId="02500C15" w14:textId="2C92AE1F"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Chronic disease in rural areas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{"citationItems":[{"id":"ITEM-1","itemData":{"DOI":"10.1007/s10846-017-0548-z","ISSN":"15730409","abstract":"This paper addresses the drone-aided delivery and pickup planning of medication and test kits for patients with chronic diseases who are required to visit clinics for routine health examinations and/or refill medicine in rural areas. For routine healthcare services, the work proposes two models: the first model is to find the optimal number of drone center locations using the set covering approach, and the second model is the multi-depot vehicle routing problem with pickup and delivery requests minimizing the operating cost of drones in which drones deliver medicine to patients and pick up exam kits on the way back such as blood and urine samples. In order to improve computational performance of the proposed models, a preprocessing algorithm, a Partition method, and a Lagrangian Relaxation (LR) method are developed as solution approaches. A cost-benefit analysis method is developed as a tool to analyze the benefits of drone-aided healthcare service. The work is tested on a numerical example to show its applicability.","author":[{"dropping-particle":"","family":"Kim","given":"Seon Jin","non-dropping-particle":"","parse-names":false,"suffix":""},{"dropping-particle":"","family":"Lim","given":"Gino J.","non-dropping-particle":"","parse-names":false,"suffix":""},{"dropping-particle":"","family":"Cho","given":"Jaeyoung","non-dropping-particle":"","parse-names":false,"suffix":""},{"dropping-particle":"","family":"Côté","given":"Murray J.","non-dropping-particle":"","parse-names":false,"suffix":""}],"container-title":"Journal of Intelligent and Robotic Systems: Theory and Applications","id":"ITEM-1","issue":"1","issued":{"date-parts":[["2017"]]},"page":"163-180","title":"Drone-Aided Healthcare Services for Patients with Chronic Diseases in Rural Areas","type":"article-journal","volume":"88"},"uris":["http://www.mendeley.com/documents/?uuid=2c865116-4cf6-4869-80f4-4f0cbccc74b2"]}],"mendeley":{"formattedCitation":"(S. J. Kim et al., 2017)","plainTextFormattedCitation":"(S. J. Kim et al., 2017)","previouslyFormattedCitation":"(S. J. Kim et al., 2017)"},"properties":{"noteIndex":0},"schema":"https://github.com/citation-style-language/schema/raw/master/csl-citation.json"}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(S. J. Kim et al., 2017)</w:t>
            </w:r>
            <w:r w:rsidRPr="00B27AA8">
              <w:rPr>
                <w:rFonts w:ascii="Arial" w:hAnsi="Arial" w:cs="Arial"/>
                <w:sz w:val="20"/>
                <w:szCs w:val="20"/>
              </w:rPr>
              <w:fldChar w:fldCharType="end"/>
            </w:r>
          </w:p>
        </w:tc>
        <w:tc>
          <w:tcPr>
            <w:tcW w:w="3285" w:type="dxa"/>
            <w:shd w:val="clear" w:color="auto" w:fill="D5DCE4" w:themeFill="text2" w:themeFillTint="33"/>
            <w:noWrap/>
            <w:hideMark/>
          </w:tcPr>
          <w:p w14:paraId="53EC41FE" w14:textId="0BBFD452"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Review of drone-delivery models for healthcare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{"citationItems":[{"id":"ITEM-1","itemData":{"DOI":"10.1007/978-3-030-17347-0_3","ISBN":"9783030173470","author":[{"dropping-particle":"","family":"Scott","given":"Judy E.","non-dropping-particle":"","parse-names":false,"suffix":""},{"dropping-particle":"","family":"Scott","given":"Carlton H.","non-dropping-particle":"","parse-names":false,"suffix":""}],"container-title":"Delivering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69-85","publisher":"Springer","title":"Drone Delivery Models for Medical Emergencies","type":"chapter"},"uris":["http://www.mendeley.com/documents/?uuid=a195028d-c433-4c96-9bb0-0e44c6b95dfb"]}],"mendeley":{"formattedCitation":"(Scott &amp; Scott, 2020)","plainTextFormattedCitation":"(Scott &amp; Scott, 2020)","previouslyFormattedCitation":"(Scott &amp; Scott, 2020)"},"properties":{"noteIndex":0},"schema":"https://github.com/citation-style-language/schema/raw/master/csl-citation.json"}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(Scott &amp; Scott, 2020)</w:t>
            </w:r>
            <w:r w:rsidRPr="00B27AA8">
              <w:rPr>
                <w:rFonts w:ascii="Arial" w:hAnsi="Arial" w:cs="Arial"/>
                <w:sz w:val="20"/>
                <w:szCs w:val="20"/>
              </w:rPr>
              <w:fldChar w:fldCharType="end"/>
            </w:r>
            <w:r w:rsidRPr="00B27AA8">
              <w:rPr>
                <w:rFonts w:ascii="Arial" w:hAnsi="Arial" w:cs="Arial"/>
                <w:sz w:val="20"/>
                <w:szCs w:val="20"/>
              </w:rPr>
              <w:t xml:space="preserve">; Review of drones in healthcare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10.1007/978-3-319-61445-5","ISBN":"978-3-319-61445-8","author":[{"dropping-particle":"","family":"Wulfovich","given":"Sharon","non-dropping-particle":"","parse-names":false,"suffix":""},{"dropping-particle":"","family":"Rivas","given":"Homero","non-dropping-particle":"","parse-names":false,"suffix":""},{"dropping-particle":"","family":"Matabuena","given":"Pedro","non-dropping-particle":"","parse-names":false,"suffix":""}],"chapter-number":"Chapter 11","container-title":"Digital Health: Scaling healthcare to the world","editor":[{"dropping-particle":"","family":"Rivas","given":"Homero","non-dropping-particle":"","parse-names":false,"suffix":""},{"dropping-particle":"","family":"Wac","given":"Katarzyna","non-dropping-particle":"","parse-names":false,"suffix":""}],"id":"ITEM-1","issued":{"date-parts":[["2018"]]},"publisher":"Springer","title":"Drones in healthcare","type":"chapter"},"uris":["http://www.mendeley.com/documents/?uuid=f3e3c64e-49ea-495b-8f36-1e0525c6873f"]}],"mendeley":{"formattedCitation":"(Wulfovich et al., 2018)","plainTextFormattedCitation":"(Wulfovich et al., 2018)","previouslyFormattedCitation":"(Wulfovich et al.,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(Wulfovich et al., 2018)</w:t>
            </w:r>
            <w:r w:rsidRPr="00B27AA8">
              <w:rPr>
                <w:rFonts w:ascii="Arial" w:hAnsi="Arial" w:cs="Arial"/>
                <w:sz w:val="20"/>
                <w:szCs w:val="20"/>
              </w:rPr>
              <w:fldChar w:fldCharType="end"/>
            </w:r>
            <w:r w:rsidRPr="00B27AA8">
              <w:rPr>
                <w:rFonts w:ascii="Arial" w:hAnsi="Arial" w:cs="Arial"/>
                <w:sz w:val="20"/>
                <w:szCs w:val="20"/>
              </w:rPr>
              <w:t xml:space="preserve">; Challenges and opportunities of drones in healthcare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{"citationItems":[{"id":"ITEM-1","itemData":{"DOI":"10.1373/jalm.2019.030106","ISSN":"2475-7241","author":[{"dropping-particle":"","family":"Amukele","given":"Timothy","non-dropping-particle":"","parse-names":false,"suffix":""}],"container-title":"The Journal of Applied Laboratory Medicine","id":"ITEM-1","issue":"2","issued":{"date-parts":[["2019"]]},"page":"296-298","title":"Current State of Drones in Healthcare: Challenges and Opportunities","type":"article-journal","volume":"4"},"uris":["http://www.mendeley.com/documents/?uuid=6dd1073c-c90c-4fb1-9103-77ff955f6848"]}],"mendeley":{"formattedCitation":"(Amukele, 2019)","plainTextFormattedCitation":"(Amukele, 2019)","previouslyFormattedCitation":"(Amukele,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(Amukele, 2019)</w:t>
            </w:r>
            <w:r w:rsidRPr="00B27AA8">
              <w:rPr>
                <w:rFonts w:ascii="Arial" w:hAnsi="Arial" w:cs="Arial"/>
                <w:sz w:val="20"/>
                <w:szCs w:val="20"/>
              </w:rPr>
              <w:fldChar w:fldCharType="end"/>
            </w:r>
          </w:p>
        </w:tc>
      </w:tr>
      <w:tr w:rsidR="00730A49" w:rsidRPr="00B27AA8" w14:paraId="425E48AC" w14:textId="77777777" w:rsidTr="00B27AA8">
        <w:trPr>
          <w:trHeight w:val="500"/>
        </w:trPr>
        <w:tc>
          <w:tcPr>
            <w:tcW w:w="439" w:type="dxa"/>
            <w:noWrap/>
          </w:tcPr>
          <w:p w14:paraId="5AF36A45" w14:textId="722832F7"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lastRenderedPageBreak/>
              <w:t>6</w:t>
            </w:r>
          </w:p>
        </w:tc>
        <w:tc>
          <w:tcPr>
            <w:tcW w:w="3043" w:type="dxa"/>
            <w:hideMark/>
          </w:tcPr>
          <w:p w14:paraId="4740B84D"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Mobile health app's and Patient Portals</w:t>
            </w:r>
          </w:p>
        </w:tc>
        <w:tc>
          <w:tcPr>
            <w:tcW w:w="5444" w:type="dxa"/>
            <w:noWrap/>
            <w:hideMark/>
          </w:tcPr>
          <w:p w14:paraId="18EB36A5" w14:textId="1807DFB2"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Clinicians’ mobile access to electronic healthcare records, and patient access to their own electronic healthcare record.</w:t>
            </w:r>
          </w:p>
        </w:tc>
        <w:tc>
          <w:tcPr>
            <w:tcW w:w="2810" w:type="dxa"/>
            <w:noWrap/>
            <w:hideMark/>
          </w:tcPr>
          <w:p w14:paraId="129C1529" w14:textId="708E3D68"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Pharmacist-facing, medication-review app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{"citationItems":[{"id":"ITEM-1","itemData":{"DOI":"10.1155/2017/3195369","ISSN":"23146141","abstract":"We selected iOS in this study as the App operation system, Objective-C as the programming language, and Oracle as the database to develop an App to inspect controlled substances in patient care units. Using a web-enabled smartphone, pharmacist inspection can be performed on site and the inspection result can be directly recorded into HIS through the Internet, so human error of data translation can be minimized and the work efficiency and data processing can be improved. This system not only is fast and convenient compared to the conventional paperwork, but also provides data security and accuracy. In addition, there are several features to increase inspecting quality: (1) accuracy of drug appearance, (2) foolproof mechanism to avoid input errors or miss, (3) automatic data conversion without human judgments, (4) online alarm of expiry date, and (5) instant inspection result to show not meted items. This study has successfully turned paper-based medication inspection into inspection using a web-based mobile device.","author":[{"dropping-particle":"","family":"Lu","given":"Ying Hao","non-dropping-particle":"","parse-names":false,"suffix":""},{"dropping-particle":"","family":"Lee","given":"Li Yao","non-dropping-particle":"","parse-names":false,"suffix":""},{"dropping-particle":"","family":"Chen","given":"Ying Lan","non-dropping-particle":"","parse-names":false,"suffix":""},{"dropping-particle":"","family":"Cheng","given":"Hsing I.","non-dropping-particle":"","parse-names":false,"suffix":""},{"dropping-particle":"","family":"Tsai","given":"Wen Tsung","non-dropping-particle":"","parse-names":false,"suffix":""},{"dropping-particle":"","family":"Kuo","given":"Chen Chun","non-dropping-particle":"","parse-names":false,"suffix":""},{"dropping-particle":"","family":"Chen","given":"Chung Yu","non-dropping-particle":"","parse-names":false,"suffix":""},{"dropping-particle":"Bin","family":"Huang","given":"Yaw","non-dropping-particle":"","parse-names":false,"suffix":""}],"container-title":"BioMed Research International","id":"ITEM-1","issue":"December 2014","issued":{"date-parts":[["2017"]]},"title":"Developing an App by Exploiting Web-Based Mobile Technology to Inspect Controlled Substances in Patient Care Units","type":"article-journal","volume":"2017"},"uris":["http://www.mendeley.com/documents/?uuid=ea263603-8c64-4703-88f0-09c01980e538"]}],"mendeley":{"formattedCitation":"(Lu et al., 2017)","plainTextFormattedCitation":"(Lu et al., 2017)","previouslyFormattedCitation":"(Lu et al., 2017)"},"properties":{"noteIndex":0},"schema":"https://github.com/citation-style-language/schema/raw/master/csl-citation.json"}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(Lu et al., 2017)</w:t>
            </w:r>
            <w:r w:rsidRPr="00B27AA8">
              <w:rPr>
                <w:rFonts w:ascii="Arial" w:hAnsi="Arial" w:cs="Arial"/>
                <w:sz w:val="20"/>
                <w:szCs w:val="20"/>
              </w:rPr>
              <w:fldChar w:fldCharType="end"/>
            </w:r>
            <w:r w:rsidRPr="00B27AA8">
              <w:rPr>
                <w:rFonts w:ascii="Arial" w:hAnsi="Arial" w:cs="Arial"/>
                <w:sz w:val="20"/>
                <w:szCs w:val="20"/>
              </w:rPr>
              <w:t xml:space="preserve">; Patient portal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{"citationItems":[{"id":"ITEM-1","itemData":{"DOI":"10.2196/resprot.6355","ISSN":"1929-0748","abstract":"BACKGROUND For patients with complex care needs, engagement in disease management activities is critical. Chronic illnesses touch almost every person in the United States. The costs are real, personal, and pervasive. In response, patients often seek tools to help them manage their health. Patient portals, personal health records tethered to an electronic health record, show promise as tools that patients value and that can improve health. Although patient portals currently focus on the outpatient experience, the Ohio State University Wexner Medical Center (OSUWMC) has deployed a portal designed specifically for the inpatient experience that is connected to the ambulatory patient portal available after discharge. While this inpatient technology is in active use at only one other hospital in the United States, health care facilities are currently investing in infrastructure necessary to support large-scale deployment. Times of acute crisis such as hospitalization may increase a patient's focus on his/her health. During this time, patients may be more engaged with their care and especially interested in using tools to manage their health after discharge. Evidence shows that enhanced patient self-management can lead to better control of chronic illness. Patient portals may serve as a mechanism to facilitate increased engagement. OBJECTIVE The specific aims of our study are (1) to investigate the independent effects of providing both High Tech and High Touch interventions on patient-reported outcomes at discharge, including patients' self-efficacy for managing chronic conditions and satisfaction with care; and (2) to conduct a mixed-methods analysis to determine how providing patients with access to MyChart Bedside (MCB, High Tech) and training/education on patient portals, and MyChart Ambulatory (MCA, High Touch) will influence engagement with the patient portal and relate to longer-term outcomes. METHODS Our proposed 4-year study uses a mixed-methods research (MMR) approach to evaluate a randomized controlled trial studying the effectiveness of a High Tech intervention (MCB, the inpatient portal), and an accompanying High Touch intervention (training patients to use the portal to manage their care and conditions) in a sample of hospitalized patients with two or more chronic conditions. This study measures how access to a patient portal tailored to the inpatient stay can improve patient experience and increase patient engagement by (1) improving patients' p…","author":[{"dropping-particle":"","family":"McAlearney","given":"Ann Scheck","non-dropping-particle":"","parse-names":false,"suffix":""},{"dropping-particle":"","family":"Sieck","given":"Cynthia J","non-dropping-particle":"","parse-names":false,"suffix":""},{"dropping-particle":"","family":"Hefner","given":"Jennifer L","non-dropping-particle":"","parse-names":false,"suffix":""},{"dropping-particle":"","family":"Aldrich","given":"Alison M","non-dropping-particle":"","parse-names":false,"suffix":""},{"dropping-particle":"","family":"Walker","given":"Daniel M","non-dropping-particle":"","parse-names":false,"suffix":""},{"dropping-particle":"","family":"Rizer","given":"Milisa K","non-dropping-particle":"","parse-names":false,"suffix":""},{"dropping-particle":"","family":"Moffatt-Bruce","given":"Susan D","non-dropping-particle":"","parse-names":false,"suffix":""},{"dropping-particle":"","family":"Huerta","given":"Timothy R","non-dropping-particle":"","parse-names":false,"suffix":""}],"container-title":"JMIR Research Protocols","id":"ITEM-1","issue":"4","issued":{"date-parts":[["2016"]]},"page":"e221","title":"High Touch and High Tech (HT2) Proposal: Transforming Patient Engagement Throughout the Continuum of Care by Engaging Patients with Portal Technology at the Bedside","type":"article-journal","volume":"5"},"uris":["http://www.mendeley.com/documents/?uuid=2c771017-ae0c-4159-827c-b72c55648de2"]}],"mendeley":{"formattedCitation":"(McAlearney et al., 2016)","plainTextFormattedCitation":"(McAlearney et al., 2016)","previouslyFormattedCitation":"(McAlearney et al., 2016)"},"properties":{"noteIndex":0},"schema":"https://github.com/citation-style-language/schema/raw/master/csl-citation.json"}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(McAlearney et al., 2016)</w:t>
            </w:r>
            <w:r w:rsidRPr="00B27AA8">
              <w:rPr>
                <w:rFonts w:ascii="Arial" w:hAnsi="Arial" w:cs="Arial"/>
                <w:sz w:val="20"/>
                <w:szCs w:val="20"/>
              </w:rPr>
              <w:fldChar w:fldCharType="end"/>
            </w:r>
          </w:p>
        </w:tc>
        <w:tc>
          <w:tcPr>
            <w:tcW w:w="3285" w:type="dxa"/>
            <w:noWrap/>
            <w:hideMark/>
          </w:tcPr>
          <w:p w14:paraId="08E488BC" w14:textId="447A99A3"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Gaps in mobile patient portal service to enable patient-centred care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10.1007/978-3-030-17347-0_29","ISBN":"9783030173470","author":[{"dropping-particle":"","family":"Noteboom","given":"Cherie","non-dropping-particle":"","parse-names":false,"suffix":""},{"dropping-particle":"","family":"Abdel-Rahman","given":"Mohammad","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587-602","publisher":"Springer","title":"Toward Actionable Knowledge: A Systematic Analysis of Mobile Patient Portal Use","type":"chapter"},"uris":["http://www.mendeley.com/documents/?uuid=d7dcb52d-5bc0-413b-8555-0feb49088305"]}],"mendeley":{"formattedCitation":"(Noteboom &amp; Abdel-Rahman, 2020)","plainTextFormattedCitation":"(Noteboom &amp; Abdel-Rahman, 2020)","previouslyFormattedCitation":"(Noteboom &amp; Abdel-Rahman, 2020)"},"properties":{"noteIndex":0},"schema":"https://github.com/citation-style-language/schema/raw/master/csl-citation.json"}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(Noteboom &amp; Abdel-Rahman, 2020)</w:t>
            </w:r>
            <w:r w:rsidRPr="00B27AA8">
              <w:rPr>
                <w:rFonts w:ascii="Arial" w:hAnsi="Arial" w:cs="Arial"/>
                <w:sz w:val="20"/>
                <w:szCs w:val="20"/>
              </w:rPr>
              <w:fldChar w:fldCharType="end"/>
            </w:r>
          </w:p>
        </w:tc>
      </w:tr>
    </w:tbl>
    <w:p w14:paraId="3616C70D" w14:textId="77777777" w:rsidR="00782CC2" w:rsidRPr="00B27AA8" w:rsidRDefault="00782CC2">
      <w:pPr>
        <w:rPr>
          <w:rFonts w:ascii="Arial" w:hAnsi="Arial" w:cs="Arial"/>
          <w:sz w:val="20"/>
          <w:szCs w:val="20"/>
        </w:rPr>
      </w:pPr>
    </w:p>
    <w:sectPr w:rsidR="00782CC2" w:rsidRPr="00B27AA8" w:rsidSect="001A44B7">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5E6029"/>
    <w:multiLevelType w:val="hybridMultilevel"/>
    <w:tmpl w:val="35042E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CC2"/>
    <w:rsid w:val="000E0FC4"/>
    <w:rsid w:val="00106D11"/>
    <w:rsid w:val="00131B5D"/>
    <w:rsid w:val="001A44B7"/>
    <w:rsid w:val="001C6DBC"/>
    <w:rsid w:val="0022282F"/>
    <w:rsid w:val="002B1538"/>
    <w:rsid w:val="002E75EA"/>
    <w:rsid w:val="003911CC"/>
    <w:rsid w:val="004D1594"/>
    <w:rsid w:val="0058573C"/>
    <w:rsid w:val="006E3405"/>
    <w:rsid w:val="006F548D"/>
    <w:rsid w:val="00730A49"/>
    <w:rsid w:val="007503BA"/>
    <w:rsid w:val="00782CC2"/>
    <w:rsid w:val="007B3842"/>
    <w:rsid w:val="009E7AB8"/>
    <w:rsid w:val="00A6339A"/>
    <w:rsid w:val="00B27AA8"/>
    <w:rsid w:val="00BB64DA"/>
    <w:rsid w:val="00C92ED1"/>
    <w:rsid w:val="00C93CB9"/>
    <w:rsid w:val="00DC0A40"/>
    <w:rsid w:val="00DC2D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A026B"/>
  <w15:chartTrackingRefBased/>
  <w15:docId w15:val="{7A665EE8-0EEE-45CD-92FF-3ECFD938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06D11"/>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106D11"/>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semiHidden/>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D11"/>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106D1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106D11"/>
    <w:rPr>
      <w:rFonts w:asciiTheme="majorHAnsi" w:eastAsiaTheme="majorEastAsia" w:hAnsiTheme="majorHAnsi" w:cstheme="majorBidi"/>
      <w:i/>
      <w:iCs/>
    </w:rPr>
  </w:style>
  <w:style w:type="table" w:styleId="GridTable4-Accent5">
    <w:name w:val="Grid Table 4 Accent 5"/>
    <w:basedOn w:val="TableNormal"/>
    <w:uiPriority w:val="49"/>
    <w:rsid w:val="00782C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1A44B7"/>
    <w:rPr>
      <w:sz w:val="16"/>
      <w:szCs w:val="16"/>
    </w:rPr>
  </w:style>
  <w:style w:type="paragraph" w:styleId="CommentText">
    <w:name w:val="annotation text"/>
    <w:basedOn w:val="Normal"/>
    <w:link w:val="CommentTextChar"/>
    <w:uiPriority w:val="99"/>
    <w:semiHidden/>
    <w:unhideWhenUsed/>
    <w:rsid w:val="001A44B7"/>
    <w:pPr>
      <w:spacing w:line="240" w:lineRule="auto"/>
    </w:pPr>
    <w:rPr>
      <w:sz w:val="20"/>
      <w:szCs w:val="20"/>
    </w:rPr>
  </w:style>
  <w:style w:type="character" w:customStyle="1" w:styleId="CommentTextChar">
    <w:name w:val="Comment Text Char"/>
    <w:basedOn w:val="DefaultParagraphFont"/>
    <w:link w:val="CommentText"/>
    <w:uiPriority w:val="99"/>
    <w:semiHidden/>
    <w:rsid w:val="001A44B7"/>
    <w:rPr>
      <w:sz w:val="20"/>
      <w:szCs w:val="20"/>
    </w:rPr>
  </w:style>
  <w:style w:type="paragraph" w:styleId="CommentSubject">
    <w:name w:val="annotation subject"/>
    <w:basedOn w:val="CommentText"/>
    <w:next w:val="CommentText"/>
    <w:link w:val="CommentSubjectChar"/>
    <w:uiPriority w:val="99"/>
    <w:semiHidden/>
    <w:unhideWhenUsed/>
    <w:rsid w:val="001A44B7"/>
    <w:rPr>
      <w:b/>
      <w:bCs/>
    </w:rPr>
  </w:style>
  <w:style w:type="character" w:customStyle="1" w:styleId="CommentSubjectChar">
    <w:name w:val="Comment Subject Char"/>
    <w:basedOn w:val="CommentTextChar"/>
    <w:link w:val="CommentSubject"/>
    <w:uiPriority w:val="99"/>
    <w:semiHidden/>
    <w:rsid w:val="001A44B7"/>
    <w:rPr>
      <w:b/>
      <w:bCs/>
      <w:sz w:val="20"/>
      <w:szCs w:val="20"/>
    </w:rPr>
  </w:style>
  <w:style w:type="paragraph" w:styleId="BalloonText">
    <w:name w:val="Balloon Text"/>
    <w:basedOn w:val="Normal"/>
    <w:link w:val="BalloonTextChar"/>
    <w:uiPriority w:val="99"/>
    <w:semiHidden/>
    <w:unhideWhenUsed/>
    <w:rsid w:val="001A44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4B7"/>
    <w:rPr>
      <w:rFonts w:ascii="Segoe UI" w:hAnsi="Segoe UI" w:cs="Segoe UI"/>
      <w:sz w:val="18"/>
      <w:szCs w:val="18"/>
    </w:rPr>
  </w:style>
  <w:style w:type="paragraph" w:styleId="ListParagraph">
    <w:name w:val="List Paragraph"/>
    <w:basedOn w:val="Normal"/>
    <w:uiPriority w:val="34"/>
    <w:qFormat/>
    <w:rsid w:val="00730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32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9EC6C-39EB-447B-B4C5-67F33072C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B54A27-10A4-4611-8CAC-182A1D5EAE7B}">
  <ds:schemaRefs>
    <ds:schemaRef ds:uri="http://schemas.microsoft.com/office/infopath/2007/PartnerControls"/>
    <ds:schemaRef ds:uri="http://purl.org/dc/terms/"/>
    <ds:schemaRef ds:uri="http://schemas.microsoft.com/office/2006/metadata/properties"/>
    <ds:schemaRef ds:uri="http://schemas.microsoft.com/office/2006/documentManagement/types"/>
    <ds:schemaRef ds:uri="http://schemas.openxmlformats.org/package/2006/metadata/core-properties"/>
    <ds:schemaRef ds:uri="http://purl.org/dc/elements/1.1/"/>
    <ds:schemaRef ds:uri="5e36aeda-f48f-46f3-9de8-7474189645c5"/>
    <ds:schemaRef ds:uri="bbd61249-83b9-438e-a84b-789da273a8cb"/>
    <ds:schemaRef ds:uri="http://www.w3.org/XML/1998/namespace"/>
    <ds:schemaRef ds:uri="http://purl.org/dc/dcmitype/"/>
  </ds:schemaRefs>
</ds:datastoreItem>
</file>

<file path=customXml/itemProps3.xml><?xml version="1.0" encoding="utf-8"?>
<ds:datastoreItem xmlns:ds="http://schemas.openxmlformats.org/officeDocument/2006/customXml" ds:itemID="{16521A54-B909-4BEF-B0D7-71B9DD741A47}">
  <ds:schemaRefs>
    <ds:schemaRef ds:uri="http://schemas.microsoft.com/sharepoint/v3/contenttype/forms"/>
  </ds:schemaRefs>
</ds:datastoreItem>
</file>

<file path=customXml/itemProps4.xml><?xml version="1.0" encoding="utf-8"?>
<ds:datastoreItem xmlns:ds="http://schemas.openxmlformats.org/officeDocument/2006/customXml" ds:itemID="{0A301253-7723-4CE4-B21C-95648954E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9076</Words>
  <Characters>51735</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60690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4</cp:revision>
  <dcterms:created xsi:type="dcterms:W3CDTF">2020-04-20T07:39:00Z</dcterms:created>
  <dcterms:modified xsi:type="dcterms:W3CDTF">2020-04-20T08:53:00Z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0x0101006DE130CAEB37044C9F27A096B751B6FA</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https://csl.mendeley.com/styles/450365071/apa</vt:lpwstr>
  </property>
  <property fmtid="{D5CDD505-2E9C-101B-9397-08002B2CF9AE}" pid="10" name="Mendeley Recent Style Name 3_1">
    <vt:lpwstr>American Psychological Association 6th edition - Guntur Kusuma</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10th edition - Harvard</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d9b94113-83fb-3279-ac68-8a70b7357c0a</vt:lpwstr>
  </property>
  <property fmtid="{D5CDD505-2E9C-101B-9397-08002B2CF9AE}" pid="25" name="Mendeley Citation Style_1">
    <vt:lpwstr>https://csl.mendeley.com/styles/450365071/apa</vt:lpwstr>
  </property>
</Properties>
</file>