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77777777" w:rsidR="000E0FC4" w:rsidRPr="00B27AA8" w:rsidRDefault="000E0FC4">
      <w:pPr>
        <w:rPr>
          <w:rFonts w:ascii="Arial" w:hAnsi="Arial" w:cs="Arial"/>
          <w:sz w:val="20"/>
          <w:szCs w:val="20"/>
        </w:rPr>
      </w:pPr>
    </w:p>
    <w:tbl>
      <w:tblPr>
        <w:tblW w:w="15021" w:type="dxa"/>
        <w:tblLook w:val="04A0" w:firstRow="1" w:lastRow="0" w:firstColumn="1" w:lastColumn="0" w:noHBand="0" w:noVBand="1"/>
      </w:tblPr>
      <w:tblGrid>
        <w:gridCol w:w="439"/>
        <w:gridCol w:w="3043"/>
        <w:gridCol w:w="5444"/>
        <w:gridCol w:w="2810"/>
        <w:gridCol w:w="3285"/>
      </w:tblGrid>
      <w:tr w:rsidR="00B27AA8" w:rsidRPr="00B92850" w14:paraId="2541E181" w14:textId="77777777" w:rsidTr="00B27AA8">
        <w:trPr>
          <w:trHeight w:val="260"/>
        </w:trPr>
        <w:tc>
          <w:tcPr>
            <w:tcW w:w="15021" w:type="dxa"/>
            <w:gridSpan w:val="5"/>
            <w:tcBorders>
              <w:bottom w:val="single" w:sz="4" w:space="0" w:color="auto"/>
            </w:tcBorders>
            <w:noWrap/>
          </w:tcPr>
          <w:p w14:paraId="1288CD8A" w14:textId="599AEB2B" w:rsidR="00B27AA8" w:rsidRPr="00B92850" w:rsidRDefault="00B27AA8" w:rsidP="00B27AA8">
            <w:pPr>
              <w:spacing w:before="12" w:after="120"/>
              <w:rPr>
                <w:rFonts w:ascii="Arial" w:eastAsia="Times New Roman" w:hAnsi="Arial" w:cs="Arial"/>
                <w:color w:val="000000"/>
                <w:sz w:val="20"/>
                <w:szCs w:val="20"/>
                <w:lang w:eastAsia="en-GB"/>
              </w:rPr>
            </w:pPr>
            <w:r w:rsidRPr="00B92850">
              <w:rPr>
                <w:rFonts w:ascii="Arial" w:hAnsi="Arial" w:cs="Arial"/>
                <w:b/>
                <w:sz w:val="20"/>
                <w:szCs w:val="20"/>
              </w:rPr>
              <w:t xml:space="preserve">Table 1 </w:t>
            </w:r>
            <w:r w:rsidRPr="00B92850">
              <w:rPr>
                <w:rFonts w:ascii="Arial" w:hAnsi="Arial" w:cs="Arial"/>
                <w:sz w:val="20"/>
                <w:szCs w:val="20"/>
              </w:rPr>
              <w:t>Sixteen digital health technologies that a literature review suggested were new or emerging.</w:t>
            </w:r>
          </w:p>
        </w:tc>
      </w:tr>
      <w:tr w:rsidR="00782CC2" w:rsidRPr="00B92850"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92850"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92850" w:rsidRDefault="00782CC2" w:rsidP="00B27AA8">
            <w:pPr>
              <w:spacing w:before="120" w:after="120"/>
              <w:rPr>
                <w:rFonts w:ascii="Arial" w:eastAsia="Times New Roman" w:hAnsi="Arial" w:cs="Arial"/>
                <w:b/>
                <w:color w:val="000000"/>
                <w:sz w:val="20"/>
                <w:szCs w:val="20"/>
                <w:lang w:eastAsia="en-GB"/>
              </w:rPr>
            </w:pPr>
            <w:r w:rsidRPr="00B92850">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92850" w:rsidRDefault="00782CC2" w:rsidP="00B27AA8">
            <w:pPr>
              <w:spacing w:before="120" w:after="120"/>
              <w:jc w:val="center"/>
              <w:rPr>
                <w:rFonts w:ascii="Arial" w:eastAsia="Times New Roman" w:hAnsi="Arial" w:cs="Arial"/>
                <w:b/>
                <w:color w:val="000000"/>
                <w:sz w:val="20"/>
                <w:szCs w:val="20"/>
                <w:lang w:eastAsia="en-GB"/>
              </w:rPr>
            </w:pPr>
            <w:r w:rsidRPr="00B92850">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92850" w:rsidRDefault="00782CC2" w:rsidP="00B27AA8">
            <w:pPr>
              <w:spacing w:before="120" w:after="120"/>
              <w:jc w:val="center"/>
              <w:rPr>
                <w:rFonts w:ascii="Arial" w:eastAsia="Times New Roman" w:hAnsi="Arial" w:cs="Arial"/>
                <w:b/>
                <w:color w:val="000000"/>
                <w:sz w:val="20"/>
                <w:szCs w:val="20"/>
                <w:lang w:eastAsia="en-GB"/>
              </w:rPr>
            </w:pPr>
            <w:r w:rsidRPr="00B92850">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92850" w:rsidRDefault="00782CC2" w:rsidP="00B27AA8">
            <w:pPr>
              <w:spacing w:before="120" w:after="120"/>
              <w:jc w:val="center"/>
              <w:rPr>
                <w:rFonts w:ascii="Arial" w:eastAsia="Times New Roman" w:hAnsi="Arial" w:cs="Arial"/>
                <w:b/>
                <w:color w:val="000000"/>
                <w:sz w:val="20"/>
                <w:szCs w:val="20"/>
                <w:lang w:eastAsia="en-GB"/>
              </w:rPr>
            </w:pPr>
            <w:r w:rsidRPr="00B92850">
              <w:rPr>
                <w:rFonts w:ascii="Arial" w:eastAsia="Times New Roman" w:hAnsi="Arial" w:cs="Arial"/>
                <w:b/>
                <w:color w:val="000000"/>
                <w:sz w:val="20"/>
                <w:szCs w:val="20"/>
                <w:lang w:eastAsia="en-GB"/>
              </w:rPr>
              <w:t>Key references</w:t>
            </w:r>
          </w:p>
        </w:tc>
      </w:tr>
      <w:tr w:rsidR="00730A49" w:rsidRPr="00B92850" w14:paraId="01EA994C" w14:textId="77777777" w:rsidTr="00B27AA8">
        <w:trPr>
          <w:trHeight w:val="250"/>
        </w:trPr>
        <w:tc>
          <w:tcPr>
            <w:tcW w:w="439" w:type="dxa"/>
            <w:noWrap/>
          </w:tcPr>
          <w:p w14:paraId="42862A15" w14:textId="50257F18"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1</w:t>
            </w:r>
          </w:p>
        </w:tc>
        <w:tc>
          <w:tcPr>
            <w:tcW w:w="3043" w:type="dxa"/>
            <w:hideMark/>
          </w:tcPr>
          <w:p w14:paraId="30094DD5"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Loneliness and social isolation</w:t>
            </w:r>
          </w:p>
        </w:tc>
        <w:tc>
          <w:tcPr>
            <w:tcW w:w="5444" w:type="dxa"/>
            <w:noWrap/>
            <w:hideMark/>
          </w:tcPr>
          <w:p w14:paraId="6FFBB4ED" w14:textId="3D627DB8" w:rsidR="00730A49" w:rsidRPr="00B92850" w:rsidRDefault="00C93CB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Any digital technology intended to reduce loneliness or social isolation</w:t>
            </w:r>
          </w:p>
        </w:tc>
        <w:tc>
          <w:tcPr>
            <w:tcW w:w="2810" w:type="dxa"/>
            <w:noWrap/>
            <w:hideMark/>
          </w:tcPr>
          <w:p w14:paraId="2658CC0E" w14:textId="1B9D96BB" w:rsidR="00730A49" w:rsidRPr="00B92850" w:rsidRDefault="00730A49" w:rsidP="00C93CB9">
            <w:pPr>
              <w:spacing w:before="120" w:after="120"/>
              <w:rPr>
                <w:rFonts w:ascii="Arial" w:eastAsia="Times New Roman" w:hAnsi="Arial" w:cs="Arial"/>
                <w:sz w:val="20"/>
                <w:szCs w:val="20"/>
                <w:lang w:eastAsia="en-GB"/>
              </w:rPr>
            </w:pPr>
            <w:r w:rsidRPr="00B92850">
              <w:rPr>
                <w:rFonts w:ascii="Arial" w:eastAsia="Times New Roman" w:hAnsi="Arial" w:cs="Arial"/>
                <w:sz w:val="20"/>
                <w:szCs w:val="20"/>
                <w:lang w:eastAsia="en-GB"/>
              </w:rPr>
              <w:t xml:space="preserve">Geriatric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{"citationItems":[{"id":"ITEM-1","itemData":{"DOI":"10.1016/j.exger.2017.11.017","ISSN":"18736815","abstract":"This systematic review aims to summarize and update the current knowledge on the effectiveness of the existing interventions for alleviating loneliness and social isolation among older persons. A search of PubMed, ISI Web of science, SCOPUS, The Cochrane Library, and CINAHL databases was performed. The terminology combined all possible alternatives of the following keywords: social isolation, loneliness, old people, intervention and effectiveness. Eligible studies were published between January 2011 and February 2016 in English or Italian language and regarded the implementation of loneliness/social isolation interventions among the older generations. Outcome measures in terms of the intervention effects needed to be reported. In total, 15 quantitative and five qualitative studies were ultimately included in this review. Eighteen interventions were reported across the quantitative studies. Six out of 11 group interventions (55%), one out of four mixed interventions (25%) and all three individual interventions reported at least one significant finding related to loneliness or social isolation. Our review suggested that new technologies and community engaged arts might be seen as a promising tool for tackling social isolation and loneliness among the older individuals. Future studies need to work on methodological quality and take into consideration the suggestions of the present literature in order to provide firm evidence.","author":[{"dropping-particle":"","family":"Poscia","given":"Andrea","non-dropping-particle":"","parse-names":false,"suffix":""},{"dropping-particle":"","family":"Stojanovic","given":"Jovana","non-dropping-particle":"","parse-names":false,"suffix":""},{"dropping-particle":"","family":"Milia","given":"Daniele Ignazio","non-dropping-particle":"La","parse-names":false,"suffix":""},{"dropping-particle":"","family":"Duplaga","given":"Mariusz","non-dropping-particle":"","parse-names":false,"suffix":""},{"dropping-particle":"","family":"Grysztar","given":"Marcin","non-dropping-particle":"","parse-names":false,"suffix":""},{"dropping-particle":"","family":"Moscato","given":"Umberto","non-dropping-particle":"","parse-names":false,"suffix":""},{"dropping-particle":"","family":"Onder","given":"Graziano","non-dropping-particle":"","parse-names":false,"suffix":""},{"dropping-particle":"","family":"Collamati","given":"Agnese","non-dropping-particle":"","parse-names":false,"suffix":""},{"dropping-particle":"","family":"Ricciardi","given":"Walter","non-dropping-particle":"","parse-names":false,"suffix":""},{"dropping-particle":"","family":"Magnavita","given":"Nicola","non-dropping-particle":"","parse-names":false,"suffix":""}],"container-title":"Experimental Gerontology","id":"ITEM-1","issue":"December 2017","issued":{"date-parts":[["2018"]]},"page":"133-144","publisher":"Elsevier","title":"Interventions targeting loneliness and social isolation among the older people: An update systematic review","type":"article-journal","volume":"102"},"uris":["http://www.mendeley.com/documents/?uuid=14aa23e2-bd83-4330-8986-d1141fbcb34f"]}],"mendeley":{"formattedCitation":"(Poscia et al., 2018)","plainTextFormattedCitation":"(Poscia et al., 2018)","previouslyFormattedCitation":"(Poscia et al., 2018)"},"properties":{"noteIndex":0},"schema":"https://github.com/citation-style-language/schema/raw/master/csl-citation.json"}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(Poscia et al., 2018)</w:t>
            </w:r>
            <w:r w:rsidRPr="00B92850">
              <w:rPr>
                <w:rFonts w:ascii="Arial" w:hAnsi="Arial" w:cs="Arial"/>
                <w:sz w:val="20"/>
                <w:szCs w:val="20"/>
              </w:rPr>
              <w:fldChar w:fldCharType="end"/>
            </w:r>
            <w:r w:rsidRPr="00B92850">
              <w:rPr>
                <w:rFonts w:ascii="Arial" w:hAnsi="Arial" w:cs="Arial"/>
                <w:sz w:val="20"/>
                <w:szCs w:val="20"/>
              </w:rPr>
              <w:t xml:space="preserve">; General healthcare examples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{"citationItems":[{"id":"ITEM-1","itemData":{"DOI":"10.2196/jmir.4596","ISSN":"14388871","abstract":"BACKGROUND: The aging of the population is an inexorable change that challenges governments and societies in every developed country. Based on clinical and empirical data, social isolation is found to be prevalent among elderly people, and it has negative consequences on the elderly's psychological and physical health. Targeting social isolation has become a focus area for policy and practice. Evidence indicates that contemporary information and communication technologies (ICT) have the potential to prevent or reduce the social isolation of elderly people via various mechanisms.\nOBJECTIVE: This systematic review explored the effects of ICT interventions on reducing social isolation of the elderly.\nMETHODS: Relevant electronic databases (PsycINFO, PubMed, MEDLINE, EBSCO, SSCI, Communication Studies: a SAGE Full-Text Collection, Communication &amp; Mass Media Complete, Association for Computing Machinery (ACM) Digital Library, and IEEE Xplore) were systematically searched using a unified strategy to identify quantitative and qualitative studies on the effectiveness of ICT-mediated social isolation interventions for elderly people published in English between 2002 and 2015. Narrative synthesis was performed to interpret the results of the identified studies, and their quality was also appraised.\nRESULTS: Twenty-five publications were included in the review. Four of them were evaluated as rigorous research. Most studies measured the effectiveness of ICT by measuring specific dimensions rather than social isolation in general. ICT use was consistently found to affect social support, social connectedness, and social isolation in general positively. The results for loneliness were inconclusive. Even though most were positive, some studies found a nonsignificant or negative impact. More importantly, the positive effect of ICT use on social connectedness and social support seemed to be short-term and did not last for more than six months after the intervention. The results for self-esteem and control over one's life were consistent but generally nonsignificant. ICT was found to alleviate the elderly's social isolation through four mechanisms: connecting to the outside world, gaining social support, engaging in activities of interests, and boosting self-confidence.\nCONCLUSIONS: More well-designed studies that contain a minimum risk of research bias are needed to draw conclusions on the effectiveness of ICT interventions for elderly people in reducing their perceived …","author":[{"dropping-particle":"","family":"Chen","given":"Yi Ru Regina","non-dropping-particle":"","parse-names":false,"suffix":""},{"dropping-particle":"","family":"Schulz","given":"Peter J.","non-dropping-particle":"","parse-names":false,"suffix":""}],"container-title":"Journal of medical Internet research","id":"ITEM-1","issue":"1","issued":{"date-parts":[["2016"]]},"page":"e18","title":"The Effect of Information Communication Technology Interventions on Reducing Social Isolation in the Elderly: A Systematic Review","type":"article-journal","volume":"18"},"uris":["http://www.mendeley.com/documents/?uuid=6cc3bc45-50be-4331-8ef8-30dc6445de53"]}],"mendeley":{"formattedCitation":"(Chen &amp; Schulz, 2016)","plainTextFormattedCitation":"(Chen &amp; Schulz, 2016)","previouslyFormattedCitation":"(Chen &amp; Schulz, 2016)"},"properties":{"noteIndex":0},"schema":"https://github.com/citation-style-language/schema/raw/master/csl-citation.json"}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(Chen &amp; Schulz, 2016)</w:t>
            </w:r>
            <w:r w:rsidRPr="00B92850">
              <w:rPr>
                <w:rFonts w:ascii="Arial" w:hAnsi="Arial" w:cs="Arial"/>
                <w:sz w:val="20"/>
                <w:szCs w:val="20"/>
              </w:rPr>
              <w:fldChar w:fldCharType="end"/>
            </w:r>
          </w:p>
        </w:tc>
        <w:tc>
          <w:tcPr>
            <w:tcW w:w="3285" w:type="dxa"/>
            <w:noWrap/>
            <w:hideMark/>
          </w:tcPr>
          <w:p w14:paraId="3798F48D" w14:textId="7D2FB6F2"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Review of problems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{"citationItems":[{"id":"ITEM-1","itemData":{"DOI":"10.2427/12408","ISSN":"22820930","abstract":"Introduction: The aim of this study is to sum up the current knowledge on the effectiveness of the existing interventions for alleviating loneliness and social isolation among older persons. Methods: We used a systematic approach and performed a literature search of MEDLINE, ISI Web of science, SCOPUS, The Cochrane Library, and CINAHL databases. After identifying 13 eligible reviews addressing interventions of our interest, we proceeded with a narrative description of the study findings. Results: The initiatives largely encompassed one-to-one interventions, group activities or community engagement approaches. In particular, technology interventions were recently given much attention. Overall, the studies showed non-satisfying methodological quality and their results were often inconclusive. Conclusions: Although there is a growing body of evidence referring to implementation of interventions targeting social isolation and loneliness among the older populations, future well-designed interventions are necessary in order to draw firm conclusions.","author":[{"dropping-particle":"","family":"Stojanovic","given":"Jovana","non-dropping-particle":"","parse-names":false,"suffix":""},{"dropping-particle":"","family":"Collamati","given":"Agnese","non-dropping-particle":"","parse-names":false,"suffix":""},{"dropping-particle":"","family":"Mariusz","given":"Duplaga","non-dropping-particle":"","parse-names":false,"suffix":""},{"dropping-particle":"","family":"Onder","given":"Graziano","non-dropping-particle":"","parse-names":false,"suffix":""},{"dropping-particle":"","family":"Milia","given":"Daniele Ignazio","non-dropping-particle":"La","parse-names":false,"suffix":""},{"dropping-particle":"","family":"Ricciardi","given":"Walter","non-dropping-particle":"","parse-names":false,"suffix":""},{"dropping-particle":"","family":"Moscato","given":"Umberto","non-dropping-particle":"","parse-names":false,"suffix":""},{"dropping-particle":"","family":"Magnavita","given":"Nicola","non-dropping-particle":"","parse-names":false,"suffix":""},{"dropping-particle":"","family":"Poscia","given":"Andrea","non-dropping-particle":"","parse-names":false,"suffix":""}],"container-title":"Epidemiology Biostatistics and Public Health","id":"ITEM-1","issue":"2","issued":{"date-parts":[["2017"]]},"page":"1-8","title":"Decreasing loneliness and social isolation among the older people: Systematic search and narrative review","type":"article-journal","volume":"14"},"uris":["http://www.mendeley.com/documents/?uuid=2d88fb7f-4207-4dff-81d5-d9ba6bea2df5"]}],"mendeley":{"formattedCitation":"(Stojanovic et al., 2017)","plainTextFormattedCitation":"(Stojanovic et al., 2017)","previouslyFormattedCitation":"(Stojanovic et al., 2017)"},"properties":{"noteIndex":0},"schema":"https://github.com/citation-style-language/schema/raw/master/csl-citation.json"}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(Stojanovic et al., 2017)</w:t>
            </w:r>
            <w:r w:rsidRPr="00B92850">
              <w:rPr>
                <w:rFonts w:ascii="Arial" w:hAnsi="Arial" w:cs="Arial"/>
                <w:sz w:val="20"/>
                <w:szCs w:val="20"/>
              </w:rPr>
              <w:fldChar w:fldCharType="end"/>
            </w:r>
            <w:r w:rsidRPr="00B92850">
              <w:rPr>
                <w:rFonts w:ascii="Arial" w:hAnsi="Arial" w:cs="Arial"/>
                <w:sz w:val="20"/>
                <w:szCs w:val="20"/>
              </w:rPr>
              <w:t xml:space="preserve">; Planned review and meta-analysis of the effectiveness of digital interventions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{"citationItems":[{"id":"ITEM-1","itemData":{"DOI":"10.1136/bmjopen-2019-032455","ISSN":"20446055","abstract":"Introduction Loneliness is an emerging public health problem that is associated with social, emotional, mental and physical health issues. The application of digital technology (DT) interventions to reduce loneliness has significantly increased in the recent years. The effectiveness of DT interventions needs to be assessed systematically. Methods and analysis Aim: To undertake a systematic review and meta-analysis on the effectiveness of DT interventions to reduce loneliness among adults. Design: Systematic review and meta-analysis. Data sources: PubMed, Medline, CINAHL, EMBASE and Web of Science. Publication period: 1 January 2010 to 31 July 2019. Inclusion criteria: Primary studies involving the application of DT interventions to reduce loneliness, involving adult participants (aged ≥18 years), follow-up period ≥3 months and published in the English language. Synthesis and meta-analysis: A narrative summary of the characteristics of included studies, findings by the type of DT intervention, and the age, gender and ethnicity of participants. A meta-analysis by the study design and duration of follow-up and determination of random effects size using the RevMan V.5 software. Quality of evidence and bias: Quality of evidence assessed the RoB V.2.0 (revised tool for Risk of Bias in randomized trials) and ROBINS-I (Risk Of Bias in Non-randomized Studies - of Interventions) tools for randomised control trials and non-randomised studies, respectively. Heterogeneity between studies will be determined by the I 2 and Cochran's Q statistics and publication bias checked with funnel plots and the Egger's test. Ethics and dissemination Ethics approval was not required for this protocol. The findings will be disseminated through journal articles and conference presentations. PROSPERO registration number CRD42019131524.","author":[{"dropping-particle":"","family":"Shah","given":"Syed Ghulam Sarwar","non-dropping-particle":"","parse-names":false,"suffix":""},{"dropping-particle":"","family":"Nogueras","given":"David","non-dropping-particle":"","parse-names":false,"suffix":""},{"dropping-particle":"","family":"Woerden","given":"Hugo","non-dropping-particle":"Van","parse-names":false,"suffix":""},{"dropping-particle":"","family":"Kiparoglou","given":"Vasiliki","non-dropping-particle":"","parse-names":false,"suffix":""}],"container-title":"BMJ Open","id":"ITEM-1","issue":"9","issued":{"date-parts":[["2019"]]},"page":"1-9","title":"Effectiveness of digital technology interventions to reduce loneliness in adults: A protocol for a systematic review and meta-analysis","type":"article-journal","volume":"9"},"uris":["http://www.mendeley.com/documents/?uuid=a3a9bd46-2a00-4f1c-a9f0-e6186e4c3939"]}],"mendeley":{"formattedCitation":"(Shah et al., 2019)","plainTextFormattedCitation":"(Shah et al., 2019)","previouslyFormattedCitation":"(Shah et al., 2019)"},"properties":{"noteIndex":0},"schema":"https://github.com/citation-style-language/schema/raw/master/csl-citation.json"}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(Shah et al., 2019)</w:t>
            </w:r>
            <w:r w:rsidRPr="00B92850">
              <w:rPr>
                <w:rFonts w:ascii="Arial" w:hAnsi="Arial" w:cs="Arial"/>
                <w:sz w:val="20"/>
                <w:szCs w:val="20"/>
              </w:rPr>
              <w:fldChar w:fldCharType="end"/>
            </w:r>
          </w:p>
        </w:tc>
      </w:tr>
      <w:tr w:rsidR="00730A49" w:rsidRPr="00B92850" w14:paraId="4F8FF32A" w14:textId="77777777" w:rsidTr="00B27AA8">
        <w:trPr>
          <w:trHeight w:val="250"/>
        </w:trPr>
        <w:tc>
          <w:tcPr>
            <w:tcW w:w="439" w:type="dxa"/>
            <w:shd w:val="clear" w:color="auto" w:fill="D5DCE4" w:themeFill="text2" w:themeFillTint="33"/>
            <w:noWrap/>
          </w:tcPr>
          <w:p w14:paraId="2007A472" w14:textId="49899376"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2</w:t>
            </w:r>
          </w:p>
        </w:tc>
        <w:tc>
          <w:tcPr>
            <w:tcW w:w="3043" w:type="dxa"/>
            <w:shd w:val="clear" w:color="auto" w:fill="D5DCE4" w:themeFill="text2" w:themeFillTint="33"/>
            <w:hideMark/>
          </w:tcPr>
          <w:p w14:paraId="603C66DB"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Blockchain</w:t>
            </w:r>
          </w:p>
        </w:tc>
        <w:tc>
          <w:tcPr>
            <w:tcW w:w="5444" w:type="dxa"/>
            <w:shd w:val="clear" w:color="auto" w:fill="D5DCE4" w:themeFill="text2" w:themeFillTint="33"/>
            <w:noWrap/>
            <w:hideMark/>
          </w:tcPr>
          <w:p w14:paraId="0842CE4E" w14:textId="2444E5CE"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hAnsi="Arial" w:cs="Arial"/>
                <w:sz w:val="20"/>
                <w:szCs w:val="20"/>
              </w:rPr>
              <w:t>Open, decentralised, cryptographic ledger</w:t>
            </w:r>
            <w:r w:rsidR="00C93CB9" w:rsidRPr="00B92850">
              <w:rPr>
                <w:rFonts w:ascii="Arial" w:hAnsi="Arial" w:cs="Arial"/>
                <w:sz w:val="20"/>
                <w:szCs w:val="20"/>
              </w:rPr>
              <w:t>s</w:t>
            </w:r>
          </w:p>
        </w:tc>
        <w:tc>
          <w:tcPr>
            <w:tcW w:w="2810" w:type="dxa"/>
            <w:shd w:val="clear" w:color="auto" w:fill="D5DCE4" w:themeFill="text2" w:themeFillTint="33"/>
            <w:noWrap/>
            <w:hideMark/>
          </w:tcPr>
          <w:p w14:paraId="05F14BA6" w14:textId="58E6E681" w:rsidR="00730A49" w:rsidRPr="00B92850" w:rsidRDefault="00730A49" w:rsidP="00C93CB9">
            <w:pPr>
              <w:spacing w:before="120" w:after="120"/>
              <w:rPr>
                <w:rFonts w:ascii="Arial" w:hAnsi="Arial" w:cs="Arial"/>
                <w:sz w:val="20"/>
                <w:szCs w:val="20"/>
              </w:rPr>
            </w:pPr>
            <w:r w:rsidRPr="00B92850">
              <w:rPr>
                <w:rFonts w:ascii="Arial" w:hAnsi="Arial" w:cs="Arial"/>
                <w:sz w:val="20"/>
                <w:szCs w:val="20"/>
              </w:rPr>
              <w:t xml:space="preserve">Prescribing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10.1007/978-3-030-17347-0_14","ISBN":"9783030173470","author":[{"dropping-particle":"","family":"Seitz","given":"Juergen","non-dropping-particle":"","parse-names":false,"suffix":""},{"dropping-particle":"","family":"Wickramasinghe","given":"Nilmini","non-dropping-particle":"","parse-names":false,"suffix":""}],"id":"ITEM-1","issued":{"date-parts":[["2020"]]},"page":"299-316","title":"Opportunities for Using Blockchain Technology in e-Health: e-Prescribing in Germany","type":"article-journal"},"uris":["http://www.mendeley.com/documents/?uuid=71e6a77b-9685-40c8-a8dd-6caedc588e7d"]}],"mendeley":{"formattedCitation":"(Seitz &amp; Wickramasinghe, 2020)","plainTextFormattedCitation":"(Seitz &amp; Wickramasinghe, 2020)","previouslyFormattedCitation":"(Seitz &amp; Wickramasinghe, 2020)"},"properties":{"noteIndex":0},"schema":"https://github.com/citation-style-language/schema/raw/master/csl-citation.json"}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(Seitz &amp; Wickramasinghe, 2020)</w:t>
            </w:r>
            <w:r w:rsidRPr="00B92850">
              <w:rPr>
                <w:rFonts w:ascii="Arial" w:hAnsi="Arial" w:cs="Arial"/>
                <w:sz w:val="20"/>
                <w:szCs w:val="20"/>
              </w:rPr>
              <w:fldChar w:fldCharType="end"/>
            </w:r>
            <w:r w:rsidRPr="00B92850">
              <w:rPr>
                <w:rFonts w:ascii="Arial" w:hAnsi="Arial" w:cs="Arial"/>
                <w:sz w:val="20"/>
                <w:szCs w:val="20"/>
              </w:rPr>
              <w:t xml:space="preserve">; General healthcare examples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{"citationItems":[{"id":"ITEM-1","itemData":{"DOI":"10.3390/sym10100470","ISSN":"20738994","abstract":"Blockchain technology enables a decentralized and distributed environment with no need for a central authority. Transactions are simultaneously secure and trustworthy due to the use of cryptographic principles. In recent years, blockchain technology has become very trendy and penetrated different domains, mostly due to the popularity of cryptocurrencies. One field where blockchain technology has tremendous potential is healthcare, due to the need for a more patient-centric approach to healthcare systems and to connect disparate systems and increase the accuracy of electronic healthcare records (EHRs). In this systematic review, an analysis of state-of-the-art blockchain research in the field of healthcare is conducted. The aim is to reveal the potential applications of the technology and to highlight the challenges and possible directions of blockchain research in healthcare. First, background information is discussed, followed by a description of the exact methodology used in this paper. Next, an analysis of the results is given, which includes a bibliometric overview, an analysis of gathered data and its properties, and the results of a literature quality assessment. Lastly, there is a discussion of the results from the analysis. The findings indicate that blockchain technology research in healthcare is increasing and it is mostly used for data sharing, managing health records and access control. Other scenarios are very rare. Most research is aimed at presenting novel structural designs in the form of frameworks, architectures or models. Findings also show that technical details about the used blockchain elements are not given in most of the analyzed publications and that most research does not present any prototype implementation or implementation details. Often even with a prototype implementation, no details about blockchain elements are given.","author":[{"dropping-particle":"","family":"Hölbl","given":"Marko","non-dropping-particle":"","parse-names":false,"suffix":""},{"dropping-particle":"","family":"Kompara","given":"Marko","non-dropping-particle":"","parse-names":false,"suffix":""},{"dropping-particle":"","family":"Kamišalić","given":"Aida","non-dropping-particle":"","parse-names":false,"suffix":""},{"dropping-particle":"","family":"Zlatolas","given":"Lili Nemec","non-dropping-particle":"","parse-names":false,"suffix":""}],"container-title":"Symmetry","id":"ITEM-1","issue":"10","issued":{"date-parts":[["2018"]]},"title":"A systematic review of the use of blockchain in healthcare","type":"article-journal","volume":"10"},"uris":["http://www.mendeley.com/documents/?uuid=3c2e9054-9e5b-41e9-8936-2eb2fa90d917"]},{"id":"ITEM-2","itemData":{"DOI":"10.3390/healthcare7020056","ISSN":"2227-9032","abstract":"Since blockchain was introduced through Bitcoin, research has been ongoing to extend its applications to non-financial use cases. Healthcare is one industry in which blockchain is expected to have significant impacts. Research in this area is relatively new but growing rapidly; so, health informatics researchers and practitioners are always struggling to keep pace with research progress in this area. This paper reports on a systematic review of the ongoing research in the application of blockchain technology in healthcare. The research methodology is based on the Preferred Reporting Items for Systematic Reviews and Meta-Analysis (PRISMA) guidelines and a systematic mapping study process, in which a well-designed search protocol is used to search four scientific databases, to identify, extract and analyze all relevant publications. The review shows that a number of studies have proposed different use cases for the application of blockchain in healthcare; however, there is a lack of adequate prototype implementations and studies to characterize the effectiveness of these proposed use cases. The review further highlights the state-of-the-art in the development of blockchain applications for healthcare, their limitations and the areas for future research. To this end, therefore, there is still the need for more research to better understand, characterize and evaluate the utility of blockchain in healthcare.","author":[{"dropping-particle":"","family":"Agbo","given":"Cornelius","non-dropping-particle":"","parse-names":false,"suffix":""},{"dropping-particle":"","family":"Mahmoud","given":"Qusay","non-dropping-particle":"","parse-names":false,"suffix":""},{"dropping-particle":"","family":"Eklund","given":"J.","non-dropping-particle":"","parse-names":false,"suffix":""}],"container-title":"Healthcare","id":"ITEM-2","issue":"2","issued":{"date-parts":[["2019"]]},"page":"56","title":"Blockchain Technology in Healthcare: A Systematic Review","type":"article-journal","volume":"7"},"uris":["http://www.mendeley.com/documents/?uuid=271164ca-1ad7-497a-8f51-9107146f4cf8"]}],"mendeley":{"formattedCitation":"(Agbo et al., 2019; Hölbl et al., 2018)","plainTextFormattedCitation":"(Agbo et al., 2019; Hölbl et al., 2018)","previouslyFormattedCitation":"(Agbo et al., 2019; Hölbl et al., 2018)"},"properties":{"noteIndex":0},"schema":"https://github.com/citation-style-language/schema/raw/master/csl-citation.json"}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(Agbo et al., 2019; Hölbl et al., 2018)</w:t>
            </w:r>
            <w:r w:rsidRPr="00B92850">
              <w:rPr>
                <w:rFonts w:ascii="Arial" w:hAnsi="Arial" w:cs="Arial"/>
                <w:sz w:val="20"/>
                <w:szCs w:val="20"/>
              </w:rPr>
              <w:fldChar w:fldCharType="end"/>
            </w:r>
          </w:p>
        </w:tc>
        <w:tc>
          <w:tcPr>
            <w:tcW w:w="3285" w:type="dxa"/>
            <w:shd w:val="clear" w:color="auto" w:fill="D5DCE4" w:themeFill="text2" w:themeFillTint="33"/>
            <w:noWrap/>
            <w:hideMark/>
          </w:tcPr>
          <w:p w14:paraId="14EFD375" w14:textId="055E1A6D"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Challenges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{"citationItems":[{"id":"ITEM-1","itemData":{"DOI":"10.1016/j.jnca.2019.02.027","ISSN":"10958592","abstract":"Blockchain has a range of built-in features, such as distributed ledger, decentralized storage, authentication, security, and immutability, and has moved beyond hype to practical applications in industry sectors such as Healthcare. Blockchain applications in the healthcare sector generally require more stringent authentication, interoperability, and record sharing requirements, due to exacting legal requirements, such as Health Insurance Portability and Accountability Act of 1996 (HIPAA). Building on existing blockchain technologies, researchers in both academia and industry have started to explore applications that are geared toward healthcare use. These applications include smart contracts, fraud detection, and identity verification. Even with these improvements, there are still concerns as blockchain technology has its own specific vulnerabilities and issues that need to be addressed, such as mining incentives, mining attacks, and key management. Additionally, many of the healthcare applications have unique requirements that are not addressed by many of the blockchain experiments being explored, as highlighted in this survey paper. A number of potential research opportunities are also discussed in this paper.","author":[{"dropping-particle":"","family":"McGhin","given":"Thomas","non-dropping-particle":"","parse-names":false,"suffix":""},{"dropping-particle":"","family":"Choo","given":"Kim Kwang Raymond","non-dropping-particle":"","parse-names":false,"suffix":""},{"dropping-particle":"","family":"Liu","given":"Charles Zhechao","non-dropping-particle":"","parse-names":false,"suffix":""},{"dropping-particle":"","family":"He","given":"Debiao","non-dropping-particle":"","parse-names":false,"suffix":""}],"container-title":"Journal of Network and Computer Applications","id":"ITEM-1","issue":"February","issued":{"date-parts":[["2019"]]},"page":"62-75","publisher":"Elsevier Ltd","title":"Blockchain in healthcare applications: Research challenges and opportunities","type":"article-journal","volume":"135"},"uris":["http://www.mendeley.com/documents/?uuid=ed8e26e2-ae92-47d2-a70b-a1e6e087396c"]}],"mendeley":{"formattedCitation":"(McGhin et al., 2019)","plainTextFormattedCitation":"(McGhin et al., 2019)","previouslyFormattedCitation":"(McGhin et al., 2019)"},"properties":{"noteIndex":0},"schema":"https://github.com/citation-style-language/schema/raw/master/csl-citation.json"}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(McGhin et al., 2019)</w:t>
            </w:r>
            <w:r w:rsidRPr="00B92850">
              <w:rPr>
                <w:rFonts w:ascii="Arial" w:hAnsi="Arial" w:cs="Arial"/>
                <w:sz w:val="20"/>
                <w:szCs w:val="20"/>
              </w:rPr>
              <w:fldChar w:fldCharType="end"/>
            </w:r>
          </w:p>
        </w:tc>
      </w:tr>
      <w:tr w:rsidR="00730A49" w:rsidRPr="00B92850" w14:paraId="240A6989" w14:textId="77777777" w:rsidTr="001804FC">
        <w:trPr>
          <w:trHeight w:val="250"/>
        </w:trPr>
        <w:tc>
          <w:tcPr>
            <w:tcW w:w="439" w:type="dxa"/>
            <w:shd w:val="clear" w:color="auto" w:fill="auto"/>
            <w:noWrap/>
          </w:tcPr>
          <w:p w14:paraId="3BCC7226" w14:textId="3DEAE43E"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3</w:t>
            </w:r>
          </w:p>
        </w:tc>
        <w:tc>
          <w:tcPr>
            <w:tcW w:w="3043" w:type="dxa"/>
            <w:shd w:val="clear" w:color="auto" w:fill="auto"/>
            <w:hideMark/>
          </w:tcPr>
          <w:p w14:paraId="2D43EAB5"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Digital Twin</w:t>
            </w:r>
          </w:p>
        </w:tc>
        <w:tc>
          <w:tcPr>
            <w:tcW w:w="5444" w:type="dxa"/>
            <w:shd w:val="clear" w:color="auto" w:fill="auto"/>
            <w:noWrap/>
            <w:hideMark/>
          </w:tcPr>
          <w:p w14:paraId="218FDF7F" w14:textId="4BBE59A3"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hAnsi="Arial" w:cs="Arial"/>
                <w:sz w:val="20"/>
                <w:szCs w:val="20"/>
              </w:rPr>
              <w:t>“</w:t>
            </w:r>
            <w:r w:rsidRPr="00B92850">
              <w:rPr>
                <w:rFonts w:ascii="Arial" w:hAnsi="Arial" w:cs="Arial"/>
                <w:i/>
                <w:sz w:val="20"/>
                <w:szCs w:val="20"/>
              </w:rPr>
              <w:t>a digital representation of a physical item or assembly using integrated simulations and service data</w:t>
            </w:r>
            <w:r w:rsidRPr="00B92850">
              <w:rPr>
                <w:rFonts w:ascii="Arial" w:hAnsi="Arial" w:cs="Arial"/>
                <w:sz w:val="20"/>
                <w:szCs w:val="20"/>
              </w:rPr>
              <w:t xml:space="preserve">”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{"citationItems":[{"id":"ITEM-1","itemData":{"DOI":"10.1016/j.promfg.2018.10.167","ISSN":"23519789","abstract":"Digital twins are digital representations of physical products or systems that consist of multiple models from various domains describing them on multiple scales. By means of communication, digital twins change and evolve together with their physical counterparts throughout their lifecycle. Domain-specific partial models that make up the digital twin, such as the CAD model or the degradation model, are usually well known and provide accurate descriptions of certain parts of the physical asset. However, in complex systems, the value of integrating the partial models increases because it facilitates the study of their complex behaviours which only emerge from the interactions between various parts of the system. The paper proposes that the partial models of the digital twin share a common model space that integrates them through a definition of their interrelations and acts as a bridge between the digital twin and the physical asset. The approach is illustrated in a case of a mechatronic product - a differential drive mobile robot developed as a testbed for digital twin research. It is demonstrated how the integrated models add value to different stages of the lifecycle, allowing for evaluation of performance in the design stage and real-time reflection with the physical asset during its operation.","author":[{"dropping-particle":"","family":"Vrabič","given":"Rok","non-dropping-particle":"","parse-names":false,"suffix":""},{"dropping-particle":"","family":"Erkoyuncu","given":"John Ahmet","non-dropping-particle":"","parse-names":false,"suffix":""},{"dropping-particle":"","family":"Butala","given":"Peter","non-dropping-particle":"","parse-names":false,"suffix":""},{"dropping-particle":"","family":"Roy","given":"Rajkumar","non-dropping-particle":"","parse-names":false,"suffix":""}],"container-title":"Procedia Manufacturing","id":"ITEM-1","issued":{"date-parts":[["2018"]]},"page":"139-146","publisher":"Elsevier B.V.","title":"Digital twins: Understanding the added value of integrated models for through-life engineering services","type":"article-journal","volume":"16"},"uris":["http://www.mendeley.com/documents/?uuid=5555b45a-a919-41dd-8605-f991517010c6"]}],"mendeley":{"formattedCitation":"(Vrabič et al., 2018)","plainTextFormattedCitation":"(Vrabič et al., 2018)","previouslyFormattedCitation":"(Vrabič et al., 2018)"},"properties":{"noteIndex":0},"schema":"https://github.com/citation-style-language/schema/raw/master/csl-citation.json"}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(Vrabič et al., 2018)</w:t>
            </w:r>
            <w:r w:rsidRPr="00B92850">
              <w:rPr>
                <w:rFonts w:ascii="Arial" w:hAnsi="Arial" w:cs="Arial"/>
                <w:sz w:val="20"/>
                <w:szCs w:val="20"/>
              </w:rPr>
              <w:fldChar w:fldCharType="end"/>
            </w:r>
          </w:p>
        </w:tc>
        <w:tc>
          <w:tcPr>
            <w:tcW w:w="2810" w:type="dxa"/>
            <w:shd w:val="clear" w:color="auto" w:fill="auto"/>
            <w:noWrap/>
            <w:hideMark/>
          </w:tcPr>
          <w:p w14:paraId="277DD864" w14:textId="0A2072B3" w:rsidR="00730A49" w:rsidRPr="00B92850" w:rsidRDefault="00730A49" w:rsidP="00C93CB9">
            <w:pPr>
              <w:spacing w:before="120" w:after="120"/>
              <w:rPr>
                <w:rFonts w:ascii="Arial" w:eastAsia="Times New Roman" w:hAnsi="Arial" w:cs="Arial"/>
                <w:sz w:val="20"/>
                <w:szCs w:val="20"/>
                <w:lang w:eastAsia="en-GB"/>
              </w:rPr>
            </w:pPr>
            <w:r w:rsidRPr="00B92850">
              <w:rPr>
                <w:rFonts w:ascii="Arial" w:eastAsia="Times New Roman" w:hAnsi="Arial" w:cs="Arial"/>
                <w:sz w:val="20"/>
                <w:szCs w:val="20"/>
                <w:lang w:eastAsia="en-GB"/>
              </w:rPr>
              <w:t xml:space="preserve">General </w:t>
            </w:r>
            <w:r w:rsidRPr="00B92850">
              <w:rPr>
                <w:rFonts w:ascii="Arial" w:hAnsi="Arial" w:cs="Arial"/>
                <w:sz w:val="20"/>
                <w:szCs w:val="20"/>
              </w:rPr>
              <w:t xml:space="preserve">healthcare </w:t>
            </w:r>
            <w:r w:rsidRPr="00B92850">
              <w:rPr>
                <w:rFonts w:ascii="Arial" w:eastAsia="Times New Roman" w:hAnsi="Arial" w:cs="Arial"/>
                <w:sz w:val="20"/>
                <w:szCs w:val="20"/>
                <w:lang w:eastAsia="en-GB"/>
              </w:rPr>
              <w:t xml:space="preserve">example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{"citationItems":[{"id":"ITEM-1","itemData":{"author":[{"dropping-particle":"","family":"Angulo","given":"Cecilio","non-dropping-particle":"","parse-names":false,"suffix":""},{"dropping-particle":"","family":"Ortega","given":"Juan Antonio","non-dropping-particle":"","parse-names":false,"suffix":""},{"dropping-particle":"","family":"Gonzalez-Abril","given":"Luis","non-dropping-particle":"","parse-names":false,"suffix":""}],"container-title":"Artificial Intelligence Research and Development: Proceedings of the 22nd International Conference of the Catalan Association for Artificial Intelligence","editor":[{"dropping-particle":"","family":"Sabater-Mir","given":"J.","non-dropping-particle":"","parse-names":false,"suffix":""},{"dropping-particle":"","family":"Torra","given":"V.","non-dropping-particle":"","parse-names":false,"suffix":""},{"dropping-particle":"","family":"Aguiló","given":"I.","non-dropping-particle":"","parse-names":false,"suffix":""}],"id":"ITEM-1","issued":{"date-parts":[["2019"]]},"page":"312-","publisher":"IOS Press","title":"Towards a healthcare digital twin","type":"chapter"},"uris":["http://www.mendeley.com/documents/?uuid=1c08be5a-0b2e-4ada-b860-6c1ec7f85a24"]}],"mendeley":{"formattedCitation":"(Angulo et al., 2019)","plainTextFormattedCitation":"(Angulo et al., 2019)","previouslyFormattedCitation":"(Angulo et al., 2019)"},"properties":{"noteIndex":0},"schema":"https://github.com/citation-style-language/schema/raw/master/csl-citation.json"}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(Angulo et al., 2019)</w:t>
            </w:r>
            <w:r w:rsidRPr="00B92850">
              <w:rPr>
                <w:rFonts w:ascii="Arial" w:hAnsi="Arial" w:cs="Arial"/>
                <w:sz w:val="20"/>
                <w:szCs w:val="20"/>
              </w:rPr>
              <w:fldChar w:fldCharType="end"/>
            </w:r>
          </w:p>
        </w:tc>
        <w:tc>
          <w:tcPr>
            <w:tcW w:w="3285" w:type="dxa"/>
            <w:shd w:val="clear" w:color="auto" w:fill="auto"/>
            <w:noWrap/>
            <w:hideMark/>
          </w:tcPr>
          <w:p w14:paraId="21E33239" w14:textId="40029BC3"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The technology, its applications, and the challenges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{"citationItems":[{"id":"ITEM-1","itemData":{"abstract":"Digital Twin technology is an emerging concept that has recently become the centre of attention for industry and in more recent year's academia. The advancements in industry 4.0 concepts have facilitated its growth, particularly in the manufacturing industry. The Digital Twin is defined extensively but is described as the effortless integration of data between a physical and virtual machine in either direction. The challenges, applications, and enabling technologies for Artificial Intelligence, Internet of Things and Digital Twins are presented. A review of publications relating to Digital Twins is performed, producing a categorical review of recent papers. The review has categorised them by research area; Manufacturing, Healthcare and Smart cities. Discussing a range of papers that reflect these areas and the current state of research. The paper outlines the open research opportunities and challenges.","author":[{"dropping-particle":"","family":"Fuller","given":"Aidan","non-dropping-particle":"","parse-names":false,"suffix":""},{"dropping-particle":"","family":"Fan","given":"Zhong","non-dropping-particle":"","parse-names":false,"suffix":""},{"dropping-particle":"","family":"Day","given":"Charles","non-dropping-particle":"","parse-names":false,"suffix":""}],"container-title":"arXiv","id":"ITEM-1","issued":{"date-parts":[["2019"]]},"title":"Digital Twin: Enabling Technology, Challenges and Open Research","type":"article-journal"},"uris":["http://www.mendeley.com/documents/?uuid=2d002cb9-b816-477f-b984-92b07c31bd6c"]}],"mendeley":{"formattedCitation":"(Fuller et al., 2019)","plainTextFormattedCitation":"(Fuller et al., 2019)","previouslyFormattedCitation":"(Fuller et al., 2019)"},"properties":{"noteIndex":0},"schema":"https://github.com/citation-style-language/schema/raw/master/csl-citation.json"}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(Fuller et al., 2019)</w:t>
            </w:r>
            <w:r w:rsidRPr="00B92850">
              <w:rPr>
                <w:rFonts w:ascii="Arial" w:hAnsi="Arial" w:cs="Arial"/>
                <w:sz w:val="20"/>
                <w:szCs w:val="20"/>
              </w:rPr>
              <w:fldChar w:fldCharType="end"/>
            </w:r>
          </w:p>
        </w:tc>
      </w:tr>
      <w:tr w:rsidR="00730A49" w:rsidRPr="00B92850" w14:paraId="6160C77C" w14:textId="77777777" w:rsidTr="00B92850">
        <w:trPr>
          <w:trHeight w:val="250"/>
        </w:trPr>
        <w:tc>
          <w:tcPr>
            <w:tcW w:w="439" w:type="dxa"/>
            <w:shd w:val="clear" w:color="auto" w:fill="D5DCE4" w:themeFill="text2" w:themeFillTint="33"/>
            <w:noWrap/>
          </w:tcPr>
          <w:p w14:paraId="3E7F626B" w14:textId="7742F836"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4</w:t>
            </w:r>
          </w:p>
        </w:tc>
        <w:tc>
          <w:tcPr>
            <w:tcW w:w="3043" w:type="dxa"/>
            <w:shd w:val="clear" w:color="auto" w:fill="D5DCE4" w:themeFill="text2" w:themeFillTint="33"/>
            <w:hideMark/>
          </w:tcPr>
          <w:p w14:paraId="37EF7ECF"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Omics</w:t>
            </w:r>
          </w:p>
        </w:tc>
        <w:tc>
          <w:tcPr>
            <w:tcW w:w="5444" w:type="dxa"/>
            <w:shd w:val="clear" w:color="auto" w:fill="D5DCE4" w:themeFill="text2" w:themeFillTint="33"/>
            <w:noWrap/>
            <w:hideMark/>
          </w:tcPr>
          <w:p w14:paraId="79E0A02A" w14:textId="01A3306E"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hAnsi="Arial" w:cs="Arial"/>
                <w:sz w:val="20"/>
                <w:szCs w:val="20"/>
              </w:rPr>
              <w:t>H</w:t>
            </w:r>
            <w:r w:rsidR="00C93CB9" w:rsidRPr="00B92850">
              <w:rPr>
                <w:rFonts w:ascii="Arial" w:hAnsi="Arial" w:cs="Arial"/>
                <w:sz w:val="20"/>
                <w:szCs w:val="20"/>
              </w:rPr>
              <w:t>igh-dimensional</w:t>
            </w:r>
            <w:r w:rsidRPr="00B92850">
              <w:rPr>
                <w:rFonts w:ascii="Arial" w:hAnsi="Arial" w:cs="Arial"/>
                <w:sz w:val="20"/>
                <w:szCs w:val="20"/>
              </w:rPr>
              <w:t xml:space="preserve"> and high-throughput analytics.</w:t>
            </w:r>
          </w:p>
        </w:tc>
        <w:tc>
          <w:tcPr>
            <w:tcW w:w="2810" w:type="dxa"/>
            <w:shd w:val="clear" w:color="auto" w:fill="D5DCE4" w:themeFill="text2" w:themeFillTint="33"/>
            <w:noWrap/>
            <w:hideMark/>
          </w:tcPr>
          <w:p w14:paraId="396D6AB6" w14:textId="6DE038B0"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Deep-learning example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{"citationItems":[{"id":"ITEM-1","itemData":{"DOI":"10.1158/1078-0432.CCR-17-0853","ISSN":"15573265","abstract":"Identifying robust survival subgroups of hepatocellular carcinoma (HCC) will significantly improve patient care. Currently, endeavor of integrating multi-omics data to explicitly predict HCC survival from multiple patient cohorts is lacking. To fill this gap, we present a deep learning (DL)–based model on HCC that robustly differentiates survival subpopulations of patients in six cohorts. We built the DL-based, survival-sensitive model on 360 HCC patients' data using RNA sequencing (RNA-Seq), miRNA sequencing (miRNA-Seq), and methylation data from The Cancer Genome Atlas (TCGA), which predicts prognosis as good as an alternative model where genomics and clinical data are both considered. This DL-based model provides two optimal subgroups of patients with significant survival differences (P ¼ 7.13e6) and good model fitness [concordance index (C-index) ¼ 0.68]. More aggressive subtype is associated with frequent TP53 inactivation mutations, higher expression of stemness markers (KRT19 and EPCAM) and tumor marker BIRC5, and activated Wnt and Akt signaling pathways. We validated this multi-omics model on five external datasets of various omics types: LIRI-JP cohort (n ¼ 230, C-index ¼ 0.75), NCI cohort (n ¼ 221, C-index ¼ 0.67), Chinese cohort (n ¼ 166, C-index ¼ 0.69), E-TABM-36 cohort (n ¼ 40, C-index ¼ 0.77), and Hawaiian cohort (n ¼ 27, C-index ¼ 0.82). This is the first study to employ DL to identify multi-omics features linked to the differential survival of patients with HCC. Given its robustness over multiple cohorts, we expect this workflow to be useful at predicting HCC prognosis prediction.","author":[{"dropping-particle":"","family":"Chaudhary","given":"Kumardeep","non-dropping-particle":"","parse-names":false,"suffix":""},{"dropping-particle":"","family":"Poirion","given":"Olivier B.","non-dropping-particle":"","parse-names":false,"suffix":""},{"dropping-particle":"","family":"Lu","given":"Liangqun","non-dropping-particle":"","parse-names":false,"suffix":""},{"dropping-particle":"","family":"Garmire","given":"Lana X.","non-dropping-particle":"","parse-names":false,"suffix":""}],"container-title":"Clinical Cancer Research","id":"ITEM-1","issue":"6","issued":{"date-parts":[["2018"]]},"page":"1248-1259","title":"Deep learning–based multi-omics integration robustly predicts survival in liver cancer","type":"article-journal","volume":"24"},"uris":["http://www.mendeley.com/documents/?uuid=ec894b23-8183-4492-ae66-955409c3f070"]}],"mendeley":{"formattedCitation":"(Chaudhary et al., 2018)","plainTextFormattedCitation":"(Chaudhary et al., 2018)","previouslyFormattedCitation":"(Chaudhary et al., 2018)"},"properties":{"noteIndex":0},"schema":"https://github.com/citation-style-language/schema/raw/master/csl-citation.json"}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(Chaudhary et al., 2018)</w:t>
            </w:r>
            <w:r w:rsidRPr="00B92850">
              <w:rPr>
                <w:rFonts w:ascii="Arial" w:hAnsi="Arial" w:cs="Arial"/>
                <w:sz w:val="20"/>
                <w:szCs w:val="20"/>
              </w:rPr>
              <w:fldChar w:fldCharType="end"/>
            </w:r>
            <w:r w:rsidRPr="00B92850">
              <w:rPr>
                <w:rFonts w:ascii="Arial" w:hAnsi="Arial" w:cs="Arial"/>
                <w:sz w:val="20"/>
                <w:szCs w:val="20"/>
              </w:rPr>
              <w:t xml:space="preserve">; Attempt to combine large datasets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{"citationItems":[{"id":"ITEM-1","itemData":{"DOI":"10.1038/nrg.2018.4","ISSN":"14710064","abstract":"Advances in omics technologies-such as genomics, transcriptomics, proteomics and metabolomics-have begun to enable personalized medicine at an extraordinarily detailed molecular level. Individually, these technologies have contributed medical advances that have begun to enter clinical practice. However, each technology individually cannot capture the entire biological complexity of most human diseases. Integration of multiple technologies has emerged as an approach to provide a more comprehensive view of biology and disease. In this Review, we discuss the potential for combining diverse types of data and the utility of this approach in human health and disease. We provide examples of data integration to understand, diagnose and inform treatment of diseases, including rare and common diseases as well as cancer and transplant biology. Finally, we discuss technical and other challenges to clinical implementation of integrative omics.","author":[{"dropping-particle":"","family":"Karczewski","given":"Konrad J.","non-dropping-particle":"","parse-names":false,"suffix":""},{"dropping-particle":"","family":"Snyder","given":"Michael P.","non-dropping-particle":"","parse-names":false,"suffix":""}],"container-title":"Nature Reviews Genetics","id":"ITEM-1","issue":"5","issued":{"date-parts":[["2018"]]},"page":"299-310","title":"Integrative omics for health and disease","type":"article-journal","volume":"19"},"uris":["http://www.mendeley.com/documents/?uuid=083f1377-1e03-4427-a495-e80093f2244f"]}],"mendeley":{"formattedCitation":"(Karczewski &amp; Snyder, 2018)","plainTextFormattedCitation":"(Karczewski &amp; Snyder, 2018)","previouslyFormattedCitation":"(Karczewski &amp; Snyder, 2018)"},"properties":{"noteIndex":0},"schema":"https://github.com/citation-style-language/schema/raw/master/csl-citation.json"}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(Karczewski &amp; Snyder, 2018)</w:t>
            </w:r>
            <w:r w:rsidRPr="00B92850">
              <w:rPr>
                <w:rFonts w:ascii="Arial" w:hAnsi="Arial" w:cs="Arial"/>
                <w:sz w:val="20"/>
                <w:szCs w:val="20"/>
              </w:rPr>
              <w:fldChar w:fldCharType="end"/>
            </w:r>
          </w:p>
        </w:tc>
        <w:tc>
          <w:tcPr>
            <w:tcW w:w="3285" w:type="dxa"/>
            <w:shd w:val="clear" w:color="auto" w:fill="D5DCE4" w:themeFill="text2" w:themeFillTint="33"/>
            <w:noWrap/>
            <w:hideMark/>
          </w:tcPr>
          <w:p w14:paraId="35A3A0E8" w14:textId="29BEE6D5"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Technical review of methods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{"citationItems":[{"id":"ITEM-1","itemData":{"DOI":"10.1186/s12859-015-0857-9","ISSN":"14712105","PMID":"26821531","abstract":"Background: Methods for the integrative analysis of multi-omics data are required to draw a more complete and accurate picture of the dynamics of molecular systems. The complexity of biological systems, the technological limits, the large number of biological variables and the relatively low number of biological samples make the analysis of multi-omics datasets a non-trivial problem. Results and Conclusions: We review the most advanced strategies for integrating multi-omics datasets, focusing on mathematical and methodological aspects.","author":[{"dropping-particle":"","family":"Bersanelli","given":"Matteo","non-dropping-particle":"","parse-names":false,"suffix":""},{"dropping-particle":"","family":"Mosca","given":"Ettore","non-dropping-particle":"","parse-names":false,"suffix":""},{"dropping-particle":"","family":"Remondini","given":"Daniel","non-dropping-particle":"","parse-names":false,"suffix":""},{"dropping-particle":"","family":"Giampieri","given":"Enrico","non-dropping-particle":"","parse-names":false,"suffix":""},{"dropping-particle":"","family":"Sala","given":"Claudia","non-dropping-particle":"","parse-names":false,"suffix":""},{"dropping-particle":"","family":"Castellani","given":"Gastone","non-dropping-particle":"","parse-names":false,"suffix":""},{"dropping-particle":"","family":"Milanesi","given":"Luciano","non-dropping-particle":"","parse-names":false,"suffix":""}],"container-title":"BMC Bioinformatics","id":"ITEM-1","issue":"2","issued":{"date-parts":[["2016"]]},"title":"Methods for the integration of multi-omics data: Mathematical aspects","type":"article-journal","volume":"17"},"uris":["http://www.mendeley.com/documents/?uuid=adb67390-b1df-447b-9e82-c42be05b1ec1"]}],"mendeley":{"formattedCitation":"(Bersanelli et al., 2016)","plainTextFormattedCitation":"(Bersanelli et al., 2016)","previouslyFormattedCitation":"(Bersanelli et al., 2016)"},"properties":{"noteIndex":0},"schema":"https://github.com/citation-style-language/schema/raw/master/csl-citation.json"}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(Bersanelli et al., 2016)</w:t>
            </w:r>
            <w:r w:rsidRPr="00B92850">
              <w:rPr>
                <w:rFonts w:ascii="Arial" w:hAnsi="Arial" w:cs="Arial"/>
                <w:sz w:val="20"/>
                <w:szCs w:val="20"/>
              </w:rPr>
              <w:fldChar w:fldCharType="end"/>
            </w:r>
            <w:r w:rsidRPr="00B92850">
              <w:rPr>
                <w:rFonts w:ascii="Arial" w:hAnsi="Arial" w:cs="Arial"/>
                <w:sz w:val="20"/>
                <w:szCs w:val="20"/>
              </w:rPr>
              <w:t xml:space="preserve">; Challenges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{"citationItems":[{"id":"ITEM-1","itemData":{"DOI":"10.1186/1752-0509-8-S2-I1","ISSN":"17520509","abstract":"To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heterogeneous and often large data sets. These data-sets encourage researchers to develop novel data integration methodologies. In this introduction we review the definition and characterize current efforts on data integration in the life sciences. We have used a web-survey to assess current research projects on data-integration to tap into the views, needs and challenges as currently perceived by parts of the research community.","author":[{"dropping-particle":"","family":"Gomez-Cabrero","given":"David","non-dropping-particle":"","parse-names":false,"suffix":""},{"dropping-particle":"","family":"Abugessaisa","given":"Imad","non-dropping-particle":"","parse-names":false,"suffix":""},{"dropping-particle":"","family":"Maier","given":"Dieter","non-dropping-particle":"","parse-names":false,"suffix":""},{"dropping-particle":"","family":"Teschendorff","given":"Andrew","non-dropping-particle":"","parse-names":false,"suffix":""},{"dropping-particle":"","family":"Merkenschlager","given":"Matthias","non-dropping-particle":"","parse-names":false,"suffix":""},{"dropping-particle":"","family":"Gisel","given":"Andreas","non-dropping-particle":"","parse-names":false,"suffix":""},{"dropping-particle":"","family":"Ballestar","given":"Esteban","non-dropping-particle":"","parse-names":false,"suffix":""},{"dropping-particle":"","family":"Bongcam-Rudloff","given":"Erik","non-dropping-particle":"","parse-names":false,"suffix":""},{"dropping-particle":"","family":"Conesa","given":"Ana","non-dropping-particle":"","parse-names":false,"suffix":""},{"dropping-particle":"","family":"Tegnér","given":"Jesper","non-dropping-particle":"","parse-names":false,"suffix":""}],"container-title":"BMC systems biology","id":"ITEM-1","issue":"Suppl 2","issued":{"date-parts":[["2014"]]},"page":"I1","title":"Data integration in the era of omics: current and future challenges","type":"article-journal","volume":"8"},"uris":["http://www.mendeley.com/documents/?uuid=e9bdd7b0-fd29-4a57-972d-4bdabd1e714c"]},{"id":"ITEM-2","itemData":{"DOI":"10.1093/bib/bbw031","ISSN":"14774054","abstract":"Metabolomics is a rapidly growing field consisting of the analysis of a large number of metabolites at a system scale. The two major goals of metabolomics are the identification of the metabolites characterizing each organism state and the measurement of their dynamics under different situations (e.g. pathological conditions, environmental factors). Knowledge about metabolites is crucial for the understanding of most cellular phenomena, but this information alone is not sufficient to gain a comprehensive view of all the biological processes involved. Integrated approaches combining metabolomics with transcriptomics and proteomics are thus required to obtain much deeper insights than any of these techniques alone. Although this information is available, multilevel integration of different 'omics' data is still a challenge. The handling, processing, analysis and integration of these data require specialized mathematical, statistical and bioinformatics tools, and several technical problems hampering a rapid progress in the field exist. Here, we review four main tools for number of users or provided features (MetaCoreTM, MetaboAnalyst, InCroMAP and 3Omics) out of the several available for metabolomic data analysis and integration with other 'omics' data, highlighting their strong and weak aspects; a number of related issues affecting data analysis and integration are also identified and discussed. Overall, we provide an objective description of how some of the main currently available software packages work, which may help the experimental practitioner in the choice of a robust pipeline for metabolomic data analysis and integration.","author":[{"dropping-particle":"","family":"Cambiaghi","given":"Alice","non-dropping-particle":"","parse-names":false,"suffix":""},{"dropping-particle":"","family":"Ferrario","given":"Manuela","non-dropping-particle":"","parse-names":false,"suffix":""},{"dropping-particle":"","family":"Masseroli","given":"Marco","non-dropping-particle":"","parse-names":false,"suffix":""}],"container-title":"Briefings in Bioinformatics","id":"ITEM-2","issue":"3","issued":{"date-parts":[["2017"]]},"page":"498-510","title":"Analysis of metabolomic data: Tools, current strategies and future challenges for omics data integration","type":"article-journal","volume":"18"},"uris":["http://www.mendeley.com/documents/?uuid=4df610ec-d92d-4b79-b5db-3f4606119a71"]}],"mendeley":{"formattedCitation":"(Cambiaghi et al., 2017; Gomez-Cabrero et al., 2014)","plainTextFormattedCitation":"(Cambiaghi et al., 2017; Gomez-Cabrero et al., 2014)","previouslyFormattedCitation":"(Cambiaghi et al., 2017; Gomez-Cabrero et al., 2014)"},"properties":{"noteIndex":0},"schema":"https://github.com/citation-style-language/schema/raw/master/csl-citation.json"}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(Cambiaghi et al., 2017; Gomez-Cabrero et al., 2014)</w:t>
            </w:r>
            <w:r w:rsidRPr="00B92850">
              <w:rPr>
                <w:rFonts w:ascii="Arial" w:hAnsi="Arial" w:cs="Arial"/>
                <w:sz w:val="20"/>
                <w:szCs w:val="20"/>
              </w:rPr>
              <w:fldChar w:fldCharType="end"/>
            </w:r>
            <w:r w:rsidRPr="00B92850">
              <w:rPr>
                <w:rFonts w:ascii="Arial" w:hAnsi="Arial" w:cs="Arial"/>
                <w:sz w:val="20"/>
                <w:szCs w:val="20"/>
              </w:rPr>
              <w:t xml:space="preserve">; Problems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{"citationItems":[{"id":"ITEM-1","itemData":{"DOI":"10.1016/j.trac.2006.10.007","ISSN":"01659936","abstract":"\"omics\" studies involve the measurement of large numbers of parameters, typically genes (genomics), proteins (proteomics), lipids (lipidomics) or metabolites (metabolomics). Values associated with each of the measured parameters are searched to find examples that correlate with biological endpoints, often disease or cancer. Although the number of parameters being measured has increased dramatically with \"omics\" studies, the number of biological and methodological replicates has not. As with comparable classical biomedical studies, there exist limitations arising from whether or not the analytical methods are adequate for making the measurements needed and whether or not the measurements are implemented properly. In addition, because of the large number of measurements and the limited number of test subjects, unique problems arise in \"omics\" studies involving statistics and bias. Even though improvements in technology may well minimize measurement problems, the inherent difficulties associated with measuring so many parameters from a limited number of test subjects will remain. This review focuses on the four main problems with the \"omics\": bias, statistics, methodology, and method misuse. Although we give suggestions to minimize the impacts of these problems, some problems may not be solved unless the number of measurements is more consistent with the number of possible biological replicates. © 2006 Elsevier Ltd. All rights reserved.","author":[{"dropping-particle":"","family":"Lay","given":"Jackson O.","non-dropping-particle":"","parse-names":false,"suffix":""},{"dropping-particle":"","family":"Borgmann","given":"Sabine","non-dropping-particle":"","parse-names":false,"suffix":""},{"dropping-particle":"","family":"Liyanage","given":"Rohana","non-dropping-particle":"","parse-names":false,"suffix":""},{"dropping-particle":"","family":"Wilkins","given":"Charles L.","non-dropping-particle":"","parse-names":false,"suffix":""}],"container-title":"Trends in Analytical Chemistry","id":"ITEM-1","issue":"11","issued":{"date-parts":[["2006"]]},"page":"1046-1056","title":"Problems with the \"omics\"","type":"article-journal","volume":"25"},"uris":["http://www.mendeley.com/documents/?uuid=9a1573da-ea8b-4c28-9b30-957ec3297c73"]}],"mendeley":{"formattedCitation":"(Lay et al., 2006)","plainTextFormattedCitation":"(Lay et al., 2006)","previouslyFormattedCitation":"(Lay et al., 2006)"},"properties":{"noteIndex":0},"schema":"https://github.com/citation-style-language/schema/raw/master/csl-citation.json"}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(Lay et al., 2006)</w:t>
            </w:r>
            <w:r w:rsidRPr="00B92850">
              <w:rPr>
                <w:rFonts w:ascii="Arial" w:hAnsi="Arial" w:cs="Arial"/>
                <w:sz w:val="20"/>
                <w:szCs w:val="20"/>
              </w:rPr>
              <w:fldChar w:fldCharType="end"/>
            </w:r>
          </w:p>
        </w:tc>
      </w:tr>
      <w:tr w:rsidR="00730A49" w:rsidRPr="00B92850" w14:paraId="5BFB9C94" w14:textId="77777777" w:rsidTr="001804FC">
        <w:trPr>
          <w:trHeight w:val="250"/>
        </w:trPr>
        <w:tc>
          <w:tcPr>
            <w:tcW w:w="439" w:type="dxa"/>
            <w:shd w:val="clear" w:color="auto" w:fill="auto"/>
            <w:noWrap/>
          </w:tcPr>
          <w:p w14:paraId="58D1CCC4" w14:textId="5F3919B7"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5</w:t>
            </w:r>
          </w:p>
        </w:tc>
        <w:tc>
          <w:tcPr>
            <w:tcW w:w="3043" w:type="dxa"/>
            <w:shd w:val="clear" w:color="auto" w:fill="auto"/>
            <w:hideMark/>
          </w:tcPr>
          <w:p w14:paraId="03A96A8D"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Conversational A.I.</w:t>
            </w:r>
          </w:p>
        </w:tc>
        <w:tc>
          <w:tcPr>
            <w:tcW w:w="5444" w:type="dxa"/>
            <w:shd w:val="clear" w:color="auto" w:fill="auto"/>
            <w:noWrap/>
            <w:hideMark/>
          </w:tcPr>
          <w:p w14:paraId="1569538E" w14:textId="40F6B907" w:rsidR="00730A49" w:rsidRPr="00B92850" w:rsidRDefault="00C93CB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w:t>
            </w:r>
            <w:r w:rsidRPr="00B92850">
              <w:rPr>
                <w:rFonts w:ascii="Arial" w:eastAsia="Times New Roman" w:hAnsi="Arial" w:cs="Arial"/>
                <w:i/>
                <w:color w:val="000000"/>
                <w:sz w:val="20"/>
                <w:szCs w:val="20"/>
                <w:lang w:eastAsia="en-GB"/>
              </w:rPr>
              <w:t>systems that mimic human conversation using text or spoken language</w:t>
            </w:r>
            <w:r w:rsidRPr="00B92850">
              <w:rPr>
                <w:rFonts w:ascii="Arial" w:eastAsia="Times New Roman" w:hAnsi="Arial" w:cs="Arial"/>
                <w:color w:val="000000"/>
                <w:sz w:val="20"/>
                <w:szCs w:val="20"/>
                <w:lang w:eastAsia="en-GB"/>
              </w:rPr>
              <w:t xml:space="preserve">” </w:t>
            </w:r>
            <w:r w:rsidRPr="00B92850">
              <w:rPr>
                <w:rFonts w:ascii="Arial" w:eastAsia="Times New Roman" w:hAnsi="Arial" w:cs="Arial"/>
                <w:color w:val="000000"/>
                <w:sz w:val="20"/>
                <w:szCs w:val="20"/>
                <w:lang w:eastAsia="en-GB"/>
              </w:rPr>
              <w:fldChar w:fldCharType="begin" w:fldLock="1"/>
            </w:r>
            <w:r w:rsidR="002E75EA" w:rsidRPr="00B92850">
              <w:rPr>
                <w:rFonts w:ascii="Arial" w:eastAsia="Times New Roman" w:hAnsi="Arial" w:cs="Arial"/>
                <w:color w:val="000000"/>
                <w:sz w:val="20"/>
                <w:szCs w:val="20"/>
                <w:lang w:eastAsia="en-GB"/>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92850">
              <w:rPr>
                <w:rFonts w:ascii="Arial" w:eastAsia="Times New Roman" w:hAnsi="Arial" w:cs="Arial"/>
                <w:color w:val="000000"/>
                <w:sz w:val="20"/>
                <w:szCs w:val="20"/>
                <w:lang w:eastAsia="en-GB"/>
              </w:rPr>
              <w:fldChar w:fldCharType="separate"/>
            </w:r>
            <w:r w:rsidRPr="00B92850">
              <w:rPr>
                <w:rFonts w:ascii="Arial" w:eastAsia="Times New Roman" w:hAnsi="Arial" w:cs="Arial"/>
                <w:noProof/>
                <w:color w:val="000000"/>
                <w:sz w:val="20"/>
                <w:szCs w:val="20"/>
                <w:lang w:eastAsia="en-GB"/>
              </w:rPr>
              <w:t>(Laranjo et al., 2018)</w:t>
            </w:r>
            <w:r w:rsidRPr="00B92850">
              <w:rPr>
                <w:rFonts w:ascii="Arial" w:eastAsia="Times New Roman" w:hAnsi="Arial" w:cs="Arial"/>
                <w:color w:val="000000"/>
                <w:sz w:val="20"/>
                <w:szCs w:val="20"/>
                <w:lang w:eastAsia="en-GB"/>
              </w:rPr>
              <w:fldChar w:fldCharType="end"/>
            </w:r>
          </w:p>
        </w:tc>
        <w:tc>
          <w:tcPr>
            <w:tcW w:w="2810" w:type="dxa"/>
            <w:shd w:val="clear" w:color="auto" w:fill="auto"/>
            <w:noWrap/>
            <w:hideMark/>
          </w:tcPr>
          <w:p w14:paraId="04B72823" w14:textId="4068D3C0" w:rsidR="00730A49" w:rsidRPr="00B92850" w:rsidRDefault="00C93CB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Apple’s Siri; Google Now; Microsoft Cortana; </w:t>
            </w:r>
            <w:r w:rsidR="00730A49" w:rsidRPr="00B92850">
              <w:rPr>
                <w:rFonts w:ascii="Arial" w:hAnsi="Arial" w:cs="Arial"/>
                <w:sz w:val="20"/>
                <w:szCs w:val="20"/>
              </w:rPr>
              <w:t xml:space="preserve">Amazon Alexa prize </w:t>
            </w:r>
            <w:r w:rsidR="00730A49" w:rsidRPr="00B92850">
              <w:rPr>
                <w:rFonts w:ascii="Arial" w:hAnsi="Arial" w:cs="Arial"/>
                <w:sz w:val="20"/>
                <w:szCs w:val="20"/>
              </w:rPr>
              <w:fldChar w:fldCharType="begin" w:fldLock="1"/>
            </w:r>
            <w:r w:rsidR="00730A49" w:rsidRPr="00B92850">
              <w:rPr>
                <w:rFonts w:ascii="Arial" w:hAnsi="Arial" w:cs="Arial"/>
                <w:sz w:val="20"/>
                <w:szCs w:val="20"/>
              </w:rPr>
              <w:instrText>ADDIN CSL_CITATION {"citationItems":[{"id":"ITEM-1","itemData":{"abstract":"Conversational agents are exploding in popularity. However, much work remains in the area of social conversation as well as free-form conversation over a broad range of domains and topics. To advance the state of the art in conversational AI, Amazon launched the Alexa Prize, a 2.5-million-dollar university competition where sixteen selected university teams were challenged to build conversational agents, known as socialbots, to converse coherently and engagingly with humans on popular topics such as Sports, Politics, Entertainment, Fashion and Technology for 20 minutes. The Alexa Prize offers the academic community a unique opportunity to perform research with a live system used by millions of users. The competition provided university teams with real user conversational data at scale, along with the user-provided ratings and feedback augmented with annotations by the Alexa team. This enabled teams to effectively iterate and make improvements throughout the competition while being evaluated in real-time through live user interactions. To build their socialbots, university teams combined state-of-the-art techniques with novel strategies in the areas of Natural Language Understanding, Context Modeling, Dialog Management, Response Generation, and Knowledge Acquisition. To support the efforts of participating teams, the Alexa Prize team made significant scientific and engineering investments to build and improve Conversational Speech Recognition, Topic Tracking, Dialog Evaluation, Voice User Experience, and tools for traffic management and scalability. This paper outlines the advances created by the university teams as well as the Alexa Prize team to achieve the common goal of solving the problem of Conversational AI.","author":[{"dropping-particle":"","family":"Ram","given":"Ashwin","non-dropping-particle":"","parse-names":false,"suffix":""},{"dropping-particle":"","family":"Prasad","given":"Rohit","non-dropping-particle":"","parse-names":false,"suffix":""},{"dropping-particle":"","family":"Khatri","given":"Chandra","non-dropping-particle":"","parse-names":false,"suffix":""},{"dropping-particle":"","family":"Venkatesh","given":"Anu","non-dropping-particle":"","parse-names":false,"suffix":""},{"dropping-particle":"","family":"Gabriel","given":"Raefer","non-dropping-particle":"","parse-names":false,"suffix":""},{"dropping-particle":"","family":"Liu","given":"Qing","non-dropping-particle":"","parse-names":false,"suffix":""},{"dropping-particle":"","family":"Nunn","given":"Jeff","non-dropping-particle":"","parse-names":false,"suffix":""},{"dropping-particle":"","family":"Hedayatnia","given":"Behnam","non-dropping-particle":"","parse-names":false,"suffix":""},{"dropping-particle":"","family":"Cheng","given":"Ming","non-dropping-particle":"","parse-names":false,"suffix":""},{"dropping-particle":"","family":"Nagar","given":"Ashish","non-dropping-particle":"","parse-names":false,"suffix":""},{"dropping-particle":"","family":"King","given":"Eric","non-dropping-particle":"","parse-names":false,"suffix":""},{"dropping-particle":"","family":"Bland","given":"Kate","non-dropping-particle":"","parse-names":false,"suffix":""},{"dropping-particle":"","family":"Wartick","given":"Amanda","non-dropping-particle":"","parse-names":false,"suffix":""},{"dropping-particle":"","family":"Pan","given":"Yi","non-dropping-particle":"","parse-names":false,"suffix":""},{"dropping-particle":"","family":"Song","given":"Han","non-dropping-particle":"","parse-names":false,"suffix":""},{"dropping-particle":"","family":"Jayadevan","given":"Sk","non-dropping-particle":"","parse-names":false,"suffix":""},{"dropping-particle":"","family":"Hwang","given":"Gene","non-dropping-particle":"","parse-names":false,"suffix":""},{"dropping-particle":"","family":"Pettigrue","given":"Art","non-dropping-particle":"","parse-names":false,"suffix":""}],"container-title":"arXiv","id":"ITEM-1","issued":{"date-parts":[["2018"]]},"title":"Conversational AI: The Science Behind the Alexa Prize","type":"article-journal"},"uris":["http://www.mendeley.com/documents/?uuid=90ce4300-9de2-4351-9290-28735184bf23"]}],"mendeley":{"formattedCitation":"(Ram et al., 2018)","plainTextFormattedCitation":"(Ram et al., 2018)","previouslyFormattedCitation":"(Ram et al., 2018)"},"properties":{"noteIndex":0},"schema":"https://github.com/citation-style-language/schema/raw/master/csl-citation.json"}</w:instrText>
            </w:r>
            <w:r w:rsidR="00730A49" w:rsidRPr="00B92850">
              <w:rPr>
                <w:rFonts w:ascii="Arial" w:hAnsi="Arial" w:cs="Arial"/>
                <w:sz w:val="20"/>
                <w:szCs w:val="20"/>
              </w:rPr>
              <w:fldChar w:fldCharType="separate"/>
            </w:r>
            <w:r w:rsidR="00730A49" w:rsidRPr="00B92850">
              <w:rPr>
                <w:rFonts w:ascii="Arial" w:hAnsi="Arial" w:cs="Arial"/>
                <w:noProof/>
                <w:sz w:val="20"/>
                <w:szCs w:val="20"/>
              </w:rPr>
              <w:t>(Ram et al., 2018)</w:t>
            </w:r>
            <w:r w:rsidR="00730A49" w:rsidRPr="00B92850">
              <w:rPr>
                <w:rFonts w:ascii="Arial" w:hAnsi="Arial" w:cs="Arial"/>
                <w:sz w:val="20"/>
                <w:szCs w:val="20"/>
              </w:rPr>
              <w:fldChar w:fldCharType="end"/>
            </w:r>
            <w:r w:rsidR="00730A49" w:rsidRPr="00B92850">
              <w:rPr>
                <w:rFonts w:ascii="Arial" w:hAnsi="Arial" w:cs="Arial"/>
                <w:sz w:val="20"/>
                <w:szCs w:val="20"/>
              </w:rPr>
              <w:t xml:space="preserve">; Geriatrics </w:t>
            </w:r>
            <w:r w:rsidR="00730A49" w:rsidRPr="00B92850">
              <w:rPr>
                <w:rFonts w:ascii="Arial" w:hAnsi="Arial" w:cs="Arial"/>
                <w:sz w:val="20"/>
                <w:szCs w:val="20"/>
              </w:rPr>
              <w:fldChar w:fldCharType="begin" w:fldLock="1"/>
            </w:r>
            <w:r w:rsidR="00730A49" w:rsidRPr="00B92850">
              <w:rPr>
                <w:rFonts w:ascii="Arial" w:hAnsi="Arial" w:cs="Arial"/>
                <w:sz w:val="20"/>
                <w:szCs w:val="20"/>
              </w:rPr>
              <w:instrText>ADDIN CSL_CITATION {"citationItems":[{"id":"ITEM-1","itemData":{"abstract":"There is a need for systems to dynamically interact with ageing populations to gather information, monitor health condition and provide support, especially after hospital discharge or at-home settings. Several smart devices have been delivered by digital health, bundled with telemedicine systems, smartphone and other digital services. While such solutions offer personalised data and suggestions, the real disruptive step comes from the interaction of new digital ecosystem, represented by chatbots. Chatbots will play a leading role by embodying the function of a virtual assistant and bridging the gap between patients and clinicians. Powered by AI and machine learning algorithms, chatbots are forecasted to save healthcare costs when used in place of a human or assist them as a preliminary step of helping to assess a condition and providing self-care recommendations. This paper describes integrating chatbots into telemedicine systems intended for elderly patient after their hospital discharge. The paper discusses possible ways to utilise chatbots to assist healthcare providers and support patients with their condition.","author":[{"dropping-particle":"","family":"Fadhil","given":"Ahmed","non-dropping-particle":"","parse-names":false,"suffix":""}],"container-title":"arXiv","id":"ITEM-1","issued":{"date-parts":[["2018"]]},"title":"Beyond Patient Monitoring: Conversational Agents Role in Telemedicine &amp; Healthcare Support For Home-Living Elderly Individuals","type":"article-journal"},"uris":["http://www.mendeley.com/documents/?uuid=b5a99d84-631e-4e0b-915d-ada2042a215f"]}],"mendeley":{"formattedCitation":"(Fadhil, 2018b)","plainTextFormattedCitation":"(Fadhil, 2018b)","previouslyFormattedCitation":"(Fadhil, 2018b)"},"properties":{"noteIndex":0},"schema":"https://github.com/citation-style-language/schema/raw/master/csl-citation.json"}</w:instrText>
            </w:r>
            <w:r w:rsidR="00730A49" w:rsidRPr="00B92850">
              <w:rPr>
                <w:rFonts w:ascii="Arial" w:hAnsi="Arial" w:cs="Arial"/>
                <w:sz w:val="20"/>
                <w:szCs w:val="20"/>
              </w:rPr>
              <w:fldChar w:fldCharType="separate"/>
            </w:r>
            <w:r w:rsidR="00730A49" w:rsidRPr="00B92850">
              <w:rPr>
                <w:rFonts w:ascii="Arial" w:hAnsi="Arial" w:cs="Arial"/>
                <w:noProof/>
                <w:sz w:val="20"/>
                <w:szCs w:val="20"/>
              </w:rPr>
              <w:t>(Fadhil, 2018b)</w:t>
            </w:r>
            <w:r w:rsidR="00730A49" w:rsidRPr="00B92850">
              <w:rPr>
                <w:rFonts w:ascii="Arial" w:hAnsi="Arial" w:cs="Arial"/>
                <w:sz w:val="20"/>
                <w:szCs w:val="20"/>
              </w:rPr>
              <w:fldChar w:fldCharType="end"/>
            </w:r>
            <w:r w:rsidR="00730A49" w:rsidRPr="00B92850">
              <w:rPr>
                <w:rFonts w:ascii="Arial" w:hAnsi="Arial" w:cs="Arial"/>
                <w:sz w:val="20"/>
                <w:szCs w:val="20"/>
              </w:rPr>
              <w:t xml:space="preserve">; Medication adherence </w:t>
            </w:r>
            <w:r w:rsidR="00730A49" w:rsidRPr="00B92850">
              <w:rPr>
                <w:rFonts w:ascii="Arial" w:hAnsi="Arial" w:cs="Arial"/>
                <w:sz w:val="20"/>
                <w:szCs w:val="20"/>
              </w:rPr>
              <w:fldChar w:fldCharType="begin" w:fldLock="1"/>
            </w:r>
            <w:r w:rsidR="00730A49" w:rsidRPr="00B92850">
              <w:rPr>
                <w:rFonts w:ascii="Arial" w:hAnsi="Arial" w:cs="Arial"/>
                <w:sz w:val="20"/>
                <w:szCs w:val="20"/>
              </w:rPr>
              <w:instrText>ADDIN CSL_CITATION {"citationItems":[{"id":"ITEM-1","itemData":{"abstract":"Medication adherence is of utmost importance for many chronic conditions, regardless of the disease type. Engaging patients in self-tracking their medication is a big challenge. One way to potentially reduce this burden is to use reminders to promote wellness throughout all stages of life and improve medication adherence. Chatbots have proven effectiveness in triggering users to engage in certain activity, such as medication adherence. In this paper, we discuss \"Roborto\", a chatbot to create an engaging interactive and intelligent environment for patients and assist in positive lifestyle modification. We introduce a way for healthcare providers to track patients adherence and intervene whenever necessary. We describe the health, technical and behavioural approaches to the problem of medication non-adherence and propose a diagnostic and decision support tool. The proposed study will be implemented and validated through a pilot experiment with users to measure the efficacy of the proposed approach.","author":[{"dropping-particle":"","family":"Fadhil","given":"Ahmed","non-dropping-particle":"","parse-names":false,"suffix":""}],"container-title":"arXiv","id":"ITEM-1","issued":{"date-parts":[["2018"]]},"title":"A Conversational Interface to Improve Medication Adherence: Towards AI Support in Patient's Treatment","type":"article-journal"},"uris":["http://www.mendeley.com/documents/?uuid=d18f30dc-dd06-4603-bdac-f71e9b7fa120"]}],"mendeley":{"formattedCitation":"(Fadhil, 2018a)","plainTextFormattedCitation":"(Fadhil, 2018a)","previouslyFormattedCitation":"(Fadhil, 2018a)"},"properties":{"noteIndex":0},"schema":"https://github.com/citation-style-language/schema/raw/master/csl-citation.json"}</w:instrText>
            </w:r>
            <w:r w:rsidR="00730A49" w:rsidRPr="00B92850">
              <w:rPr>
                <w:rFonts w:ascii="Arial" w:hAnsi="Arial" w:cs="Arial"/>
                <w:sz w:val="20"/>
                <w:szCs w:val="20"/>
              </w:rPr>
              <w:fldChar w:fldCharType="separate"/>
            </w:r>
            <w:r w:rsidR="00730A49" w:rsidRPr="00B92850">
              <w:rPr>
                <w:rFonts w:ascii="Arial" w:hAnsi="Arial" w:cs="Arial"/>
                <w:noProof/>
                <w:sz w:val="20"/>
                <w:szCs w:val="20"/>
              </w:rPr>
              <w:t>(Fadhil, 2018a)</w:t>
            </w:r>
            <w:r w:rsidR="00730A49" w:rsidRPr="00B92850">
              <w:rPr>
                <w:rFonts w:ascii="Arial" w:hAnsi="Arial" w:cs="Arial"/>
                <w:sz w:val="20"/>
                <w:szCs w:val="20"/>
              </w:rPr>
              <w:fldChar w:fldCharType="end"/>
            </w:r>
          </w:p>
        </w:tc>
        <w:tc>
          <w:tcPr>
            <w:tcW w:w="3285" w:type="dxa"/>
            <w:shd w:val="clear" w:color="auto" w:fill="auto"/>
            <w:noWrap/>
            <w:hideMark/>
          </w:tcPr>
          <w:p w14:paraId="018B6703" w14:textId="40C297BD"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Perspectives on evaluation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ISBN":"9781450361729","author":[{"dropping-particle":"","family":"Jadeja","given":"Mahipal","non-dropping-particle":"","parse-names":false,"suffix":""},{"dropping-particle":"","family":"Varia","given":"Neelanshi","non-dropping-particle":"","parse-names":false,"suffix":""}],"container-title":"arXiv","id":"ITEM-1","issued":{"date-parts":[["2017"]]},"title":"Perspectives for evaluating conversational AI","type":"article-journal"},"uris":["http://www.mendeley.com/documents/?uuid=9d667bb1-06b7-4518-bfcf-d5d9f94475c7"]}],"mendeley":{"formattedCitation":"(Jadeja &amp; Varia, 2017)","plainTextFormattedCitation":"(Jadeja &amp; Varia, 2017)","previouslyFormattedCitation":"(Jadeja &amp; Varia, 2017)"},"properties":{"noteIndex":0},"schema":"https://github.com/citation-style-language/schema/raw/master/csl-citation.json"}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(Jadeja &amp; Varia, 2017)</w:t>
            </w:r>
            <w:r w:rsidRPr="00B92850">
              <w:rPr>
                <w:rFonts w:ascii="Arial" w:hAnsi="Arial" w:cs="Arial"/>
                <w:sz w:val="20"/>
                <w:szCs w:val="20"/>
              </w:rPr>
              <w:fldChar w:fldCharType="end"/>
            </w:r>
            <w:r w:rsidRPr="00B92850">
              <w:rPr>
                <w:rFonts w:ascii="Arial" w:hAnsi="Arial" w:cs="Arial"/>
                <w:sz w:val="20"/>
                <w:szCs w:val="20"/>
              </w:rPr>
              <w:t xml:space="preserve">; A technical review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{"citationItems":[{"id":"ITEM-1","itemData":{"DOI":"10.1561/1500000074","ISBN":"9781680833508","ISSN":"15540677","abstract":"The present paper surveys neural approaches to conversational AI that have been developed in the last few years. We group conversational systems into three categories: (1) question answering agents, (2) task-oriented dialogue agents, and (3) chatbots. For each category, we present a review of state-of-the-art neural approaches, draw the connection between them and traditional approaches, and discuss the progress that has been made and challenges still being faced, using specific systems and models as case studies.","author":[{"dropping-particle":"","family":"Gao","given":"Jianfeng","non-dropping-particle":"","parse-names":false,"suffix":""},{"dropping-particle":"","family":"Galley","given":"Michel","non-dropping-particle":"","parse-names":false,"suffix":""},{"dropping-particle":"","family":"Li","given":"Lihong","non-dropping-particle":"","parse-names":false,"suffix":""}],"container-title":"Foundations and Trends in Information Retrieval","id":"ITEM-1","issue":"2-3","issued":{"date-parts":[["2019"]]},"number-of-pages":"127-298","title":"Neural approaches to conversational AI","type":"book","volume":"13"},"uris":["http://www.mendeley.com/documents/?uuid=721c479a-32e8-40d1-85cd-33d90a9c9538"]}],"mendeley":{"formattedCitation":"(Gao et al., 2019)","plainTextFormattedCitation":"(Gao et al., 2019)","previouslyFormattedCitation":"(Gao et al., 2019)"},"properties":{"noteIndex":0},"schema":"https://github.com/citation-style-language/schema/raw/master/csl-citation.json"}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(Gao et al., 2019)</w:t>
            </w:r>
            <w:r w:rsidRPr="00B92850">
              <w:rPr>
                <w:rFonts w:ascii="Arial" w:hAnsi="Arial" w:cs="Arial"/>
                <w:sz w:val="20"/>
                <w:szCs w:val="20"/>
              </w:rPr>
              <w:fldChar w:fldCharType="end"/>
            </w:r>
            <w:r w:rsidRPr="00B92850">
              <w:rPr>
                <w:rFonts w:ascii="Arial" w:hAnsi="Arial" w:cs="Arial"/>
                <w:sz w:val="20"/>
                <w:szCs w:val="20"/>
              </w:rPr>
              <w:t xml:space="preserve">; Review of applications in healthcare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(Laranjo et al., 2018)</w:t>
            </w:r>
            <w:r w:rsidRPr="00B92850">
              <w:rPr>
                <w:rFonts w:ascii="Arial" w:hAnsi="Arial" w:cs="Arial"/>
                <w:sz w:val="20"/>
                <w:szCs w:val="20"/>
              </w:rPr>
              <w:fldChar w:fldCharType="end"/>
            </w:r>
          </w:p>
        </w:tc>
      </w:tr>
      <w:tr w:rsidR="00730A49" w:rsidRPr="00B92850" w14:paraId="5A266652" w14:textId="77777777" w:rsidTr="00B92850">
        <w:trPr>
          <w:trHeight w:val="500"/>
        </w:trPr>
        <w:tc>
          <w:tcPr>
            <w:tcW w:w="439" w:type="dxa"/>
            <w:shd w:val="clear" w:color="auto" w:fill="D5DCE4" w:themeFill="text2" w:themeFillTint="33"/>
            <w:noWrap/>
          </w:tcPr>
          <w:p w14:paraId="6C0FFB0B" w14:textId="2C9C631D"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6</w:t>
            </w:r>
          </w:p>
        </w:tc>
        <w:tc>
          <w:tcPr>
            <w:tcW w:w="3043" w:type="dxa"/>
            <w:shd w:val="clear" w:color="auto" w:fill="D5DCE4" w:themeFill="text2" w:themeFillTint="33"/>
            <w:hideMark/>
          </w:tcPr>
          <w:p w14:paraId="3C1ED5B9" w14:textId="56EDA1CE" w:rsidR="00730A49" w:rsidRPr="00B92850" w:rsidRDefault="002E75EA"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 xml:space="preserve">Immersive technology, a.k.a. </w:t>
            </w:r>
            <w:r w:rsidR="00730A49" w:rsidRPr="00B92850">
              <w:rPr>
                <w:rFonts w:ascii="Arial" w:eastAsia="Times New Roman" w:hAnsi="Arial" w:cs="Arial"/>
                <w:color w:val="000000"/>
                <w:sz w:val="20"/>
                <w:szCs w:val="20"/>
                <w:lang w:eastAsia="en-GB"/>
              </w:rPr>
              <w:t>Virtual, Augmented and Mixed Reality</w:t>
            </w:r>
          </w:p>
        </w:tc>
        <w:tc>
          <w:tcPr>
            <w:tcW w:w="5444" w:type="dxa"/>
            <w:shd w:val="clear" w:color="auto" w:fill="D5DCE4" w:themeFill="text2" w:themeFillTint="33"/>
            <w:noWrap/>
            <w:hideMark/>
          </w:tcPr>
          <w:p w14:paraId="05F9F673" w14:textId="4A444AE3" w:rsidR="00730A49" w:rsidRPr="00B92850" w:rsidRDefault="007000A3" w:rsidP="007000A3">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7000A3">
              <w:rPr>
                <w:rFonts w:ascii="Arial" w:eastAsia="Times New Roman" w:hAnsi="Arial" w:cs="Arial"/>
                <w:i/>
                <w:color w:val="000000"/>
                <w:sz w:val="20"/>
                <w:szCs w:val="20"/>
                <w:lang w:eastAsia="en-GB"/>
              </w:rPr>
              <w:t>technologies that interact with, or leverage, the neuroscience of the human brain</w:t>
            </w:r>
            <w:r>
              <w:rPr>
                <w:rFonts w:ascii="Arial" w:eastAsia="Times New Roman" w:hAnsi="Arial" w:cs="Arial"/>
                <w:color w:val="000000"/>
                <w:sz w:val="20"/>
                <w:szCs w:val="20"/>
                <w:lang w:eastAsia="en-GB"/>
              </w:rPr>
              <w:t xml:space="preserve">” via computer-generated visualisations </w:t>
            </w:r>
            <w:r>
              <w:rPr>
                <w:rFonts w:ascii="Arial" w:eastAsia="Times New Roman" w:hAnsi="Arial" w:cs="Arial"/>
                <w:color w:val="000000"/>
                <w:sz w:val="20"/>
                <w:szCs w:val="20"/>
                <w:lang w:eastAsia="en-GB"/>
              </w:rPr>
              <w:fldChar w:fldCharType="begin" w:fldLock="1"/>
            </w:r>
            <w:r>
              <w:rPr>
                <w:rFonts w:ascii="Arial" w:eastAsia="Times New Roman" w:hAnsi="Arial" w:cs="Arial"/>
                <w:color w:val="000000"/>
                <w:sz w:val="20"/>
                <w:szCs w:val="20"/>
                <w:lang w:eastAsia="en-GB"/>
              </w:rPr>
              <w:instrText>ADDIN CSL_CITATION {"citationItems":[{"id":"ITEM-1","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Innov","id":"ITEM-1","issue":"1","issued":{"date-parts":[["2020"]]},"page":"40-47","title":"The Era of Immersive Health Technology","type":"article-journal","volume":"4"},"uris":["http://www.mendeley.com/documents/?uuid=8edcb9fa-f801-4bf9-8bd6-a5a914177cfa"]}],"mendeley":{"formattedCitation":"(Bremner et al., 2020)","plainTextFormattedCitation":"(Bremner et al.,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7000A3">
              <w:rPr>
                <w:rFonts w:ascii="Arial" w:eastAsia="Times New Roman" w:hAnsi="Arial" w:cs="Arial"/>
                <w:noProof/>
                <w:color w:val="000000"/>
                <w:sz w:val="20"/>
                <w:szCs w:val="20"/>
                <w:lang w:eastAsia="en-GB"/>
              </w:rPr>
              <w:t>(Bremner et al., 2020)</w:t>
            </w:r>
            <w:r>
              <w:rPr>
                <w:rFonts w:ascii="Arial" w:eastAsia="Times New Roman" w:hAnsi="Arial" w:cs="Arial"/>
                <w:color w:val="000000"/>
                <w:sz w:val="20"/>
                <w:szCs w:val="20"/>
                <w:lang w:eastAsia="en-GB"/>
              </w:rPr>
              <w:fldChar w:fldCharType="end"/>
            </w:r>
            <w:bookmarkStart w:id="0" w:name="_GoBack"/>
            <w:bookmarkEnd w:id="0"/>
          </w:p>
        </w:tc>
        <w:tc>
          <w:tcPr>
            <w:tcW w:w="2810" w:type="dxa"/>
            <w:shd w:val="clear" w:color="auto" w:fill="D5DCE4" w:themeFill="text2" w:themeFillTint="33"/>
            <w:noWrap/>
            <w:hideMark/>
          </w:tcPr>
          <w:p w14:paraId="61703DE4" w14:textId="6058C41C"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Decision making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10.1111/hex.12981","ISSN":"13697625","author":[{"dropping-particle":"","family":"Li","given":"Yan","non-dropping-particle":"","parse-names":false,"suffix":""},{"dropping-particle":"","family":"Li","given":"Jinzhi","non-dropping-particle":"","parse-names":false,"suffix":""},{"dropping-particle":"","family":"Zhang","given":"Jing","non-dropping-particle":"","parse-names":false,"suffix":""},{"dropping-particle":"","family":"Ye","given":"Guoliu","non-dropping-particle":"","parse-names":false,"suffix":""},{"dropping-particle":"","family":"Zhou","given":"Zhengmei","non-dropping-particle":"","parse-names":false,"suffix":""}],"container-title":"Health Expectations","id":"ITEM-1","issue":"1","issued":{"date-parts":[["2020"]]},"page":"3-4","title":"medAR: An augmented reality application to improve participation in health-care decisions by family-based intervention","type":"article-journal","volume":"23"},"uris":["http://www.mendeley.com/documents/?uuid=79db23a1-49b1-467e-a899-0350379b6da6"]},{"id":"ITEM-2","itemData":{"DOI":"10.5811/westjem.2017.10.35026","ISSN":"19369018","abstract":"Introduction: Augmented reality (AR), mixed reality (MR), and virtual reality devices are enabling technologies that may facilitate effective communication in healthcare between those with information and knowledge (clinician/specialist; expert; educator) and those seeking understanding and insight (patient/family; non-expert; learner). Investigators initiated an exploratory program to enable the study of AR/MR use-cases in acute care clinical and instructional settings. Methods: Academic clinician educators, computer scientists, and diagnostic imaging specialists conducted a proof-of-concept project to 1) implement a core holoimaging pipeline infrastructure and open-access repository at the study institution, and 2) use novel AR/MR techniques on off-the-shelf devices with holoimages generated by the infrastructure to demonstrate their potential role in the instructive communication of complex medical information. Results: The study team successfully developed a medical holoimaging infrastructure methodology to identify, retrieve, and manipulate real patients’ de-identified computed tomography and magnetic resonance imagesets for rendering, packaging, transfer, and display of modular holoimages onto AR/MR headset devices and connected displays. Holoimages containing key segmentations of cervical and thoracic anatomic structures and pathology were overlaid and registered onto physical task trainers for simulation-based “blind insertion” invasive procedural training. During the session, learners experienced and used task-relevant anatomic holoimages for central venous catheter and tube thoracostomy insertion training with enhanced visual cues and haptic feedback. Direct instructor access into the learner’s AR/MR headset view of the task trainer was achieved for visual-axis interactive instructional guidance. Conclusion: Investigators implemented a core holoimaging pipeline infrastructure and modular open-access repository to generate and enable access to modular holoimages during exploratory pilot stage applications for invasive procedure training that featured innovative AR/MR techniques on off-the-shelf headset devices.","author":[{"dropping-particle":"","family":"Kobayashi","given":"Leo","non-dropping-particle":"","parse-names":false,"suffix":""},{"dropping-particle":"","family":"Zhang","given":"Xiao Chi","non-dropping-particle":"","parse-names":false,"suffix":""},{"dropping-particle":"","family":"Collins","given":"Scott A.","non-dropping-particle":"","parse-names":false,"suffix":""},{"dropping-particle":"","family":"Karim","given":"Naz","non-dropping-particle":"","parse-names":false,"suffix":""},{"dropping-particle":"","family":"Merck","given":"Derek L.","non-dropping-particle":"","parse-names":false,"suffix":""}],"container-title":"Western Journal of Emergency Medicine","id":"ITEM-2","issue":"1","issued":{"date-parts":[["2018"]]},"page":"158-164","title":"Exploratory application of augmented reality/mixed reality devices for acute care procedure training","type":"article-journal","volume":"19"},"uris":["http://www.mendeley.com/documents/?uuid=baa170d1-06fe-4390-9954-b86c215357b2"]}],"mendeley":{"formattedCitation":"(Kobayashi et al., 2018; Li et al., 2020)","plainTextFormattedCitation":"(Kobayashi et al., 2018; Li et al., 2020)","previouslyFormattedCitation":"(Kobayashi et al., 2018; Li et al., 2020)"},"properties":{"noteIndex":0},"schema":"https://github.com/citation-style-language/schema/raw/master/csl-citation.json"}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(Kobayashi et al., 2018; Li et al., 2020)</w:t>
            </w:r>
            <w:r w:rsidRPr="00B92850">
              <w:rPr>
                <w:rFonts w:ascii="Arial" w:hAnsi="Arial" w:cs="Arial"/>
                <w:sz w:val="20"/>
                <w:szCs w:val="20"/>
              </w:rPr>
              <w:fldChar w:fldCharType="end"/>
            </w:r>
            <w:r w:rsidRPr="00B92850">
              <w:rPr>
                <w:rFonts w:ascii="Arial" w:hAnsi="Arial" w:cs="Arial"/>
                <w:sz w:val="20"/>
                <w:szCs w:val="20"/>
              </w:rPr>
              <w:t xml:space="preserve">; Neurology </w:t>
            </w:r>
            <w:r w:rsidRPr="00B92850">
              <w:rPr>
                <w:rFonts w:ascii="Arial" w:hAnsi="Arial" w:cs="Arial"/>
                <w:sz w:val="20"/>
                <w:szCs w:val="20"/>
              </w:rPr>
              <w:fldChar w:fldCharType="begin" w:fldLock="1"/>
            </w:r>
            <w:r w:rsidR="007000A3">
              <w:rPr>
                <w:rFonts w:ascii="Arial" w:hAnsi="Arial" w:cs="Arial"/>
                <w:sz w:val="20"/>
                <w:szCs w:val="20"/>
              </w:rPr>
              <w:instrText>ADDIN CSL_CITATION {"citationItems":[{"id":"ITEM-1","itemData":{"DOI":"10.5213/inj.1620edi005","ISBN":"0000000270458","ISSN":"2093-6931","author":[{"dropping-particle":"","family":"Kim","given":"Khae Hawn","non-dropping-particle":"","parse-names":false,"suffix":""}],"container-title":"International Neurourology Journal","id":"ITEM-1","issue":"3","issued":{"date-parts":[["2016"]]},"page":"169-170","title":"The Potential Application of Virtual, Augmented, and Mixed Reality in Neurourology","type":"article-journal","volume":"20"},"uris":["http://www.mendeley.com/documents/?uuid=7141455c-6f59-48d7-a271-98b49cbb57aa"]}],"mendeley":{"formattedCitation":"(Kim, 2016)","plainTextFormattedCitation":"(Kim, 2016)","previouslyFormattedCitation":"(K. H. Kim, 2016)"},"properties":{"noteIndex":0},"schema":"https://github.com/citation-style-language/schema/raw/master/csl-citation.json"}</w:instrText>
            </w:r>
            <w:r w:rsidRPr="00B92850">
              <w:rPr>
                <w:rFonts w:ascii="Arial" w:hAnsi="Arial" w:cs="Arial"/>
                <w:sz w:val="20"/>
                <w:szCs w:val="20"/>
              </w:rPr>
              <w:fldChar w:fldCharType="separate"/>
            </w:r>
            <w:r w:rsidR="007000A3" w:rsidRPr="007000A3">
              <w:rPr>
                <w:rFonts w:ascii="Arial" w:hAnsi="Arial" w:cs="Arial"/>
                <w:noProof/>
                <w:sz w:val="20"/>
                <w:szCs w:val="20"/>
              </w:rPr>
              <w:t>(Kim, 2016)</w:t>
            </w:r>
            <w:r w:rsidRPr="00B92850">
              <w:rPr>
                <w:rFonts w:ascii="Arial" w:hAnsi="Arial" w:cs="Arial"/>
                <w:sz w:val="20"/>
                <w:szCs w:val="20"/>
              </w:rPr>
              <w:fldChar w:fldCharType="end"/>
            </w:r>
            <w:r w:rsidRPr="00B92850">
              <w:rPr>
                <w:rFonts w:ascii="Arial" w:hAnsi="Arial" w:cs="Arial"/>
                <w:sz w:val="20"/>
                <w:szCs w:val="20"/>
              </w:rPr>
              <w:t xml:space="preserve">; Urology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{"citationItems":[{"id":"ITEM-1","itemData":{"DOI":"10.5213/inj.1632714.357","ISSN":"20936931","abstract":"Recent developments in virtual, augmented, and mixed reality have introduced a considerable number of new devices into the consumer market. This momentum is also affecting the medical and health care sector. Although many of the theoretical and practical foundations of virtual reality (VR) were already researched and experienced in the 1980s, the vastly improved features of displays, sensors, interactivity, and computing power currently available in devices offer a new field of applications to the medical sector and also to urology in particular. The purpose of this review article is to review the extent to which VR technology has already influenced certain aspects of medicine, the applications that are currently in use in urology, and the future development trends that could be expected.","author":[{"dropping-particle":"","family":"Hamacher","given":"Alaric","non-dropping-particle":"","parse-names":false,"suffix":""},{"dropping-particle":"","family":"Kim","given":"Su Jin","non-dropping-particle":"","parse-names":false,"suffix":""},{"dropping-particle":"","family":"Cho","given":"Sung Tae","non-dropping-particle":"","parse-names":false,"suffix":""},{"dropping-particle":"","family":"Pardeshi","given":"Sunil","non-dropping-particle":"","parse-names":false,"suffix":""},{"dropping-particle":"","family":"Lee","given":"Seung Hyun","non-dropping-particle":"","parse-names":false,"suffix":""},{"dropping-particle":"","family":"Eun","given":"Sung Jong","non-dropping-particle":"","parse-names":false,"suffix":""},{"dropping-particle":"","family":"Whangbo","given":"Taeg Keun","non-dropping-particle":"","parse-names":false,"suffix":""}],"container-title":"International Neurourology Journal","id":"ITEM-1","issue":"3","issued":{"date-parts":[["2016"]]},"page":"172-181","title":"Application of virtual, augmented, and mixed reality to urology","type":"article-journal","volume":"20"},"uris":["http://www.mendeley.com/documents/?uuid=0be7d048-d18e-4a11-b9be-0af30ac4bdb2"]}],"mendeley":{"formattedCitation":"(Hamacher et al., 2016)","plainTextFormattedCitation":"(Hamacher et al., 2016)","previouslyFormattedCitation":"(Hamacher et al., 2016)"},"properties":{"noteIndex":0},"schema":"https://github.com/citation-style-language/schema/raw/master/csl-citation.json"}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(Hamacher et al., 2016)</w:t>
            </w:r>
            <w:r w:rsidRPr="00B92850">
              <w:rPr>
                <w:rFonts w:ascii="Arial" w:hAnsi="Arial" w:cs="Arial"/>
                <w:sz w:val="20"/>
                <w:szCs w:val="20"/>
              </w:rPr>
              <w:fldChar w:fldCharType="end"/>
            </w:r>
            <w:r w:rsidR="002E75EA" w:rsidRPr="00B92850">
              <w:rPr>
                <w:rFonts w:ascii="Arial" w:hAnsi="Arial" w:cs="Arial"/>
                <w:sz w:val="20"/>
                <w:szCs w:val="20"/>
              </w:rPr>
              <w:t xml:space="preserve">; Mental health </w:t>
            </w:r>
            <w:r w:rsidR="002E75EA" w:rsidRPr="00B92850">
              <w:rPr>
                <w:rFonts w:ascii="Arial" w:hAnsi="Arial" w:cs="Arial"/>
                <w:sz w:val="20"/>
                <w:szCs w:val="20"/>
              </w:rPr>
              <w:fldChar w:fldCharType="begin" w:fldLock="1"/>
            </w:r>
            <w:r w:rsidR="001C6DBC" w:rsidRPr="00B92850">
              <w:rPr>
                <w:rFonts w:ascii="Arial" w:hAnsi="Arial" w:cs="Arial"/>
                <w:sz w:val="20"/>
                <w:szCs w:val="20"/>
              </w:rPr>
              <w:instrText>ADDIN CSL_CITATION {"citationItems":[{"id":"ITEM-1","itemData":{"DOI":"10.1017/S003329171700040X","ISSN":"14698978","abstract":"Mental health problems are inseparable from the environment. With virtual reality (VR), computer-generated interactive environments, individuals can repeatedly experience their problematic situations and be taught, via evidence-based psychological treatments, how to overcome difficulties. VR is moving out of specialist laboratories. Our central aim was to describe the potential of VR in mental health, including a consideration of the first 20 years of applications. A systematic review of empirical studies was conducted. In all, 285 studies were identified, with 86 concerning assessment, 45 theory development, and 154 treatment. The main disorders researched were anxiety (n = 192), schizophrenia (n = 44), substance-related disorders (n = 22) and eating disorders (n = 18). There are pioneering early studies, but the methodological quality of studies was generally low. The gaps in meaningful applications to mental health are extensive. The most established finding is that VR exposure-based treatments can reduce anxiety disorders, but there are numerous research and treatment avenues of promise. VR was found to be a much-misused term, often applied to non-interactive and non-immersive technologies. We conclude that VR has the potential to transform the assessment, understanding and treatment of mental health problems. The treatment possibilities will only be realized if - with the user experience at the heart of design - the best immersive VR technology is combined with targeted translational interventions. The capability of VR to simulate reality could greatly increase access to psychological therapies, while treatment outcomes could be enhanced by the technology's ability to create new realities. VR may merit the level of attention given to neuroimaging.","author":[{"dropping-particle":"","family":"Freeman","given":"D.","non-dropping-particle":"","parse-names":false,"suffix":""},{"dropping-particle":"","family":"Reeve","given":"S.","non-dropping-particle":"","parse-names":false,"suffix":""},{"dropping-particle":"","family":"Robinson","given":"A.","non-dropping-particle":"","parse-names":false,"suffix":""},{"dropping-particle":"","family":"Ehlers","given":"A.","non-dropping-particle":"","parse-names":false,"suffix":""},{"dropping-particle":"","family":"Clark","given":"D.","non-dropping-particle":"","parse-names":false,"suffix":""},{"dropping-particle":"","family":"Spanlang","given":"B.","non-dropping-particle":"","parse-names":false,"suffix":""},{"dropping-particle":"","family":"Slater","given":"M.","non-dropping-particle":"","parse-names":false,"suffix":""}],"container-title":"Psychological Medicine","id":"ITEM-1","issue":"14","issued":{"date-parts":[["2017"]]},"page":"2393-2400","title":"Virtual reality in the assessment, understanding, and treatment of mental health disorders","type":"article-journal","volume":"47"},"uris":["http://www.mendeley.com/documents/?uuid=a5624055-b99c-43b8-badd-0d0fb22aecbd"]}],"mendeley":{"formattedCitation":"(Freeman et al., 2017)","plainTextFormattedCitation":"(Freeman et al., 2017)","previouslyFormattedCitation":"(Freeman et al., 2017)"},"properties":{"noteIndex":0},"schema":"https://github.com/citation-style-language/schema/raw/master/csl-citation.json"}</w:instrText>
            </w:r>
            <w:r w:rsidR="002E75EA" w:rsidRPr="00B92850">
              <w:rPr>
                <w:rFonts w:ascii="Arial" w:hAnsi="Arial" w:cs="Arial"/>
                <w:sz w:val="20"/>
                <w:szCs w:val="20"/>
              </w:rPr>
              <w:fldChar w:fldCharType="separate"/>
            </w:r>
            <w:r w:rsidR="002E75EA" w:rsidRPr="00B92850">
              <w:rPr>
                <w:rFonts w:ascii="Arial" w:hAnsi="Arial" w:cs="Arial"/>
                <w:noProof/>
                <w:sz w:val="20"/>
                <w:szCs w:val="20"/>
              </w:rPr>
              <w:t>(Freeman et al., 2017)</w:t>
            </w:r>
            <w:r w:rsidR="002E75EA" w:rsidRPr="00B92850">
              <w:rPr>
                <w:rFonts w:ascii="Arial" w:hAnsi="Arial" w:cs="Arial"/>
                <w:sz w:val="20"/>
                <w:szCs w:val="20"/>
              </w:rPr>
              <w:fldChar w:fldCharType="end"/>
            </w:r>
          </w:p>
        </w:tc>
        <w:tc>
          <w:tcPr>
            <w:tcW w:w="3285" w:type="dxa"/>
            <w:shd w:val="clear" w:color="auto" w:fill="D5DCE4" w:themeFill="text2" w:themeFillTint="33"/>
            <w:noWrap/>
            <w:hideMark/>
          </w:tcPr>
          <w:p w14:paraId="2A0342CC" w14:textId="123D5BA4" w:rsidR="00730A49" w:rsidRPr="00B92850" w:rsidRDefault="002E75EA" w:rsidP="002E75EA">
            <w:pPr>
              <w:spacing w:before="120" w:after="120"/>
              <w:rPr>
                <w:rFonts w:ascii="Arial" w:eastAsia="Times New Roman" w:hAnsi="Arial" w:cs="Arial"/>
                <w:sz w:val="20"/>
                <w:szCs w:val="20"/>
                <w:lang w:eastAsia="en-GB"/>
              </w:rPr>
            </w:pPr>
            <w:r w:rsidRPr="00B92850">
              <w:rPr>
                <w:rFonts w:ascii="Arial" w:hAnsi="Arial" w:cs="Arial"/>
                <w:sz w:val="20"/>
                <w:szCs w:val="20"/>
              </w:rPr>
              <w:t>R</w:t>
            </w:r>
            <w:r w:rsidR="00730A49" w:rsidRPr="00B92850">
              <w:rPr>
                <w:rFonts w:ascii="Arial" w:hAnsi="Arial" w:cs="Arial"/>
                <w:sz w:val="20"/>
                <w:szCs w:val="20"/>
              </w:rPr>
              <w:t>eview</w:t>
            </w:r>
            <w:r w:rsidRPr="00B92850">
              <w:rPr>
                <w:rFonts w:ascii="Arial" w:hAnsi="Arial" w:cs="Arial"/>
                <w:sz w:val="20"/>
                <w:szCs w:val="20"/>
              </w:rPr>
              <w:t>s</w:t>
            </w:r>
            <w:r w:rsidR="00730A49" w:rsidRPr="00B92850">
              <w:rPr>
                <w:rFonts w:ascii="Arial" w:hAnsi="Arial" w:cs="Arial"/>
                <w:sz w:val="20"/>
                <w:szCs w:val="20"/>
              </w:rPr>
              <w:t xml:space="preserve"> </w:t>
            </w:r>
            <w:r w:rsidRPr="00B92850">
              <w:rPr>
                <w:rFonts w:ascii="Arial" w:hAnsi="Arial" w:cs="Arial"/>
                <w:sz w:val="20"/>
                <w:szCs w:val="20"/>
              </w:rPr>
              <w:t xml:space="preserve">as applied </w:t>
            </w:r>
            <w:r w:rsidR="00730A49" w:rsidRPr="00B92850">
              <w:rPr>
                <w:rFonts w:ascii="Arial" w:hAnsi="Arial" w:cs="Arial"/>
                <w:sz w:val="20"/>
                <w:szCs w:val="20"/>
              </w:rPr>
              <w:t xml:space="preserve">healthcare </w:t>
            </w:r>
            <w:r w:rsidR="00730A49"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10.1007/978-3-030-17347-0_18","ISBN":"9783030173470","author":[{"dropping-particle":"","family":"John","given":"Blooma","non-dropping-particle":"","parse-names":false,"suffix":""},{"dropping-particle":"","family":"Wickramasinghe","given":"Nilmini","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375-382","publisher":"Springer","title":"A Review of Mixed Reality in Health Care","type":"chapter"},"uris":["http://www.mendeley.com/documents/?uuid=8c21c190-825d-475e-9027-e519a1343cc1"]},{"id":"ITEM-2","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Innov","id":"ITEM-2","issue":"1","issued":{"date-parts":[["2020"]]},"page":"40-47","title":"The Era of Immersive Health Technology","type":"article-journal","volume":"4"},"uris":["http://www.mendeley.com/documents/?uuid=8edcb9fa-f801-4bf9-8bd6-a5a914177cfa"]}],"mendeley":{"formattedCitation":"(Bremner et al., 2020; John &amp; Wickramasinghe, 2020)","plainTextFormattedCitation":"(Bremner et al., 2020; John &amp; Wickramasinghe, 2020)","previouslyFormattedCitation":"(Bremner et al., 2020; John &amp; Wickramasinghe, 2020)"},"properties":{"noteIndex":0},"schema":"https://github.com/citation-style-language/schema/raw/master/csl-citation.json"}</w:instrText>
            </w:r>
            <w:r w:rsidR="00730A49" w:rsidRPr="00B92850">
              <w:rPr>
                <w:rFonts w:ascii="Arial" w:hAnsi="Arial" w:cs="Arial"/>
                <w:sz w:val="20"/>
                <w:szCs w:val="20"/>
              </w:rPr>
              <w:fldChar w:fldCharType="separate"/>
            </w:r>
            <w:r w:rsidRPr="00B92850">
              <w:rPr>
                <w:rFonts w:ascii="Arial" w:hAnsi="Arial" w:cs="Arial"/>
                <w:noProof/>
                <w:sz w:val="20"/>
                <w:szCs w:val="20"/>
              </w:rPr>
              <w:t>(Bremner et al., 2020; John &amp; Wickramasinghe, 2020)</w:t>
            </w:r>
            <w:r w:rsidR="00730A49" w:rsidRPr="00B92850">
              <w:rPr>
                <w:rFonts w:ascii="Arial" w:hAnsi="Arial" w:cs="Arial"/>
                <w:sz w:val="20"/>
                <w:szCs w:val="20"/>
              </w:rPr>
              <w:fldChar w:fldCharType="end"/>
            </w:r>
            <w:r w:rsidR="00730A49" w:rsidRPr="00B92850">
              <w:rPr>
                <w:rFonts w:ascii="Arial" w:hAnsi="Arial" w:cs="Arial"/>
                <w:sz w:val="20"/>
                <w:szCs w:val="20"/>
              </w:rPr>
              <w:t>;</w:t>
            </w:r>
          </w:p>
        </w:tc>
      </w:tr>
      <w:tr w:rsidR="00730A49" w:rsidRPr="00B92850" w14:paraId="1D5597A4" w14:textId="77777777" w:rsidTr="001804FC">
        <w:trPr>
          <w:trHeight w:val="500"/>
        </w:trPr>
        <w:tc>
          <w:tcPr>
            <w:tcW w:w="439" w:type="dxa"/>
            <w:shd w:val="clear" w:color="auto" w:fill="auto"/>
            <w:noWrap/>
          </w:tcPr>
          <w:p w14:paraId="0E304C4E" w14:textId="06931D04"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7</w:t>
            </w:r>
          </w:p>
        </w:tc>
        <w:tc>
          <w:tcPr>
            <w:tcW w:w="3043" w:type="dxa"/>
            <w:shd w:val="clear" w:color="auto" w:fill="auto"/>
            <w:hideMark/>
          </w:tcPr>
          <w:p w14:paraId="6DEC111E"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Internet of Things an Industry Internet of Things</w:t>
            </w:r>
          </w:p>
        </w:tc>
        <w:tc>
          <w:tcPr>
            <w:tcW w:w="5444" w:type="dxa"/>
            <w:shd w:val="clear" w:color="auto" w:fill="auto"/>
            <w:noWrap/>
            <w:hideMark/>
          </w:tcPr>
          <w:p w14:paraId="1459A25D" w14:textId="54AE42C0"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hAnsi="Arial" w:cs="Arial"/>
                <w:sz w:val="20"/>
                <w:szCs w:val="20"/>
              </w:rPr>
              <w:t>“</w:t>
            </w:r>
            <w:r w:rsidRPr="00B92850">
              <w:rPr>
                <w:rFonts w:ascii="Arial" w:hAnsi="Arial" w:cs="Arial"/>
                <w:i/>
                <w:sz w:val="20"/>
                <w:szCs w:val="20"/>
              </w:rPr>
              <w:t>a network of devices all embedded with electronics, software, sensors, and connectivity to enable them to connect, interconnect, and exchange data</w:t>
            </w:r>
            <w:r w:rsidRPr="00B92850">
              <w:rPr>
                <w:rFonts w:ascii="Arial" w:hAnsi="Arial" w:cs="Arial"/>
                <w:sz w:val="20"/>
                <w:szCs w:val="20"/>
              </w:rPr>
              <w:t xml:space="preserve">”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(Wickramasinghe &amp; Bodendorf, 2020)</w:t>
            </w:r>
            <w:r w:rsidRPr="00B92850">
              <w:rPr>
                <w:rFonts w:ascii="Arial" w:hAnsi="Arial" w:cs="Arial"/>
                <w:sz w:val="20"/>
                <w:szCs w:val="20"/>
              </w:rPr>
              <w:fldChar w:fldCharType="end"/>
            </w:r>
          </w:p>
        </w:tc>
        <w:tc>
          <w:tcPr>
            <w:tcW w:w="2810" w:type="dxa"/>
            <w:shd w:val="clear" w:color="auto" w:fill="auto"/>
            <w:noWrap/>
            <w:hideMark/>
          </w:tcPr>
          <w:p w14:paraId="4DB68401" w14:textId="77777777" w:rsidR="00730A49" w:rsidRPr="00B92850" w:rsidRDefault="00730A49" w:rsidP="00C93CB9">
            <w:pPr>
              <w:spacing w:before="120" w:after="120"/>
              <w:rPr>
                <w:rFonts w:ascii="Arial" w:eastAsia="Times New Roman" w:hAnsi="Arial" w:cs="Arial"/>
                <w:sz w:val="20"/>
                <w:szCs w:val="20"/>
                <w:lang w:eastAsia="en-GB"/>
              </w:rPr>
            </w:pPr>
          </w:p>
        </w:tc>
        <w:tc>
          <w:tcPr>
            <w:tcW w:w="3285" w:type="dxa"/>
            <w:shd w:val="clear" w:color="auto" w:fill="auto"/>
            <w:noWrap/>
            <w:hideMark/>
          </w:tcPr>
          <w:p w14:paraId="6DF2F95F" w14:textId="1E2645A0"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Managing the risks of IoT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(Paxton &amp; Branca, 2020)</w:t>
            </w:r>
            <w:r w:rsidRPr="00B92850">
              <w:rPr>
                <w:rFonts w:ascii="Arial" w:hAnsi="Arial" w:cs="Arial"/>
                <w:sz w:val="20"/>
                <w:szCs w:val="20"/>
              </w:rPr>
              <w:fldChar w:fldCharType="end"/>
            </w:r>
          </w:p>
        </w:tc>
      </w:tr>
      <w:tr w:rsidR="00730A49" w:rsidRPr="00B92850" w14:paraId="5072C0AD" w14:textId="77777777" w:rsidTr="00B92850">
        <w:trPr>
          <w:trHeight w:val="500"/>
        </w:trPr>
        <w:tc>
          <w:tcPr>
            <w:tcW w:w="439" w:type="dxa"/>
            <w:shd w:val="clear" w:color="auto" w:fill="D5DCE4" w:themeFill="text2" w:themeFillTint="33"/>
            <w:noWrap/>
          </w:tcPr>
          <w:p w14:paraId="77A7383B" w14:textId="54CCCEE2"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8</w:t>
            </w:r>
          </w:p>
        </w:tc>
        <w:tc>
          <w:tcPr>
            <w:tcW w:w="3043" w:type="dxa"/>
            <w:shd w:val="clear" w:color="auto" w:fill="D5DCE4" w:themeFill="text2" w:themeFillTint="33"/>
            <w:hideMark/>
          </w:tcPr>
          <w:p w14:paraId="65251E7A"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A.I.-assisted clinical decision support</w:t>
            </w:r>
          </w:p>
        </w:tc>
        <w:tc>
          <w:tcPr>
            <w:tcW w:w="5444" w:type="dxa"/>
            <w:shd w:val="clear" w:color="auto" w:fill="D5DCE4" w:themeFill="text2" w:themeFillTint="33"/>
            <w:noWrap/>
            <w:hideMark/>
          </w:tcPr>
          <w:p w14:paraId="5C0F0FA7" w14:textId="561CB7CE" w:rsidR="00730A49" w:rsidRPr="00B92850" w:rsidRDefault="00B92850"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Any </w:t>
            </w:r>
            <w:r w:rsidR="007000A3">
              <w:rPr>
                <w:rFonts w:ascii="Arial" w:eastAsia="Times New Roman" w:hAnsi="Arial" w:cs="Arial"/>
                <w:color w:val="000000"/>
                <w:sz w:val="20"/>
                <w:szCs w:val="20"/>
                <w:lang w:eastAsia="en-GB"/>
              </w:rPr>
              <w:t>software that informs a clinical decision or prompts clinical action.</w:t>
            </w:r>
          </w:p>
        </w:tc>
        <w:tc>
          <w:tcPr>
            <w:tcW w:w="2810" w:type="dxa"/>
            <w:shd w:val="clear" w:color="auto" w:fill="D5DCE4" w:themeFill="text2" w:themeFillTint="33"/>
            <w:noWrap/>
            <w:hideMark/>
          </w:tcPr>
          <w:p w14:paraId="48D851A2" w14:textId="44EBD064" w:rsidR="00730A49" w:rsidRPr="00B92850" w:rsidRDefault="001C6DBC" w:rsidP="001C6DBC">
            <w:pPr>
              <w:spacing w:before="120" w:after="120"/>
              <w:rPr>
                <w:rFonts w:ascii="Arial" w:eastAsia="Times New Roman" w:hAnsi="Arial" w:cs="Arial"/>
                <w:sz w:val="20"/>
                <w:szCs w:val="20"/>
                <w:lang w:eastAsia="en-GB"/>
              </w:rPr>
            </w:pPr>
            <w:r w:rsidRPr="00B92850">
              <w:rPr>
                <w:rFonts w:ascii="Arial" w:eastAsia="Times New Roman" w:hAnsi="Arial" w:cs="Arial"/>
                <w:sz w:val="20"/>
                <w:szCs w:val="20"/>
                <w:lang w:eastAsia="en-GB"/>
              </w:rPr>
              <w:t xml:space="preserve">Sepsis </w:t>
            </w:r>
            <w:r w:rsidRPr="00B92850">
              <w:rPr>
                <w:rFonts w:ascii="Arial" w:eastAsia="Times New Roman" w:hAnsi="Arial" w:cs="Arial"/>
                <w:sz w:val="20"/>
                <w:szCs w:val="20"/>
                <w:lang w:eastAsia="en-GB"/>
              </w:rPr>
              <w:fldChar w:fldCharType="begin" w:fldLock="1"/>
            </w:r>
            <w:r w:rsidR="007000A3">
              <w:rPr>
                <w:rFonts w:ascii="Arial" w:eastAsia="Times New Roman" w:hAnsi="Arial" w:cs="Arial"/>
                <w:sz w:val="20"/>
                <w:szCs w:val="20"/>
                <w:lang w:eastAsia="en-GB"/>
              </w:rPr>
              <w:instrText>ADDIN CSL_CITATION {"citationItems":[{"id":"ITEM-1","itemData":{"DOI":"10.1038/s41591-018-0213-5","ISSN":"1546170X","abstract":"From 2017 to 2018 the number of scientific publications found via PubMed search using the keyword \"Machine Learning\" increased by 46% (4,317 to 6,307). The results of studies involving machine learning, artificial intelligence (AI), and big data have captured the attention of healthcare practitioners, healthcare managers, and the public at a time when Western medicine grapples with unmitigated cost increases and public demands for accountability. The complexity involved in healthcare applications of machine learning and the size of the associated data sets has afforded many researchers an uncontested opportunity to satisfy these demands with relatively little oversight. In a recent Nature Medicine article, \"The Artificial Intelligence Clinician learns optimal treatment strategies for sepsis in intensive care,\" Komorowski and his coauthors propose methods to train an artificial intelligence clinician to treat sepsis patients with vasopressors and IV fluids. In this post, we will closely examine the claims laid out in this paper. In particular, we will study the individual treatment profiles suggested by their AI Clinician to gain insight into how their AI Clinician intends to treat patients on an individual level.","author":[{"dropping-particle":"","family":"Komorowski","given":"Matthieu","non-dropping-particle":"","parse-names":false,"suffix":""},{"dropping-particle":"","family":"Celi","given":"Leo A.","non-dropping-particle":"","parse-names":false,"suffix":""},{"dropping-particle":"","family":"Badawi","given":"Omar","non-dropping-particle":"","parse-names":false,"suffix":""},{"dropping-particle":"","family":"Gordon","given":"Anthony C.","non-dropping-particle":"","parse-names":false,"suffix":""},{"dropping-particle":"","family":"Faisal","given":"A. Aldo","non-dropping-particle":"","parse-names":false,"suffix":""}],"container-title":"Nature Medicine","id":"ITEM-1","issue":"11","issued":{"date-parts":[["2018"]]},"page":"1716-1720","publisher":"Springer US","title":"The Artificial Intelligence Clinician learns optimal treatment strategies for sepsis in intensive care","type":"article-journal","volume":"24"},"uris":["http://www.mendeley.com/documents/?uuid=9e14236e-bff5-492b-81f5-376280cad94b"]},{"id":"ITEM-2","itemData":{"DOI":"10.2471/BLT.19.237487","ISSN":"0045-5075","author":[{"dropping-particle":"","family":"Habli","given":"Ibrahim","non-dropping-particle":"","parse-names":false,"suffix":""},{"dropping-particle":"","family":"Lawton","given":"Tom","non-dropping-particle":"","parse-names":false,"suffix":""},{"dropping-particle":"","family":"Porter","given":"Zoe","non-dropping-particle":"","parse-names":false,"suffix":""}],"container-title":"Bull World Health Organ","id":"ITEM-2","issued":{"date-parts":[["2020"]]},"page":"251-256","title":"Artificial Intelligence in Health Care: Accountability and safety","type":"article-journal","volume":"98"},"uris":["http://www.mendeley.com/documents/?uuid=bc77445e-b5e6-454b-b935-19436fab6e70"]}],"mendeley":{"formattedCitation":"(Habli et al., 2020; Komorowski et al., 2018)","manualFormatting":"(Komorowski et al., 2018 with critique by Habli et al., 2020)","plainTextFormattedCitation":"(Habli et al., 2020; Komorowski et al., 2018)","previouslyFormattedCitation":"(Habli et al., 2020; Komorowski et al., 2018)"},"properties":{"noteIndex":0},"schema":"https://github.com/citation-style-language/schema/raw/master/csl-citation.json"}</w:instrText>
            </w:r>
            <w:r w:rsidRPr="00B92850">
              <w:rPr>
                <w:rFonts w:ascii="Arial" w:eastAsia="Times New Roman" w:hAnsi="Arial" w:cs="Arial"/>
                <w:sz w:val="20"/>
                <w:szCs w:val="20"/>
                <w:lang w:eastAsia="en-GB"/>
              </w:rPr>
              <w:fldChar w:fldCharType="separate"/>
            </w:r>
            <w:r w:rsidRPr="00B92850">
              <w:rPr>
                <w:rFonts w:ascii="Arial" w:eastAsia="Times New Roman" w:hAnsi="Arial" w:cs="Arial"/>
                <w:noProof/>
                <w:sz w:val="20"/>
                <w:szCs w:val="20"/>
                <w:lang w:eastAsia="en-GB"/>
              </w:rPr>
              <w:t>(Komorowski et al., 2018 with critique by Habli et al., 2020)</w:t>
            </w:r>
            <w:r w:rsidRPr="00B92850">
              <w:rPr>
                <w:rFonts w:ascii="Arial" w:eastAsia="Times New Roman" w:hAnsi="Arial" w:cs="Arial"/>
                <w:sz w:val="20"/>
                <w:szCs w:val="20"/>
                <w:lang w:eastAsia="en-GB"/>
              </w:rPr>
              <w:fldChar w:fldCharType="end"/>
            </w:r>
          </w:p>
        </w:tc>
        <w:tc>
          <w:tcPr>
            <w:tcW w:w="3285" w:type="dxa"/>
            <w:shd w:val="clear" w:color="auto" w:fill="D5DCE4" w:themeFill="text2" w:themeFillTint="33"/>
            <w:noWrap/>
            <w:hideMark/>
          </w:tcPr>
          <w:p w14:paraId="2DC09722" w14:textId="207FAAD1"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Opinion on AI for CDS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{"citationItems":[{"id":"ITEM-1","itemData":{"DOI":"10.1001/jama.2018.17163","ISBN":"0003481910646","ISSN":"15383598","author":[{"dropping-particle":"","family":"Shortliffe","given":"Edward H.","non-dropping-particle":"","parse-names":false,"suffix":""},{"dropping-particle":"","family":"Sepúlveda","given":"Martin J.","non-dropping-particle":"","parse-names":false,"suffix":""}],"container-title":"JAMA - Journal of the American Medical Association","id":"ITEM-1","issue":"21","issued":{"date-parts":[["2018"]]},"page":"2199-2200","title":"Clinical Decision Support in the Era of Artificial Intelligence","type":"article-journal","volume":"320"},"uris":["http://www.mendeley.com/documents/?uuid=b1d221fa-7d7f-4250-96d9-532f5d66bb5d"]}],"mendeley":{"formattedCitation":"(Shortliffe &amp; Sepúlveda, 2018)","plainTextFormattedCitation":"(Shortliffe &amp; Sepúlveda, 2018)","previouslyFormattedCitation":"(Shortliffe &amp; Sepúlveda, 2018)"},"properties":{"noteIndex":0},"schema":"https://github.com/citation-style-language/schema/raw/master/csl-citation.json"}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(Shortliffe &amp; Sepúlveda, 2018)</w:t>
            </w:r>
            <w:r w:rsidRPr="00B92850">
              <w:rPr>
                <w:rFonts w:ascii="Arial" w:hAnsi="Arial" w:cs="Arial"/>
                <w:sz w:val="20"/>
                <w:szCs w:val="20"/>
              </w:rPr>
              <w:fldChar w:fldCharType="end"/>
            </w:r>
            <w:r w:rsidRPr="00B92850">
              <w:rPr>
                <w:rFonts w:ascii="Arial" w:hAnsi="Arial" w:cs="Arial"/>
                <w:sz w:val="20"/>
                <w:szCs w:val="20"/>
              </w:rPr>
              <w:t xml:space="preserve">; Methodological appraisal of A.I. approaches for suitability to CDS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{"citationItems":[{"id":"ITEM-1","itemData":{"DOI":"10.1109/SAI.2015.7237196","ISBN":"9781479985470","abstract":"Intelligent clinical decision support systems have been increasingly used in health care organisations. These systems are intended to help physicians in their diagnosis procedures; making decisions more accurate and effective, minimising medical errors, improving patient safety and reducing costs. However, the effectiveness and accuracy of these systems largely depend on the underlying AI technique that has been used, where same clinical-related problem can be solved using more than one AI technique which may provide different outcomes. Consequently, it is crucial to figure out the ideal utilisation of AI techniques in the clinical decision support systems. Our research study reviews various researches which utilised Artificial Intelligence techniques in clinical decision support systems with the aim of identifying basic criterion for adequate use of intelligent techniques within such systems. This paper presents a yes/no inquiry approach based on observations of previous research studies. The objective of this inquiry is to facilitate the selection of the most beneficial and effective AI technique that can be applied in the medical decision support system to provide the best outcomes.","author":[{"dropping-particle":"","family":"Aljaaf","given":"Ahmed J.","non-dropping-particle":"","parse-names":false,"suffix":""},{"dropping-particle":"","family":"Al-Jumeily","given":"Dhiya","non-dropping-particle":"","parse-names":false,"suffix":""},{"dropping-particle":"","family":"Hussain","given":"Abir J.","non-dropping-particle":"","parse-names":false,"suffix":""},{"dropping-particle":"","family":"Fergus","given":"Paul","non-dropping-particle":"","parse-names":false,"suffix":""},{"dropping-particle":"","family":"Al-Jumaily","given":"Mohammed","non-dropping-particle":"","parse-names":false,"suffix":""},{"dropping-particle":"","family":"Abdel-Aziz","given":"Khaled","non-dropping-particle":"","parse-names":false,"suffix":""}],"container-title":"Proceedings of the 2015 Science and Information Conference, SAI 2015","id":"ITEM-1","issued":{"date-parts":[["2015"]]},"page":"548-554","publisher":"IEEE","title":"Toward an optimal use of artificial intelligence techniques within a clinical decision support system","type":"article-journal"},"uris":["http://www.mendeley.com/documents/?uuid=e6d341cc-bd92-4e26-9692-1d207cfe0bda"]},{"id":"ITEM-2","itemData":{"author":[{"dropping-particle":"","family":"Abbasi","given":"M. M.","non-dropping-particle":"","parse-names":false,"suffix":""},{"dropping-particle":"","family":"Kashiyarndi","given":"S","non-dropping-particle":"","parse-names":false,"suffix":""}],"id":"ITEM-2","issued":{"date-parts":[["2006"]]},"title":"Clinical Decision Support Systems: A discussion on different methodologies used in Health Care","type":"article"},"uris":["http://www.mendeley.com/documents/?uuid=7806cdc7-5927-4772-badd-2777cd9d1dca"]}],"mendeley":{"formattedCitation":"(Abbasi &amp; Kashiyarndi, 2006; Aljaaf et al., 2015)","plainTextFormattedCitation":"(Abbasi &amp; Kashiyarndi, 2006; Aljaaf et al., 2015)","previouslyFormattedCitation":"(Abbasi &amp; Kashiyarndi, 2006; Aljaaf et al., 2015)"},"properties":{"noteIndex":0},"schema":"https://github.com/citation-style-language/schema/raw/master/csl-citation.json"}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(Abbasi &amp; Kashiyarndi, 2006; Aljaaf et al., 2015)</w:t>
            </w:r>
            <w:r w:rsidRPr="00B92850">
              <w:rPr>
                <w:rFonts w:ascii="Arial" w:hAnsi="Arial" w:cs="Arial"/>
                <w:sz w:val="20"/>
                <w:szCs w:val="20"/>
              </w:rPr>
              <w:fldChar w:fldCharType="end"/>
            </w:r>
          </w:p>
        </w:tc>
      </w:tr>
      <w:tr w:rsidR="00730A49" w:rsidRPr="00B27AA8" w14:paraId="425E48AC" w14:textId="77777777" w:rsidTr="00B27AA8">
        <w:trPr>
          <w:trHeight w:val="500"/>
        </w:trPr>
        <w:tc>
          <w:tcPr>
            <w:tcW w:w="439" w:type="dxa"/>
            <w:noWrap/>
          </w:tcPr>
          <w:p w14:paraId="5AF36A45" w14:textId="5029A94A" w:rsidR="00730A49" w:rsidRPr="00B92850" w:rsidRDefault="001804FC" w:rsidP="00C93CB9">
            <w:pPr>
              <w:spacing w:before="120" w:after="120"/>
              <w:jc w:val="center"/>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9</w:t>
            </w:r>
          </w:p>
        </w:tc>
        <w:tc>
          <w:tcPr>
            <w:tcW w:w="3043" w:type="dxa"/>
            <w:hideMark/>
          </w:tcPr>
          <w:p w14:paraId="4740B84D" w14:textId="77777777"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Mobile health app's and Patient Portals</w:t>
            </w:r>
          </w:p>
        </w:tc>
        <w:tc>
          <w:tcPr>
            <w:tcW w:w="5444" w:type="dxa"/>
            <w:noWrap/>
            <w:hideMark/>
          </w:tcPr>
          <w:p w14:paraId="18EB36A5" w14:textId="1807DFB2" w:rsidR="00730A49" w:rsidRPr="00B92850" w:rsidRDefault="00730A49" w:rsidP="00C93CB9">
            <w:pPr>
              <w:spacing w:before="120" w:after="120"/>
              <w:rPr>
                <w:rFonts w:ascii="Arial" w:eastAsia="Times New Roman" w:hAnsi="Arial" w:cs="Arial"/>
                <w:color w:val="000000"/>
                <w:sz w:val="20"/>
                <w:szCs w:val="20"/>
                <w:lang w:eastAsia="en-GB"/>
              </w:rPr>
            </w:pPr>
            <w:r w:rsidRPr="00B92850">
              <w:rPr>
                <w:rFonts w:ascii="Arial" w:eastAsia="Times New Roman" w:hAnsi="Arial" w:cs="Arial"/>
                <w:color w:val="000000"/>
                <w:sz w:val="20"/>
                <w:szCs w:val="20"/>
                <w:lang w:eastAsia="en-GB"/>
              </w:rPr>
              <w:t>Clinicians’ mobile access to electronic healthcare records, and patient access to their own electronic healthcare record.</w:t>
            </w:r>
          </w:p>
        </w:tc>
        <w:tc>
          <w:tcPr>
            <w:tcW w:w="2810" w:type="dxa"/>
            <w:noWrap/>
            <w:hideMark/>
          </w:tcPr>
          <w:p w14:paraId="129C1529" w14:textId="708E3D68" w:rsidR="00730A49" w:rsidRPr="00B92850"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Pharmacist-facing, medication-review app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{"citationItems":[{"id":"ITEM-1","itemData":{"DOI":"10.1155/2017/3195369","ISSN":"23146141","abstract":"We selected iOS in this study as the App operation system, Objective-C as the programming language, and Oracle as the database to develop an App to inspect controlled substances in patient care units. Using a web-enabled smartphone, pharmacist inspection can be performed on site and the inspection result can be directly recorded into HIS through the Internet, so human error of data translation can be minimized and the work efficiency and data processing can be improved. This system not only is fast and convenient compared to the conventional paperwork, but also provides data security and accuracy. In addition, there are several features to increase inspecting quality: (1) accuracy of drug appearance, (2) foolproof mechanism to avoid input errors or miss, (3) automatic data conversion without human judgments, (4) online alarm of expiry date, and (5) instant inspection result to show not meted items. This study has successfully turned paper-based medication inspection into inspection using a web-based mobile device.","author":[{"dropping-particle":"","family":"Lu","given":"Ying Hao","non-dropping-particle":"","parse-names":false,"suffix":""},{"dropping-particle":"","family":"Lee","given":"Li Yao","non-dropping-particle":"","parse-names":false,"suffix":""},{"dropping-particle":"","family":"Chen","given":"Ying Lan","non-dropping-particle":"","parse-names":false,"suffix":""},{"dropping-particle":"","family":"Cheng","given":"Hsing I.","non-dropping-particle":"","parse-names":false,"suffix":""},{"dropping-particle":"","family":"Tsai","given":"Wen Tsung","non-dropping-particle":"","parse-names":false,"suffix":""},{"dropping-particle":"","family":"Kuo","given":"Chen Chun","non-dropping-particle":"","parse-names":false,"suffix":""},{"dropping-particle":"","family":"Chen","given":"Chung Yu","non-dropping-particle":"","parse-names":false,"suffix":""},{"dropping-particle":"Bin","family":"Huang","given":"Yaw","non-dropping-particle":"","parse-names":false,"suffix":""}],"container-title":"BioMed Research International","id":"ITEM-1","issue":"December 2014","issued":{"date-parts":[["2017"]]},"title":"Developing an App by Exploiting Web-Based Mobile Technology to Inspect Controlled Substances in Patient Care Units","type":"article-journal","volume":"2017"},"uris":["http://www.mendeley.com/documents/?uuid=ea263603-8c64-4703-88f0-09c01980e538"]}],"mendeley":{"formattedCitation":"(Lu et al., 2017)","plainTextFormattedCitation":"(Lu et al., 2017)","previouslyFormattedCitation":"(Lu et al., 2017)"},"properties":{"noteIndex":0},"schema":"https://github.com/citation-style-language/schema/raw/master/csl-citation.json"}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(Lu et al., 2017)</w:t>
            </w:r>
            <w:r w:rsidRPr="00B92850">
              <w:rPr>
                <w:rFonts w:ascii="Arial" w:hAnsi="Arial" w:cs="Arial"/>
                <w:sz w:val="20"/>
                <w:szCs w:val="20"/>
              </w:rPr>
              <w:fldChar w:fldCharType="end"/>
            </w:r>
            <w:r w:rsidRPr="00B92850">
              <w:rPr>
                <w:rFonts w:ascii="Arial" w:hAnsi="Arial" w:cs="Arial"/>
                <w:sz w:val="20"/>
                <w:szCs w:val="20"/>
              </w:rPr>
              <w:t xml:space="preserve">; Patient portal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{"citationItems":[{"id":"ITEM-1","itemData":{"DOI":"10.2196/resprot.6355","ISSN":"1929-0748","abstract":"BACKGROUND For patients with complex care needs, engagement in disease management activities is critical. Chronic illnesses touch almost every person in the United States. The costs are real, personal, and pervasive. In response, patients often seek tools to help them manage their health. Patient portals, personal health records tethered to an electronic health record, show promise as tools that patients value and that can improve health. Although patient portals currently focus on the outpatient experience, the Ohio State University Wexner Medical Center (OSUWMC) has deployed a portal designed specifically for the inpatient experience that is connected to the ambulatory patient portal available after discharge. While this inpatient technology is in active use at only one other hospital in the United States, health care facilities are currently investing in infrastructure necessary to support large-scale deployment. Times of acute crisis such as hospitalization may increase a patient's focus on his/her health. During this time, patients may be more engaged with their care and especially interested in using tools to manage their health after discharge. Evidence shows that enhanced patient self-management can lead to better control of chronic illness. Patient portals may serve as a mechanism to facilitate increased engagement. OBJECTIVE The specific aims of our study are (1) to investigate the independent effects of providing both High Tech and High Touch interventions on patient-reported outcomes at discharge, including patients' self-efficacy for managing chronic conditions and satisfaction with care; and (2) to conduct a mixed-methods analysis to determine how providing patients with access to MyChart Bedside (MCB, High Tech) and training/education on patient portals, and MyChart Ambulatory (MCA, High Touch) will influence engagement with the patient portal and relate to longer-term outcomes. METHODS Our proposed 4-year study uses a mixed-methods research (MMR) approach to evaluate a randomized controlled trial studying the effectiveness of a High Tech intervention (MCB, the inpatient portal), and an accompanying High Touch intervention (training patients to use the portal to manage their care and conditions) in a sample of hospitalized patients with two or more chronic conditions. This study measures how access to a patient portal tailored to the inpatient stay can improve patient experience and increase patient engagement by (1) improving patients' p…","author":[{"dropping-particle":"","family":"McAlearney","given":"Ann Scheck","non-dropping-particle":"","parse-names":false,"suffix":""},{"dropping-particle":"","family":"Sieck","given":"Cynthia J","non-dropping-particle":"","parse-names":false,"suffix":""},{"dropping-particle":"","family":"Hefner","given":"Jennifer L","non-dropping-particle":"","parse-names":false,"suffix":""},{"dropping-particle":"","family":"Aldrich","given":"Alison M","non-dropping-particle":"","parse-names":false,"suffix":""},{"dropping-particle":"","family":"Walker","given":"Daniel M","non-dropping-particle":"","parse-names":false,"suffix":""},{"dropping-particle":"","family":"Rizer","given":"Milisa K","non-dropping-particle":"","parse-names":false,"suffix":""},{"dropping-particle":"","family":"Moffatt-Bruce","given":"Susan D","non-dropping-particle":"","parse-names":false,"suffix":""},{"dropping-particle":"","family":"Huerta","given":"Timothy R","non-dropping-particle":"","parse-names":false,"suffix":""}],"container-title":"JMIR Research Protocols","id":"ITEM-1","issue":"4","issued":{"date-parts":[["2016"]]},"page":"e221","title":"High Touch and High Tech (HT2) Proposal: Transforming Patient Engagement Throughout the Continuum of Care by Engaging Patients with Portal Technology at the Bedside","type":"article-journal","volume":"5"},"uris":["http://www.mendeley.com/documents/?uuid=2c771017-ae0c-4159-827c-b72c55648de2"]}],"mendeley":{"formattedCitation":"(McAlearney et al., 2016)","plainTextFormattedCitation":"(McAlearney et al., 2016)","previouslyFormattedCitation":"(McAlearney et al., 2016)"},"properties":{"noteIndex":0},"schema":"https://github.com/citation-style-language/schema/raw/master/csl-citation.json"}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(McAlearney et al., 2016)</w:t>
            </w:r>
            <w:r w:rsidRPr="00B92850">
              <w:rPr>
                <w:rFonts w:ascii="Arial" w:hAnsi="Arial" w:cs="Arial"/>
                <w:sz w:val="20"/>
                <w:szCs w:val="20"/>
              </w:rPr>
              <w:fldChar w:fldCharType="end"/>
            </w:r>
          </w:p>
        </w:tc>
        <w:tc>
          <w:tcPr>
            <w:tcW w:w="3285" w:type="dxa"/>
            <w:noWrap/>
            <w:hideMark/>
          </w:tcPr>
          <w:p w14:paraId="08E488BC" w14:textId="447A99A3" w:rsidR="00730A49" w:rsidRPr="00B27AA8" w:rsidRDefault="00730A49" w:rsidP="00C93CB9">
            <w:pPr>
              <w:spacing w:before="120" w:after="120"/>
              <w:rPr>
                <w:rFonts w:ascii="Arial" w:eastAsia="Times New Roman" w:hAnsi="Arial" w:cs="Arial"/>
                <w:sz w:val="20"/>
                <w:szCs w:val="20"/>
                <w:lang w:eastAsia="en-GB"/>
              </w:rPr>
            </w:pPr>
            <w:r w:rsidRPr="00B92850">
              <w:rPr>
                <w:rFonts w:ascii="Arial" w:hAnsi="Arial" w:cs="Arial"/>
                <w:sz w:val="20"/>
                <w:szCs w:val="20"/>
              </w:rPr>
              <w:t xml:space="preserve">Gaps in mobile patient portal service to enable patient-centred care </w:t>
            </w:r>
            <w:r w:rsidRPr="00B92850">
              <w:rPr>
                <w:rFonts w:ascii="Arial" w:hAnsi="Arial" w:cs="Arial"/>
                <w:sz w:val="20"/>
                <w:szCs w:val="20"/>
              </w:rPr>
              <w:fldChar w:fldCharType="begin" w:fldLock="1"/>
            </w:r>
            <w:r w:rsidRPr="00B92850">
              <w:rPr>
                <w:rFonts w:ascii="Arial" w:hAnsi="Arial" w:cs="Arial"/>
                <w:sz w:val="20"/>
                <w:szCs w:val="20"/>
              </w:rPr>
              <w:instrText>ADDIN CSL_CITATION {"citationItems":[{"id":"ITEM-1","itemData":{"DOI":"10.1007/978-3-030-17347-0_29","ISBN":"9783030173470","author":[{"dropping-particle":"","family":"Noteboom","given":"Cherie","non-dropping-particle":"","parse-names":false,"suffix":""},{"dropping-particle":"","family":"Abdel-Rahman","given":"Mohammad","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587-602","publisher":"Springer","title":"Toward Actionable Knowledge: A Systematic Analysis of Mobile Patient Portal Use","type":"chapter"},"uris":["http://www.mendeley.com/documents/?uuid=d7dcb52d-5bc0-413b-8555-0feb49088305"]}],"mendeley":{"formattedCitation":"(Noteboom &amp; Abdel-Rahman, 2020)","plainTextFormattedCitation":"(Noteboom &amp; Abdel-Rahman, 2020)","previouslyFormattedCitation":"(Noteboom &amp; Abdel-Rahman, 2020)"},"properties":{"noteIndex":0},"schema":"https://github.com/citation-style-language/schema/raw/master/csl-citation.json"}</w:instrText>
            </w:r>
            <w:r w:rsidRPr="00B92850">
              <w:rPr>
                <w:rFonts w:ascii="Arial" w:hAnsi="Arial" w:cs="Arial"/>
                <w:sz w:val="20"/>
                <w:szCs w:val="20"/>
              </w:rPr>
              <w:fldChar w:fldCharType="separate"/>
            </w:r>
            <w:r w:rsidRPr="00B92850">
              <w:rPr>
                <w:rFonts w:ascii="Arial" w:hAnsi="Arial" w:cs="Arial"/>
                <w:noProof/>
                <w:sz w:val="20"/>
                <w:szCs w:val="20"/>
              </w:rPr>
              <w:t>(Noteboom &amp; Abdel-Rahman, 2020)</w:t>
            </w:r>
            <w:r w:rsidRPr="00B92850">
              <w:rPr>
                <w:rFonts w:ascii="Arial" w:hAnsi="Arial" w:cs="Arial"/>
                <w:sz w:val="20"/>
                <w:szCs w:val="20"/>
              </w:rPr>
              <w:fldChar w:fldCharType="end"/>
            </w:r>
          </w:p>
        </w:tc>
      </w:tr>
    </w:tbl>
    <w:p w14:paraId="3616C70D" w14:textId="77777777" w:rsidR="00782CC2" w:rsidRPr="00B27AA8" w:rsidRDefault="00782CC2">
      <w:pPr>
        <w:rPr>
          <w:rFonts w:ascii="Arial" w:hAnsi="Arial" w:cs="Arial"/>
          <w:sz w:val="20"/>
          <w:szCs w:val="20"/>
        </w:rPr>
      </w:pPr>
    </w:p>
    <w:sectPr w:rsidR="00782CC2" w:rsidRPr="00B27AA8" w:rsidSect="001A44B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07334"/>
    <w:rsid w:val="000E0FC4"/>
    <w:rsid w:val="00106D11"/>
    <w:rsid w:val="00131B5D"/>
    <w:rsid w:val="001804FC"/>
    <w:rsid w:val="001A44B7"/>
    <w:rsid w:val="001C6DBC"/>
    <w:rsid w:val="001E232F"/>
    <w:rsid w:val="0022282F"/>
    <w:rsid w:val="002B1538"/>
    <w:rsid w:val="002E75EA"/>
    <w:rsid w:val="003911CC"/>
    <w:rsid w:val="004D1594"/>
    <w:rsid w:val="0058573C"/>
    <w:rsid w:val="006E3405"/>
    <w:rsid w:val="006F548D"/>
    <w:rsid w:val="007000A3"/>
    <w:rsid w:val="00730A49"/>
    <w:rsid w:val="00782CC2"/>
    <w:rsid w:val="009E7AB8"/>
    <w:rsid w:val="00B27AA8"/>
    <w:rsid w:val="00B92850"/>
    <w:rsid w:val="00BB64DA"/>
    <w:rsid w:val="00C93CB9"/>
    <w:rsid w:val="00DC0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3.xml><?xml version="1.0" encoding="utf-8"?>
<ds:datastoreItem xmlns:ds="http://schemas.openxmlformats.org/officeDocument/2006/customXml" ds:itemID="{4EB54A27-10A4-4611-8CAC-182A1D5EAE7B}">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5e36aeda-f48f-46f3-9de8-7474189645c5"/>
    <ds:schemaRef ds:uri="bbd61249-83b9-438e-a84b-789da273a8cb"/>
    <ds:schemaRef ds:uri="http://www.w3.org/XML/1998/namespace"/>
  </ds:schemaRefs>
</ds:datastoreItem>
</file>

<file path=customXml/itemProps4.xml><?xml version="1.0" encoding="utf-8"?>
<ds:datastoreItem xmlns:ds="http://schemas.openxmlformats.org/officeDocument/2006/customXml" ds:itemID="{2A6E2289-EA7D-4ED3-B136-50F67C891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14874</Words>
  <Characters>84788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4</cp:revision>
  <dcterms:created xsi:type="dcterms:W3CDTF">2020-04-16T08:38:00Z</dcterms:created>
  <dcterms:modified xsi:type="dcterms:W3CDTF">2020-04-16T11:20:00Z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