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BA5A47"/>
    <w:p w14:paraId="50B88A05" w14:textId="77777777" w:rsidR="006D4CAF" w:rsidRDefault="006D4CAF"/>
    <w:p w14:paraId="5293D175" w14:textId="114DC93A" w:rsidR="006D4CAF" w:rsidRPr="00E97300" w:rsidRDefault="00AA6BB1" w:rsidP="00E97300">
      <w:pPr>
        <w:jc w:val="center"/>
        <w:rPr>
          <w:sz w:val="32"/>
        </w:rPr>
      </w:pPr>
      <w:r>
        <w:rPr>
          <w:sz w:val="32"/>
        </w:rPr>
        <w:t>Patient-safety</w:t>
      </w:r>
      <w:r w:rsidRPr="00E97300">
        <w:rPr>
          <w:sz w:val="32"/>
        </w:rPr>
        <w:t xml:space="preserve"> </w:t>
      </w:r>
      <w:r w:rsidR="00AC4731" w:rsidRPr="00E97300">
        <w:rPr>
          <w:sz w:val="32"/>
        </w:rPr>
        <w:t xml:space="preserve">challenges </w:t>
      </w:r>
      <w:r>
        <w:rPr>
          <w:sz w:val="32"/>
        </w:rPr>
        <w:t xml:space="preserve">posed by </w:t>
      </w:r>
      <w:r w:rsidR="00AC4731" w:rsidRPr="00E97300">
        <w:rPr>
          <w:sz w:val="32"/>
        </w:rPr>
        <w:t xml:space="preserve">new and emerging health </w:t>
      </w:r>
      <w:r>
        <w:rPr>
          <w:sz w:val="32"/>
        </w:rPr>
        <w:t xml:space="preserve">information </w:t>
      </w:r>
      <w:r w:rsidR="00AC4731" w:rsidRPr="00E97300">
        <w:rPr>
          <w:sz w:val="32"/>
        </w:rPr>
        <w:t>technologies</w:t>
      </w:r>
    </w:p>
    <w:p w14:paraId="0BD76813" w14:textId="77777777" w:rsidR="00DC3CBB" w:rsidRPr="00DC3CBB" w:rsidRDefault="00DC3CBB" w:rsidP="00DC3CBB"/>
    <w:p w14:paraId="61C049F6" w14:textId="77777777" w:rsidR="0084507D" w:rsidRDefault="0084507D" w:rsidP="00E97300">
      <w:pPr>
        <w:pStyle w:val="Heading1"/>
      </w:pPr>
      <w:r>
        <w:t>Introduction</w:t>
      </w:r>
    </w:p>
    <w:p w14:paraId="28E250E3" w14:textId="56D50C67" w:rsidR="002C09D8" w:rsidRDefault="003C1579" w:rsidP="003C1579">
      <w:r>
        <w:t>The purpose</w:t>
      </w:r>
      <w:r w:rsidR="005433AE">
        <w:t>s</w:t>
      </w:r>
      <w:r>
        <w:t xml:space="preserve"> of this section </w:t>
      </w:r>
      <w:r w:rsidR="005433AE">
        <w:t>are</w:t>
      </w:r>
      <w:r w:rsidR="001F4ED1">
        <w:t xml:space="preserve"> to</w:t>
      </w:r>
      <w:r>
        <w:t xml:space="preserve"> introduce 1) the collaboration series, its intentions, the need for theoretical and practical foundations, and our initial positions on the matter, 2) the potential benefits of technology in healthcare </w:t>
      </w:r>
      <w:r>
        <w:fldChar w:fldCharType="begin" w:fldLock="1"/>
      </w:r>
      <w:r>
        <w:instrText>ADDIN CSL_CITATION {"citationItems":[{"id":"ITEM-1","itemData":{"DOI":"10.1007/978-3-030-17347-0_21","ISBN":"9783030173470","author":[{"dropping-particle":"","family":"Gibbings","given":"Rima","non-dropping-particle":"","parse-names":false,"suffix":""},{"dropping-particle":"","family":"Wickramasinghe","given":"Nilmini","non-dropping-particle":"","parse-names":false,"suffix":""}],"id":"ITEM-1","issued":{"date-parts":[["2020"]]},"page":"425-446","title":"The Enabling Role for Technology in the Support of Care Coordination in Health Care","type":"article-journal"},"uris":["http://www.mendeley.com/documents/?uuid=36ae11bf-1553-4d04-ab45-060637229e14"]}],"mendeley":{"formattedCitation":"(Gibbings &amp; Wickramasinghe, 2020)","plainTextFormattedCitation":"(Gibbings &amp; Wickramasinghe, 2020)","previouslyFormattedCitation":"(Gibbings &amp; Wickramasinghe, 2020)"},"properties":{"noteIndex":0},"schema":"https://github.com/citation-style-language/schema/raw/master/csl-citation.json"}</w:instrText>
      </w:r>
      <w:r>
        <w:fldChar w:fldCharType="separate"/>
      </w:r>
      <w:r w:rsidRPr="002D0046">
        <w:rPr>
          <w:noProof/>
        </w:rPr>
        <w:t>(Gibbings &amp; Wickramasinghe, 2020)</w:t>
      </w:r>
      <w:r>
        <w:fldChar w:fldCharType="end"/>
      </w:r>
      <w:r>
        <w:t>, and 3) the potential for unintended and ignored adverse consequences.</w:t>
      </w:r>
    </w:p>
    <w:p w14:paraId="45C8FACF" w14:textId="34CFE3AF" w:rsidR="00AB3439" w:rsidRDefault="00AB3439" w:rsidP="00AB3439"/>
    <w:p w14:paraId="265E847F" w14:textId="77777777" w:rsidR="00EC546B" w:rsidRDefault="00EC546B" w:rsidP="00AB3439"/>
    <w:p w14:paraId="4A4AC040" w14:textId="77777777" w:rsidR="00656305" w:rsidRDefault="00656305" w:rsidP="00656305">
      <w:pPr>
        <w:pStyle w:val="Heading1"/>
      </w:pPr>
      <w:r>
        <w:t>Method</w:t>
      </w:r>
    </w:p>
    <w:p w14:paraId="43BAF014" w14:textId="07D0A03E" w:rsidR="001F4ED1" w:rsidRDefault="00726CBE" w:rsidP="005C22CE">
      <w:r w:rsidRPr="00726CBE">
        <w:t>The pur</w:t>
      </w:r>
      <w:r>
        <w:t xml:space="preserve">pose of this section is to describe the process by which this publication was produced and how it fits within the structure of </w:t>
      </w:r>
      <w:r w:rsidR="005C22CE">
        <w:t>a</w:t>
      </w:r>
      <w:r>
        <w:t xml:space="preserve"> larger </w:t>
      </w:r>
      <w:r w:rsidR="005C22CE">
        <w:t>collaboration</w:t>
      </w:r>
      <w:r>
        <w:t xml:space="preserve"> series.</w:t>
      </w:r>
      <w:r w:rsidR="008E287D">
        <w:t xml:space="preserve"> </w:t>
      </w:r>
      <w:r w:rsidR="001F4ED1">
        <w:t xml:space="preserve">The section might read something like the following, modelled on the series of publications associated with </w:t>
      </w:r>
      <w:r w:rsidR="001F4ED1">
        <w:fldChar w:fldCharType="begin" w:fldLock="1"/>
      </w:r>
      <w:r w:rsidR="001F4ED1">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:","type":"article-journal","volume":"19"},"uris":["http://www.mendeley.com/documents/?uuid=1e2b0c56-d8ff-4a38-9cdd-ec93a499b36d"]}],"mendeley":{"formattedCitation":"(Michie et al., 2017)","manualFormatting":"Michie et al., (2017)","plainTextFormattedCitation":"(Michie et al., 2017)"},"properties":{"noteIndex":0},"schema":"https://github.com/citation-style-language/schema/raw/master/csl-citation.json"}</w:instrText>
      </w:r>
      <w:r w:rsidR="001F4ED1">
        <w:fldChar w:fldCharType="separate"/>
      </w:r>
      <w:r w:rsidR="001F4ED1" w:rsidRPr="001F4ED1">
        <w:rPr>
          <w:noProof/>
        </w:rPr>
        <w:t xml:space="preserve">Michie et al., </w:t>
      </w:r>
      <w:r w:rsidR="001F4ED1">
        <w:rPr>
          <w:noProof/>
        </w:rPr>
        <w:t>(</w:t>
      </w:r>
      <w:r w:rsidR="001F4ED1" w:rsidRPr="001F4ED1">
        <w:rPr>
          <w:noProof/>
        </w:rPr>
        <w:t>2017)</w:t>
      </w:r>
      <w:r w:rsidR="001F4ED1">
        <w:fldChar w:fldCharType="end"/>
      </w:r>
      <w:r w:rsidR="001F4ED1">
        <w:t>:</w:t>
      </w:r>
    </w:p>
    <w:p w14:paraId="791DB6AF" w14:textId="4BC250BB" w:rsidR="005C22CE" w:rsidRDefault="00656305" w:rsidP="005C22CE">
      <w:r>
        <w:t xml:space="preserve">A </w:t>
      </w:r>
      <w:r w:rsidRPr="00AA44BF">
        <w:t>national</w:t>
      </w:r>
      <w:r>
        <w:t>,</w:t>
      </w:r>
      <w:r w:rsidRPr="00AA44BF">
        <w:t xml:space="preserve"> expert</w:t>
      </w:r>
      <w:r>
        <w:t xml:space="preserve">, consensus-building </w:t>
      </w:r>
      <w:r w:rsidR="008E287D">
        <w:t>collaboration was begun in April 2020 in</w:t>
      </w:r>
      <w:r>
        <w:t xml:space="preserve"> Leeds, UK to </w:t>
      </w:r>
      <w:r w:rsidRPr="00284512">
        <w:t>provide a robust academic appraisal of the evidence base and subject-matter expertise</w:t>
      </w:r>
      <w:r>
        <w:t xml:space="preserve"> relating to novel patient-safety challenges of new and emerging </w:t>
      </w:r>
      <w:r w:rsidR="008E287D">
        <w:t xml:space="preserve">health </w:t>
      </w:r>
      <w:r w:rsidR="00AA6BB1">
        <w:t xml:space="preserve">information </w:t>
      </w:r>
      <w:r>
        <w:t xml:space="preserve">technologies. The </w:t>
      </w:r>
      <w:r w:rsidR="00726CBE">
        <w:t xml:space="preserve">collaboration </w:t>
      </w:r>
      <w:r>
        <w:t>was the first in a series led</w:t>
      </w:r>
      <w:r w:rsidRPr="00AA44BF">
        <w:t xml:space="preserve"> by the </w:t>
      </w:r>
      <w:r>
        <w:t>National Institute</w:t>
      </w:r>
      <w:r w:rsidRPr="00AA44BF">
        <w:t xml:space="preserve"> </w:t>
      </w:r>
      <w:r>
        <w:t xml:space="preserve">for Health Research Patient Safety Translational Research Centres from </w:t>
      </w:r>
      <w:r w:rsidR="008E287D">
        <w:t xml:space="preserve">both </w:t>
      </w:r>
      <w:r>
        <w:t>Yorkshire and Humbe</w:t>
      </w:r>
      <w:r w:rsidR="008E287D">
        <w:t>r, and Greater Manchester, UK; t</w:t>
      </w:r>
      <w:r>
        <w:t xml:space="preserve">he proposal for the workshop is available at </w:t>
      </w:r>
      <w:r w:rsidR="00BA5A47">
        <w:t>&lt;</w:t>
      </w:r>
      <w:r w:rsidR="008E287D" w:rsidRPr="00BA5A47">
        <w:rPr>
          <w:i/>
        </w:rPr>
        <w:t xml:space="preserve">link to GitHub </w:t>
      </w:r>
      <w:r w:rsidR="00BA5A47">
        <w:rPr>
          <w:i/>
        </w:rPr>
        <w:t>source</w:t>
      </w:r>
      <w:r w:rsidR="00BA5A47">
        <w:t>&gt;</w:t>
      </w:r>
      <w:r w:rsidR="005C22CE">
        <w:t>.</w:t>
      </w:r>
      <w:r w:rsidR="005C22CE" w:rsidRPr="005C22CE">
        <w:t xml:space="preserve"> </w:t>
      </w:r>
      <w:r w:rsidR="005C22CE" w:rsidRPr="00AA44BF">
        <w:t xml:space="preserve">The primary </w:t>
      </w:r>
      <w:r w:rsidR="005C22CE">
        <w:t xml:space="preserve">planned </w:t>
      </w:r>
      <w:r w:rsidR="005C22CE" w:rsidRPr="00AA44BF">
        <w:t>deliverable from th</w:t>
      </w:r>
      <w:r w:rsidR="005C22CE">
        <w:t>e</w:t>
      </w:r>
      <w:r w:rsidR="005C22CE" w:rsidRPr="00AA44BF">
        <w:t xml:space="preserve"> </w:t>
      </w:r>
      <w:r w:rsidR="005C22CE">
        <w:t>collaboration</w:t>
      </w:r>
      <w:r w:rsidR="005C22CE" w:rsidRPr="00AA44BF">
        <w:t xml:space="preserve"> </w:t>
      </w:r>
      <w:r w:rsidR="005C22CE">
        <w:t xml:space="preserve">series </w:t>
      </w:r>
      <w:r w:rsidR="005C22CE" w:rsidRPr="00AA44BF">
        <w:t>was</w:t>
      </w:r>
      <w:r w:rsidR="005C22CE">
        <w:t xml:space="preserve"> a set of publication</w:t>
      </w:r>
      <w:r w:rsidR="001F4ED1">
        <w:t>s</w:t>
      </w:r>
      <w:r w:rsidR="005C22CE">
        <w:t xml:space="preserve"> that begin to define the </w:t>
      </w:r>
      <w:r w:rsidR="005C22CE" w:rsidRPr="00284512">
        <w:t>field of safety informatics and serve</w:t>
      </w:r>
      <w:r w:rsidR="005C22CE">
        <w:t>s</w:t>
      </w:r>
      <w:r w:rsidR="005C22CE" w:rsidRPr="00284512">
        <w:t xml:space="preserve"> as a platform for future research and development</w:t>
      </w:r>
      <w:r w:rsidR="005C22CE">
        <w:t xml:space="preserve">. </w:t>
      </w:r>
    </w:p>
    <w:p w14:paraId="30BE240E" w14:textId="62122C38" w:rsidR="00656305" w:rsidRDefault="005C22CE" w:rsidP="00656305">
      <w:r>
        <w:t xml:space="preserve">An initial set of new and emerging </w:t>
      </w:r>
      <w:r w:rsidR="00AA6BB1">
        <w:t>health information tech</w:t>
      </w:r>
      <w:r>
        <w:t xml:space="preserve">nologies were collated by the main author following a scoping review of the academic, commercial and grey literature relating to </w:t>
      </w:r>
      <w:r w:rsidR="00AA6BB1">
        <w:t>health information tech</w:t>
      </w:r>
      <w:r>
        <w:t>nology. This initial set was amended following input from</w:t>
      </w:r>
      <w:r w:rsidR="00656305" w:rsidRPr="00AA44BF">
        <w:t xml:space="preserve"> </w:t>
      </w:r>
      <w:r w:rsidR="00BA5A47">
        <w:t>&lt;</w:t>
      </w:r>
      <w:r w:rsidR="00BA5A47">
        <w:rPr>
          <w:i/>
        </w:rPr>
        <w:t>final count of collaborators</w:t>
      </w:r>
      <w:r w:rsidR="00BA5A47">
        <w:t xml:space="preserve">&gt; </w:t>
      </w:r>
      <w:r>
        <w:t>collaborators</w:t>
      </w:r>
      <w:r w:rsidR="00656305" w:rsidRPr="00AA44BF">
        <w:t xml:space="preserve"> </w:t>
      </w:r>
      <w:r>
        <w:t xml:space="preserve">that </w:t>
      </w:r>
      <w:r w:rsidR="00656305" w:rsidRPr="00AA44BF">
        <w:t>were incl</w:t>
      </w:r>
      <w:r w:rsidR="00656305">
        <w:t>ude</w:t>
      </w:r>
      <w:r>
        <w:t xml:space="preserve">d as representatives of those </w:t>
      </w:r>
      <w:r w:rsidR="00656305">
        <w:t>who develop, evaluate and</w:t>
      </w:r>
      <w:r w:rsidR="00656305" w:rsidRPr="00AA44BF">
        <w:t xml:space="preserve"> use</w:t>
      </w:r>
      <w:r w:rsidR="00656305">
        <w:t xml:space="preserve"> </w:t>
      </w:r>
      <w:r w:rsidR="00AA6BB1">
        <w:t>health information tech</w:t>
      </w:r>
      <w:r w:rsidR="00656305">
        <w:t>nologies and their data</w:t>
      </w:r>
      <w:r w:rsidR="00656305" w:rsidRPr="00AA44BF">
        <w:t xml:space="preserve"> for both research and practical purposes. </w:t>
      </w:r>
      <w:r>
        <w:t>Collaborators</w:t>
      </w:r>
      <w:r w:rsidR="00656305" w:rsidRPr="00AA44BF">
        <w:t xml:space="preserve"> included</w:t>
      </w:r>
      <w:r w:rsidR="00BA5A47">
        <w:t xml:space="preserve"> &lt;</w:t>
      </w:r>
      <w:r w:rsidR="00BA5A47">
        <w:rPr>
          <w:i/>
        </w:rPr>
        <w:t>list of roles represented by collaborators</w:t>
      </w:r>
      <w:r w:rsidR="00BA5A47">
        <w:t>&gt;</w:t>
      </w:r>
      <w:r w:rsidR="008E287D">
        <w:t>.</w:t>
      </w:r>
    </w:p>
    <w:p w14:paraId="35067DB6" w14:textId="2B32E2E3" w:rsidR="008E287D" w:rsidRDefault="008E287D" w:rsidP="00656305"/>
    <w:p w14:paraId="2320E89E" w14:textId="3C9D4586" w:rsidR="00AB3439" w:rsidRDefault="00E97300" w:rsidP="00284465">
      <w:pPr>
        <w:pStyle w:val="Heading1"/>
      </w:pPr>
      <w:r>
        <w:t xml:space="preserve">What </w:t>
      </w:r>
      <w:r w:rsidR="00656305">
        <w:t>might be</w:t>
      </w:r>
      <w:r>
        <w:t xml:space="preserve"> the new and emerging </w:t>
      </w:r>
      <w:r w:rsidR="00AA6BB1">
        <w:t>health information tech</w:t>
      </w:r>
      <w:r>
        <w:t>nologies?</w:t>
      </w:r>
    </w:p>
    <w:p w14:paraId="5EE695C5" w14:textId="4D8B3876" w:rsidR="00BE037C" w:rsidRDefault="00E619A1" w:rsidP="00865867">
      <w:r>
        <w:t xml:space="preserve">The purpose of this section is to describe the set of new and emerging </w:t>
      </w:r>
      <w:r w:rsidR="00AA6BB1">
        <w:t>health information tech</w:t>
      </w:r>
      <w:r>
        <w:t xml:space="preserve">nologies on which the collaboration would focus. This section ends with a brief summary of </w:t>
      </w:r>
      <w:r w:rsidR="00AA6BB1">
        <w:t>health information tech</w:t>
      </w:r>
      <w:r>
        <w:t xml:space="preserve">nologies that were considered but not selected for further review of novel challenges that they might </w:t>
      </w:r>
      <w:r w:rsidR="001F4ED1">
        <w:t>promote</w:t>
      </w:r>
      <w:r>
        <w:t>.</w:t>
      </w:r>
    </w:p>
    <w:p w14:paraId="214BEF59" w14:textId="67FA469D" w:rsidR="007E3C62" w:rsidRDefault="007E3C62" w:rsidP="00865867"/>
    <w:p w14:paraId="0773DBC4" w14:textId="6E374365" w:rsidR="007E3C62" w:rsidRDefault="007E3C62" w:rsidP="00865867">
      <w:r>
        <w:t>The purpose of Table 1 is to succinctly present the list of technologies being considered in this publication before each is discussed in further depth.</w:t>
      </w:r>
    </w:p>
    <w:p w14:paraId="59217ED6" w14:textId="77777777" w:rsidR="00BA5A47" w:rsidRDefault="00BA5A47" w:rsidP="00865867"/>
    <w:p w14:paraId="786A06A9" w14:textId="36C19C59" w:rsidR="007E3C62" w:rsidRDefault="007E3C62" w:rsidP="00865867">
      <w:r w:rsidRPr="007E3C62">
        <w:rPr>
          <w:b/>
          <w:i/>
        </w:rPr>
        <w:t>Table 1</w:t>
      </w:r>
      <w:r>
        <w:rPr>
          <w:i/>
        </w:rPr>
        <w:t xml:space="preserve"> Sixteen </w:t>
      </w:r>
      <w:r w:rsidR="00AA6BB1">
        <w:rPr>
          <w:i/>
        </w:rPr>
        <w:t>health information tech</w:t>
      </w:r>
      <w:r>
        <w:rPr>
          <w:i/>
        </w:rPr>
        <w:t>nologies that a literature review suggested were new or emerging.</w:t>
      </w:r>
    </w:p>
    <w:p w14:paraId="3C97CC36" w14:textId="105ED79C" w:rsidR="00BA5A47" w:rsidRPr="00BA5A47" w:rsidRDefault="00BA5A47" w:rsidP="00865867">
      <w:r>
        <w:t>&lt;</w:t>
      </w:r>
      <w:r>
        <w:rPr>
          <w:i/>
        </w:rPr>
        <w:t>see ‘</w:t>
      </w:r>
      <w:bookmarkStart w:id="0" w:name="_GoBack"/>
      <w:bookmarkEnd w:id="0"/>
      <w:r>
        <w:rPr>
          <w:i/>
        </w:rPr>
        <w:t>Table 1.docx’</w:t>
      </w:r>
      <w:r>
        <w:t>&gt;</w:t>
      </w:r>
    </w:p>
    <w:p w14:paraId="4F0C9FE0" w14:textId="77777777" w:rsidR="00EA677C" w:rsidRPr="00EA677C" w:rsidRDefault="00EA677C" w:rsidP="00865867"/>
    <w:p w14:paraId="325E3123" w14:textId="2EC60F49" w:rsidR="00865867" w:rsidRDefault="00AA6BB1" w:rsidP="00284465">
      <w:pPr>
        <w:pStyle w:val="Heading2"/>
      </w:pPr>
      <w:r>
        <w:t>Health information tech</w:t>
      </w:r>
      <w:r w:rsidR="00E619A1">
        <w:t>nologies considered but not included</w:t>
      </w:r>
    </w:p>
    <w:p w14:paraId="65D46385" w14:textId="1C477B81" w:rsidR="00E619A1" w:rsidRPr="00E619A1" w:rsidRDefault="00E619A1" w:rsidP="00E619A1">
      <w:r>
        <w:t xml:space="preserve">The purpose of this section is to briefly summarise the </w:t>
      </w:r>
      <w:r w:rsidR="00AA6BB1">
        <w:t>health information tech</w:t>
      </w:r>
      <w:r>
        <w:t xml:space="preserve">nologies that were considered but not selected for further review of novel challenges that they might </w:t>
      </w:r>
      <w:r w:rsidR="001F4ED1">
        <w:t>promote</w:t>
      </w:r>
      <w:r>
        <w:t>.</w:t>
      </w:r>
    </w:p>
    <w:p w14:paraId="628FE09B" w14:textId="77777777" w:rsidR="00865867" w:rsidRDefault="00865867" w:rsidP="00865867"/>
    <w:p w14:paraId="44A892CB" w14:textId="1C5DB94E" w:rsidR="00E97300" w:rsidRPr="00E97300" w:rsidRDefault="00E97300" w:rsidP="00284465">
      <w:pPr>
        <w:pStyle w:val="Heading1"/>
      </w:pPr>
      <w:r>
        <w:t>What are the c</w:t>
      </w:r>
      <w:r w:rsidR="001F4ED1">
        <w:t xml:space="preserve">hallenges associated with the new and </w:t>
      </w:r>
      <w:r>
        <w:t xml:space="preserve">emerging </w:t>
      </w:r>
      <w:r w:rsidR="00176F47">
        <w:t xml:space="preserve">health information </w:t>
      </w:r>
      <w:r>
        <w:t>technologies</w:t>
      </w:r>
      <w:r w:rsidR="00F044CF">
        <w:t>?</w:t>
      </w:r>
    </w:p>
    <w:p w14:paraId="334E81A4" w14:textId="2DF48156" w:rsidR="0084507D" w:rsidRDefault="00471B5D" w:rsidP="0084507D">
      <w:r>
        <w:t>The purpose of this section is to describe the output of the discussions within the collaborative regarding the novel challenges posed by the new and emerging technologies listed above.</w:t>
      </w:r>
      <w:r w:rsidR="003C1579">
        <w:t xml:space="preserve"> This section will also be informed by commentaries in the academic literature</w:t>
      </w:r>
      <w:r w:rsidR="00BC5580">
        <w:t xml:space="preserve"> </w:t>
      </w:r>
      <w:r w:rsidR="00BC5580">
        <w:fldChar w:fldCharType="begin" w:fldLock="1"/>
      </w:r>
      <w:r w:rsidR="00EE6CBD">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00BC5580">
        <w:fldChar w:fldCharType="separate"/>
      </w:r>
      <w:r w:rsidR="003C1579" w:rsidRPr="003C1579">
        <w:rPr>
          <w:noProof/>
        </w:rPr>
        <w:t>(Gómez-González et al., 2020; Kostkova, 2015)</w:t>
      </w:r>
      <w:r w:rsidR="00BC5580">
        <w:fldChar w:fldCharType="end"/>
      </w:r>
      <w:r w:rsidR="003C1579">
        <w:t>. One example, interoperability, is provided below.</w:t>
      </w:r>
    </w:p>
    <w:p w14:paraId="65D048EB" w14:textId="3DB7491E" w:rsidR="00D43272" w:rsidRDefault="00D43272" w:rsidP="003C1579">
      <w:pPr>
        <w:pStyle w:val="Heading2"/>
      </w:pPr>
      <w:r>
        <w:t>Interoperability</w:t>
      </w:r>
    </w:p>
    <w:p w14:paraId="0CA4B413" w14:textId="78597990" w:rsidR="00C903CD" w:rsidRDefault="00B16CD2" w:rsidP="003C1579">
      <w:r>
        <w:t xml:space="preserve">The purpose of this subsection is to explain the problem of interoperability as it relates to </w:t>
      </w:r>
      <w:r w:rsidR="00AA6BB1">
        <w:t>health information tech</w:t>
      </w:r>
      <w:r>
        <w:t xml:space="preserve">nologies. We will argue that interoperability is the responsibility of </w:t>
      </w:r>
      <w:r w:rsidRPr="00B16CD2">
        <w:t>policymakers, technology leaders and industry implementers</w:t>
      </w:r>
      <w:r>
        <w:t>, as suggested by</w:t>
      </w:r>
      <w:r w:rsidR="00CC11BB">
        <w:t xml:space="preserve"> </w:t>
      </w:r>
      <w:r w:rsidR="00CC11BB">
        <w:fldChar w:fldCharType="begin" w:fldLock="1"/>
      </w:r>
      <w:r w:rsidR="005951F5">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rsidR="00CC11BB">
        <w:fldChar w:fldCharType="separate"/>
      </w:r>
      <w:r w:rsidR="005951F5" w:rsidRPr="005951F5">
        <w:rPr>
          <w:noProof/>
        </w:rPr>
        <w:t>(Benson &amp; Grieve, 2016)</w:t>
      </w:r>
      <w:r w:rsidR="00CC11BB">
        <w:fldChar w:fldCharType="end"/>
      </w:r>
      <w:r>
        <w:t>.</w:t>
      </w:r>
      <w:r w:rsidR="003C1579">
        <w:t xml:space="preserve"> This challenge at least relates to the </w:t>
      </w:r>
      <w:r w:rsidR="00C903CD">
        <w:t xml:space="preserve">Omics, IoT, </w:t>
      </w:r>
      <w:r w:rsidR="003C1579">
        <w:t>and D</w:t>
      </w:r>
      <w:r w:rsidR="00C903CD">
        <w:t xml:space="preserve">igital </w:t>
      </w:r>
      <w:r w:rsidR="003C1579">
        <w:t>T</w:t>
      </w:r>
      <w:r w:rsidR="00C903CD">
        <w:t>win</w:t>
      </w:r>
      <w:r w:rsidR="003C1579">
        <w:t xml:space="preserve"> technologies.</w:t>
      </w:r>
    </w:p>
    <w:p w14:paraId="6CCC88CA" w14:textId="77777777" w:rsidR="001D250F" w:rsidRPr="001D250F" w:rsidRDefault="001D250F" w:rsidP="001D250F"/>
    <w:p w14:paraId="7DA8A364" w14:textId="1231B070" w:rsidR="00AC4731" w:rsidRDefault="00F044CF" w:rsidP="00F044CF">
      <w:pPr>
        <w:pStyle w:val="Heading2"/>
      </w:pPr>
      <w:r>
        <w:t>Other challenges</w:t>
      </w:r>
    </w:p>
    <w:p w14:paraId="499136D4" w14:textId="3F06DC3D" w:rsidR="00F044CF" w:rsidRDefault="00AA168B" w:rsidP="00AA168B">
      <w:r>
        <w:t>The purpose of this subsection is to briefly discuss some contextual challenges that continue to exist prior to the widespread use of the new and emerging technologies described above. The set of challenges described below will be chosen based on their potential to interact with the novel challenges presented in the previous section.</w:t>
      </w:r>
      <w:r w:rsidR="00A66B8C">
        <w:t xml:space="preserve"> Some examples are provided.</w:t>
      </w:r>
    </w:p>
    <w:p w14:paraId="62F13476" w14:textId="77777777" w:rsidR="00C903CD" w:rsidRDefault="00C903CD" w:rsidP="00F044CF"/>
    <w:p w14:paraId="5A767DB7" w14:textId="11AE4EF3" w:rsidR="00C903CD" w:rsidRDefault="00C903CD" w:rsidP="00C903CD">
      <w:pPr>
        <w:pStyle w:val="Heading3"/>
      </w:pPr>
      <w:r>
        <w:t>No testing before implementation</w:t>
      </w:r>
    </w:p>
    <w:p w14:paraId="378C6D2B" w14:textId="372503D2" w:rsidR="002374E8" w:rsidRPr="00327447" w:rsidRDefault="00AA168B" w:rsidP="00664690">
      <w:r>
        <w:t>The purpose of this subsection is to highlight the lack of testing th</w:t>
      </w:r>
      <w:r w:rsidR="005B384E">
        <w:t>at</w:t>
      </w:r>
      <w:r>
        <w:t xml:space="preserve"> precedes implementation of </w:t>
      </w:r>
      <w:r w:rsidR="00AA6BB1">
        <w:t>health information tech</w:t>
      </w:r>
      <w:r>
        <w:t>nologies and the consequences of such oversight</w:t>
      </w:r>
      <w:r w:rsidR="00664690">
        <w:t>. W</w:t>
      </w:r>
      <w:r>
        <w:t xml:space="preserve">e will link our presentation with the </w:t>
      </w:r>
      <w:r w:rsidR="00664690">
        <w:t xml:space="preserve">large contribution of </w:t>
      </w:r>
      <w:r w:rsidR="00AA6BB1">
        <w:t>health information tech</w:t>
      </w:r>
      <w:r w:rsidR="00664690">
        <w:t xml:space="preserve">nologies by </w:t>
      </w:r>
      <w:r w:rsidR="00327447">
        <w:t>commercial providers</w:t>
      </w:r>
      <w:r w:rsidR="00664690">
        <w:t>, about whose testing we are unaware due to the opacity of IP.</w:t>
      </w:r>
      <w:r w:rsidR="002374E8">
        <w:t xml:space="preserve"> </w:t>
      </w:r>
    </w:p>
    <w:p w14:paraId="2144E12A" w14:textId="77777777" w:rsidR="00C903CD" w:rsidRPr="0084507D" w:rsidRDefault="00C903CD" w:rsidP="00C903CD"/>
    <w:p w14:paraId="6A7EDA3A" w14:textId="21F3E60F" w:rsidR="00C903CD" w:rsidRDefault="00C903CD" w:rsidP="00C903CD">
      <w:pPr>
        <w:pStyle w:val="Heading3"/>
      </w:pPr>
      <w:r>
        <w:lastRenderedPageBreak/>
        <w:t>Digital inequality</w:t>
      </w:r>
    </w:p>
    <w:p w14:paraId="109094C1" w14:textId="6725B09F" w:rsidR="00EE6CBD" w:rsidRDefault="00C17F5B" w:rsidP="00C17F5B">
      <w:r>
        <w:t xml:space="preserve">The purpose of this subsection is to highlight that new and increasingly complex </w:t>
      </w:r>
      <w:r w:rsidR="00AA6BB1">
        <w:t>health information tech</w:t>
      </w:r>
      <w:r>
        <w:t>nologies are not likely to be equally affordable nor available for all</w:t>
      </w:r>
      <w:r w:rsidR="00297CAF">
        <w:t xml:space="preserve"> </w:t>
      </w:r>
      <w:r w:rsidR="00297CAF">
        <w:fldChar w:fldCharType="begin" w:fldLock="1"/>
      </w:r>
      <w:r w:rsidR="00021296">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00297CAF">
        <w:fldChar w:fldCharType="separate"/>
      </w:r>
      <w:r w:rsidR="00297CAF" w:rsidRPr="00297CAF">
        <w:rPr>
          <w:noProof/>
        </w:rPr>
        <w:t>(Banerjee, 2019; Lupton, 2017; McAuley, 2014; Robinson et al., 2015)</w:t>
      </w:r>
      <w:r w:rsidR="00297CAF">
        <w:fldChar w:fldCharType="end"/>
      </w:r>
      <w:r>
        <w:t>.</w:t>
      </w:r>
    </w:p>
    <w:p w14:paraId="22A88F42" w14:textId="77777777" w:rsidR="00C17F5B" w:rsidRDefault="00C17F5B" w:rsidP="00C17F5B"/>
    <w:p w14:paraId="132618FC" w14:textId="599BE86A" w:rsidR="0084507D" w:rsidRDefault="00810D0C" w:rsidP="00284465">
      <w:pPr>
        <w:pStyle w:val="Heading3"/>
      </w:pPr>
      <w:r>
        <w:t>Transient relevance of statistical models</w:t>
      </w:r>
    </w:p>
    <w:p w14:paraId="0E8A9E5E" w14:textId="46CF16E6" w:rsidR="0084507D" w:rsidRDefault="00810D0C" w:rsidP="00AA168B">
      <w:r>
        <w:t>The purpose of this subsection is to highlight the problem</w:t>
      </w:r>
      <w:r w:rsidR="00AA168B">
        <w:t xml:space="preserve"> that static, p</w:t>
      </w:r>
      <w:r w:rsidR="0084507D">
        <w:t xml:space="preserve">re-learned </w:t>
      </w:r>
      <w:r w:rsidR="00AA168B">
        <w:t>models are</w:t>
      </w:r>
      <w:r w:rsidR="0084507D">
        <w:t xml:space="preserve"> out of data very quickly</w:t>
      </w:r>
      <w:r w:rsidR="00AA168B">
        <w:t xml:space="preserve"> – immediately so, if historic data are already unrepresentative of the current state of affairs </w:t>
      </w:r>
      <w:r w:rsidR="00BC5580">
        <w:fldChar w:fldCharType="begin" w:fldLock="1"/>
      </w:r>
      <w:r w:rsidR="00F044CF">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BC5580">
        <w:fldChar w:fldCharType="separate"/>
      </w:r>
      <w:r w:rsidR="00BC5580" w:rsidRPr="00BC5580">
        <w:rPr>
          <w:noProof/>
        </w:rPr>
        <w:t>(Hickey, Grant, Caiado, et al., 2013; Hickey, Grant, Murphy, et al., 2013; Jenkins et al., 2018)</w:t>
      </w:r>
      <w:r w:rsidR="00BC5580">
        <w:fldChar w:fldCharType="end"/>
      </w:r>
    </w:p>
    <w:p w14:paraId="76EA30F8" w14:textId="77777777" w:rsidR="0084507D" w:rsidRDefault="0084507D" w:rsidP="0084507D"/>
    <w:p w14:paraId="11659C79" w14:textId="72D34E1F" w:rsidR="00396FBF" w:rsidRDefault="00396FBF" w:rsidP="00284465">
      <w:pPr>
        <w:pStyle w:val="Heading3"/>
      </w:pPr>
      <w:r>
        <w:t>Aging population</w:t>
      </w:r>
    </w:p>
    <w:p w14:paraId="29FDB4F8" w14:textId="0DDD89C6" w:rsidR="00810D0C" w:rsidRDefault="00810D0C" w:rsidP="00810D0C">
      <w:r>
        <w:t>The purpose of this subsection is to present the contextual challenge of an aging population and how it relates to the challenges presented so far. We will present examples of technological solutions proposed to address aging populations</w:t>
      </w:r>
      <w:r w:rsidR="00F044CF">
        <w:t xml:space="preserve"> </w:t>
      </w:r>
      <w:r w:rsidR="00F044CF">
        <w:fldChar w:fldCharType="begin" w:fldLock="1"/>
      </w:r>
      <w:r w:rsidR="003C1579">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adults","type":"book"},"uris":["http://www.mendeley.com/documents/?uuid=57efade1-eb55-4cfd-8871-2551d5bbd693"]},{"id":"ITEM-2","itemData":{"DOI":"10.1177/1471301217733649","ISSN":"17412684","abstract":"Health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-2","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 Neves &amp; Vetere, 2019)","plainTextFormattedCitation":"(Daly Lynn et al., 2019; Neves &amp; Vetere, 2019)","previouslyFormattedCitation":"(Daly Lynn et al., 2019; Neves &amp; Vetere, 2019)"},"properties":{"noteIndex":0},"schema":"https://github.com/citation-style-language/schema/raw/master/csl-citation.json"}</w:instrText>
      </w:r>
      <w:r w:rsidR="00F044CF">
        <w:fldChar w:fldCharType="separate"/>
      </w:r>
      <w:r w:rsidRPr="00810D0C">
        <w:rPr>
          <w:noProof/>
        </w:rPr>
        <w:t>(Daly Lynn et al., 2019; Neves &amp; Vetere, 2019)</w:t>
      </w:r>
      <w:r w:rsidR="00F044CF">
        <w:fldChar w:fldCharType="end"/>
      </w:r>
      <w:r>
        <w:t xml:space="preserve"> and critically discuss motivations and consequences</w:t>
      </w:r>
      <w:r w:rsidR="00C104AB">
        <w:t xml:space="preserve"> </w:t>
      </w:r>
      <w:r w:rsidR="00C104AB">
        <w:fldChar w:fldCharType="begin" w:fldLock="1"/>
      </w:r>
      <w:r w:rsidR="00AE6E5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C104AB">
        <w:fldChar w:fldCharType="separate"/>
      </w:r>
      <w:r w:rsidR="00C104AB" w:rsidRPr="00C104AB">
        <w:rPr>
          <w:noProof/>
        </w:rPr>
        <w:t>(Pilotto et al., 2018)</w:t>
      </w:r>
      <w:r w:rsidR="00C104AB">
        <w:fldChar w:fldCharType="end"/>
      </w:r>
      <w:r>
        <w:t>.</w:t>
      </w:r>
    </w:p>
    <w:p w14:paraId="692E0EBB" w14:textId="77777777" w:rsidR="006D4CAF" w:rsidRDefault="006D4CAF" w:rsidP="006D4CAF"/>
    <w:p w14:paraId="26F81C83" w14:textId="77777777" w:rsidR="00970743" w:rsidRDefault="00970743" w:rsidP="00970743">
      <w:pPr>
        <w:pStyle w:val="Heading1"/>
      </w:pPr>
      <w:r>
        <w:t>How do the technologies relate?</w:t>
      </w:r>
    </w:p>
    <w:p w14:paraId="176A9BBE" w14:textId="09B74298" w:rsidR="00970743" w:rsidRPr="00FD7BD9" w:rsidRDefault="00471B5D" w:rsidP="00970743">
      <w:r>
        <w:t xml:space="preserve">The purpose of this section is to present the collaborative’s </w:t>
      </w:r>
      <w:r w:rsidR="00660180">
        <w:t xml:space="preserve">opinions of how the aforementioned </w:t>
      </w:r>
      <w:r w:rsidR="00AA6BB1">
        <w:t>health information tech</w:t>
      </w:r>
      <w:r w:rsidR="00660180">
        <w:t>nologies relate across dimensions of their generating motivations, t</w:t>
      </w:r>
      <w:r w:rsidR="00810D0C">
        <w:t>heir proposed solutions, and their</w:t>
      </w:r>
      <w:r w:rsidR="00A66B8C">
        <w:t xml:space="preserve"> challenges.</w:t>
      </w:r>
    </w:p>
    <w:p w14:paraId="6FE58CCE" w14:textId="343D94A9" w:rsidR="00970743" w:rsidRDefault="00970743" w:rsidP="00970743"/>
    <w:p w14:paraId="397CD73C" w14:textId="77777777" w:rsidR="00EC546B" w:rsidRDefault="00EC546B" w:rsidP="00970743"/>
    <w:p w14:paraId="5457B14C" w14:textId="5CA40E75" w:rsidR="00E97300" w:rsidRDefault="00284465" w:rsidP="00284465">
      <w:pPr>
        <w:pStyle w:val="Heading1"/>
      </w:pPr>
      <w:r>
        <w:t>Potential s</w:t>
      </w:r>
      <w:r w:rsidR="00E97300">
        <w:t>olutions</w:t>
      </w:r>
    </w:p>
    <w:p w14:paraId="1CCB8F93" w14:textId="2DB939AF" w:rsidR="00B05D6C" w:rsidRDefault="00B05D6C" w:rsidP="00B05D6C">
      <w:r>
        <w:t>The purpose of this section is to present solutions to the novel challenges identified by the collaborative.</w:t>
      </w:r>
      <w:r w:rsidR="00B16CD2">
        <w:t xml:space="preserve"> Special effort will be made to connect solutions to specific challenges and technologies.</w:t>
      </w:r>
      <w:r w:rsidR="00A66B8C">
        <w:t xml:space="preserve"> Some examples are provided.</w:t>
      </w:r>
    </w:p>
    <w:p w14:paraId="448C8414" w14:textId="77777777" w:rsidR="00B05D6C" w:rsidRPr="00B05D6C" w:rsidRDefault="00B05D6C" w:rsidP="00B05D6C"/>
    <w:p w14:paraId="43399131" w14:textId="4F854331" w:rsidR="00E97300" w:rsidRDefault="00E97300" w:rsidP="00284465">
      <w:pPr>
        <w:pStyle w:val="Heading2"/>
      </w:pPr>
      <w:r>
        <w:t>Safety cases</w:t>
      </w:r>
    </w:p>
    <w:p w14:paraId="68C76253" w14:textId="10EBB517" w:rsidR="00851E30" w:rsidRDefault="00B05D6C" w:rsidP="00F044CF">
      <w:r>
        <w:t xml:space="preserve">The purpose of this subsection is to present the concept of a safety case </w:t>
      </w:r>
      <w:r w:rsidR="00851E30">
        <w:fldChar w:fldCharType="begin" w:fldLock="1"/>
      </w:r>
      <w:r w:rsidR="00D55A9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fldChar w:fldCharType="separate"/>
      </w:r>
      <w:r w:rsidR="00851E30" w:rsidRPr="00851E30">
        <w:rPr>
          <w:noProof/>
        </w:rPr>
        <w:t>(Denney et al., 2015; Despotou et al., 2012; Flood &amp; Habli, 2011; Habli et al., 2019; Sujan et al., 2016, 2013, 2015)</w:t>
      </w:r>
      <w:r w:rsidR="00851E30">
        <w:fldChar w:fldCharType="end"/>
      </w:r>
      <w:r>
        <w:t>.</w:t>
      </w:r>
    </w:p>
    <w:p w14:paraId="4413FA18" w14:textId="77777777" w:rsidR="00E97300" w:rsidRDefault="00E97300" w:rsidP="00E97300"/>
    <w:p w14:paraId="4D6E52CB" w14:textId="5B247389" w:rsidR="00E97300" w:rsidRDefault="00E97300" w:rsidP="00284465">
      <w:pPr>
        <w:pStyle w:val="Heading2"/>
      </w:pPr>
      <w:r>
        <w:t>Design standards / charter</w:t>
      </w:r>
    </w:p>
    <w:p w14:paraId="61AFA88D" w14:textId="65C0C277" w:rsidR="00B23B5B" w:rsidRDefault="00B05D6C" w:rsidP="00B05D6C">
      <w:r>
        <w:t xml:space="preserve">The purpose of this subsection is to present efforts to develop design standards for </w:t>
      </w:r>
      <w:r w:rsidR="00AA6BB1">
        <w:t>health information tech</w:t>
      </w:r>
      <w:r>
        <w:t>nology</w:t>
      </w:r>
      <w:r w:rsidR="00D55A92">
        <w:t xml:space="preserve"> </w:t>
      </w:r>
      <w:r w:rsidR="00D55A92">
        <w:fldChar w:fldCharType="begin" w:fldLock="1"/>
      </w:r>
      <w:r w:rsidR="00021296">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fldChar w:fldCharType="separate"/>
      </w:r>
      <w:r w:rsidR="00021296" w:rsidRPr="00021296">
        <w:rPr>
          <w:noProof/>
        </w:rPr>
        <w:t>(Kux &amp; Majeed, 2017; Macrae, 2019; Masum et al., 2013)</w:t>
      </w:r>
      <w:r w:rsidR="00D55A92">
        <w:fldChar w:fldCharType="end"/>
      </w:r>
      <w:r w:rsidR="00021296">
        <w:t xml:space="preserve">, e.g. </w:t>
      </w:r>
      <w:r w:rsidR="00B23B5B">
        <w:t xml:space="preserve">learning from Business Intelligence and sociotechnical theories </w:t>
      </w:r>
      <w:r w:rsidR="00B23B5B">
        <w:fldChar w:fldCharType="begin" w:fldLock="1"/>
      </w:r>
      <w:r w:rsidR="009D445B">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fldChar w:fldCharType="separate"/>
      </w:r>
      <w:r w:rsidR="003D5C61" w:rsidRPr="003D5C61">
        <w:rPr>
          <w:noProof/>
        </w:rPr>
        <w:t>(Moghimi et al., 2020)</w:t>
      </w:r>
      <w:r w:rsidR="00B23B5B">
        <w:fldChar w:fldCharType="end"/>
      </w:r>
      <w:r w:rsidR="00021296">
        <w:t xml:space="preserve">, </w:t>
      </w:r>
      <w:r w:rsidR="00021296">
        <w:rPr>
          <w:rStyle w:val="normaltextrun"/>
          <w:rFonts w:ascii="Calibri" w:hAnsi="Calibri" w:cs="Calibri"/>
        </w:rPr>
        <w:t xml:space="preserve">Clinical Decision Support Consortia </w:t>
      </w:r>
      <w:r w:rsidR="00021296">
        <w:rPr>
          <w:rStyle w:val="normaltextrun"/>
          <w:rFonts w:ascii="Calibri" w:hAnsi="Calibri" w:cs="Calibri"/>
        </w:rPr>
        <w:fldChar w:fldCharType="begin" w:fldLock="1"/>
      </w:r>
      <w:r w:rsidR="00021296">
        <w:rPr>
          <w:rStyle w:val="normaltextrun"/>
          <w:rFonts w:ascii="Calibri" w:hAnsi="Calibri" w:cs="Calibri"/>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(Wright et al., 2011)</w:t>
      </w:r>
      <w:r w:rsidR="00021296">
        <w:rPr>
          <w:rStyle w:val="normaltextrun"/>
          <w:rFonts w:ascii="Calibri" w:hAnsi="Calibri" w:cs="Calibri"/>
        </w:rPr>
        <w:fldChar w:fldCharType="end"/>
      </w:r>
      <w:r w:rsidR="00021296">
        <w:rPr>
          <w:rStyle w:val="normaltextrun"/>
          <w:rFonts w:ascii="Calibri" w:hAnsi="Calibri" w:cs="Calibri"/>
        </w:rPr>
        <w:t xml:space="preserve">, and preceding scale-up with a scoping review of international, national, and relevant local guidelines </w:t>
      </w:r>
      <w:r w:rsidR="00021296">
        <w:rPr>
          <w:rStyle w:val="normaltextrun"/>
          <w:rFonts w:ascii="Calibri" w:hAnsi="Calibri" w:cs="Calibri"/>
        </w:rPr>
        <w:fldChar w:fldCharType="begin" w:fldLock="1"/>
      </w:r>
      <w:r w:rsidR="008A0035">
        <w:rPr>
          <w:rStyle w:val="normaltextrun"/>
          <w:rFonts w:ascii="Calibri" w:hAnsi="Calibri" w:cs="Calibri"/>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(Furlong et al., 2019)</w:t>
      </w:r>
      <w:r w:rsidR="00021296">
        <w:rPr>
          <w:rStyle w:val="normaltextrun"/>
          <w:rFonts w:ascii="Calibri" w:hAnsi="Calibri" w:cs="Calibri"/>
        </w:rPr>
        <w:fldChar w:fldCharType="end"/>
      </w:r>
      <w:r>
        <w:t>.</w:t>
      </w:r>
    </w:p>
    <w:p w14:paraId="2AE2199E" w14:textId="77777777" w:rsidR="00D55A92" w:rsidRDefault="00D55A92" w:rsidP="00E97300"/>
    <w:p w14:paraId="3EFD878F" w14:textId="79B25F40" w:rsidR="00D43272" w:rsidRDefault="00D43272" w:rsidP="00284465">
      <w:pPr>
        <w:pStyle w:val="Heading2"/>
      </w:pPr>
      <w:r>
        <w:lastRenderedPageBreak/>
        <w:t>Interoperability</w:t>
      </w:r>
      <w:r w:rsidR="003C1579">
        <w:t xml:space="preserve"> solutions</w:t>
      </w:r>
    </w:p>
    <w:p w14:paraId="65E617F1" w14:textId="754E42DF" w:rsidR="00E97300" w:rsidRDefault="00B05D6C" w:rsidP="00B05D6C">
      <w:r>
        <w:t xml:space="preserve">The purpose of this subsection is to present efforts made to improve the interoperability of </w:t>
      </w:r>
      <w:r w:rsidR="00AA6BB1">
        <w:t>health information tech</w:t>
      </w:r>
      <w:r>
        <w:t>nologies and health information technology systems. Special reference will be made to the HL7 FHIR standard</w:t>
      </w:r>
      <w:r w:rsidR="00091076">
        <w:t xml:space="preserve"> created by HL7 International </w:t>
      </w:r>
      <w:r w:rsidR="00091076">
        <w:fldChar w:fldCharType="begin" w:fldLock="1"/>
      </w:r>
      <w:r w:rsidR="00CC11BB">
        <w:instrText>ADDIN CSL_CITATION {"citationItems":[{"id":"ITEM-1","itemData":{"author":[{"dropping-particle":"","family":"Health Level Seven International","given":"","non-dropping-particle":"","parse-names":false,"suffix":""}],"id":"ITEM-1","issued":{"date-parts":[["2020"]]},"title":"HL7 International","type":"article"},"uris":["http://www.mendeley.com/documents/?uuid=b896944c-501e-437c-a761-8e46b47eb713"]}],"mendeley":{"formattedCitation":"(Health Level Seven International, 2020)","plainTextFormattedCitation":"(Health Level Seven International, 2020)","previouslyFormattedCitation":"(Health Level Seven International, 2020)"},"properties":{"noteIndex":0},"schema":"https://github.com/citation-style-language/schema/raw/master/csl-citation.json"}</w:instrText>
      </w:r>
      <w:r w:rsidR="00091076">
        <w:fldChar w:fldCharType="separate"/>
      </w:r>
      <w:r w:rsidR="00091076" w:rsidRPr="00091076">
        <w:rPr>
          <w:noProof/>
        </w:rPr>
        <w:t>(Health Level Seven International, 2020)</w:t>
      </w:r>
      <w:r w:rsidR="00091076">
        <w:fldChar w:fldCharType="end"/>
      </w:r>
      <w:r>
        <w:t xml:space="preserve">, which is </w:t>
      </w:r>
      <w:r w:rsidR="00091076">
        <w:t xml:space="preserve">a standard for exchanging EHRs </w:t>
      </w:r>
      <w:r w:rsidR="00D43272">
        <w:fldChar w:fldCharType="begin" w:fldLock="1"/>
      </w:r>
      <w:r w:rsidR="00810D0C">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00D43272">
        <w:fldChar w:fldCharType="separate"/>
      </w:r>
      <w:r w:rsidRPr="00B05D6C">
        <w:rPr>
          <w:noProof/>
        </w:rPr>
        <w:t>(Saripalle et al., 2019</w:t>
      </w:r>
      <w:r>
        <w:rPr>
          <w:noProof/>
        </w:rPr>
        <w:t xml:space="preserve">; see </w:t>
      </w:r>
      <w:r w:rsidRPr="00B05D6C">
        <w:rPr>
          <w:noProof/>
        </w:rPr>
        <w:t>Houta et al., 2019</w:t>
      </w:r>
      <w:r>
        <w:rPr>
          <w:noProof/>
        </w:rPr>
        <w:t xml:space="preserve"> for application in epilepsy data</w:t>
      </w:r>
      <w:r w:rsidRPr="00B05D6C">
        <w:rPr>
          <w:noProof/>
        </w:rPr>
        <w:t>)</w:t>
      </w:r>
      <w:r w:rsidR="00D43272">
        <w:fldChar w:fldCharType="end"/>
      </w:r>
      <w:r>
        <w:t xml:space="preserve">, and an example of a </w:t>
      </w:r>
      <w:r w:rsidR="005951F5">
        <w:t xml:space="preserve">distributed architecture to integrate EHRs </w:t>
      </w:r>
      <w:r w:rsidR="005951F5">
        <w:fldChar w:fldCharType="begin" w:fldLock="1"/>
      </w:r>
      <w:r w:rsidR="00FC11C7">
        <w:instrText>ADDIN CSL_CITATION {"citationItems":[{"id":"ITEM-1","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Informatics","id":"ITEM-1","issued":{"date-parts":[["2017"]]},"page":"70-81","publisher":"Elsevier Inc.","title":"OmniPHR : A distributed architecture model to integrate personal health records","type":"article-journal","volume":"71"},"uris":["http://www.mendeley.com/documents/?uuid=05c32272-f736-4af2-bb40-6cf5c537d632"]},{"id":"ITEM-2","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Informatics","id":"ITEM-2","issue":"2","issued":{"date-parts":[["2019"]]},"page":"867-873","title":"Toward a Model for Personal Health Record Interoperability","type":"article-journal","volume":"23"},"uris":["http://www.mendeley.com/documents/?uuid=cfce974b-ad7b-4c7f-9e18-757e48591be6"]}],"mendeley":{"formattedCitation":"(Roehrs et al., 2019, 2017)","plainTextFormattedCitation":"(Roehrs et al., 2019, 2017)","previouslyFormattedCitation":"(Roehrs et al., 2019, 2017)"},"properties":{"noteIndex":0},"schema":"https://github.com/citation-style-language/schema/raw/master/csl-citation.json"}</w:instrText>
      </w:r>
      <w:r w:rsidR="005951F5">
        <w:fldChar w:fldCharType="separate"/>
      </w:r>
      <w:r w:rsidR="005951F5" w:rsidRPr="005951F5">
        <w:rPr>
          <w:noProof/>
        </w:rPr>
        <w:t>(Roehrs et al., 2019, 2017)</w:t>
      </w:r>
      <w:r w:rsidR="005951F5">
        <w:fldChar w:fldCharType="end"/>
      </w:r>
      <w:r w:rsidR="005951F5">
        <w:t xml:space="preserve">, which makes use of blockchain approaches </w:t>
      </w:r>
      <w:r w:rsidR="005951F5">
        <w:fldChar w:fldCharType="begin" w:fldLock="1"/>
      </w:r>
      <w:r w:rsidR="005951F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records","type":"thesis"},"uris":["http://www.mendeley.com/documents/?uuid=6a9e5cea-7475-4b6f-abe2-621171d49b99"]}],"mendeley":{"formattedCitation":"(Roehrs, 2019)","plainTextFormattedCitation":"(Roehrs, 2019)","previouslyFormattedCitation":"(Roehrs, 2019)"},"properties":{"noteIndex":0},"schema":"https://github.com/citation-style-language/schema/raw/master/csl-citation.json"}</w:instrText>
      </w:r>
      <w:r w:rsidR="005951F5">
        <w:fldChar w:fldCharType="separate"/>
      </w:r>
      <w:r w:rsidR="005951F5" w:rsidRPr="005951F5">
        <w:rPr>
          <w:noProof/>
        </w:rPr>
        <w:t>(Roehrs, 2019)</w:t>
      </w:r>
      <w:r w:rsidR="005951F5">
        <w:fldChar w:fldCharType="end"/>
      </w:r>
      <w:r>
        <w:t>.</w:t>
      </w:r>
    </w:p>
    <w:p w14:paraId="76DAAF92" w14:textId="425A35F2" w:rsidR="00745D0A" w:rsidRDefault="00745D0A" w:rsidP="00E97300"/>
    <w:p w14:paraId="1ABCE160" w14:textId="3D052651" w:rsidR="00810D0C" w:rsidRDefault="00810D0C" w:rsidP="00810D0C">
      <w:pPr>
        <w:pStyle w:val="Heading2"/>
      </w:pPr>
      <w:r>
        <w:t>Dynamic and causal modelling</w:t>
      </w:r>
    </w:p>
    <w:p w14:paraId="4D6CEE62" w14:textId="4F9B8AE0" w:rsidR="00810D0C" w:rsidRPr="00810D0C" w:rsidRDefault="00810D0C" w:rsidP="00810D0C">
      <w:r>
        <w:t>The purpose of this section is to summarise progress made to tackle the problem of transient relevance of statistical models, making special reference to dynamic and causal modelling solutions</w:t>
      </w:r>
      <w:r w:rsidR="008A0035">
        <w:t xml:space="preserve"> </w:t>
      </w:r>
      <w:r w:rsidR="008A0035">
        <w:fldChar w:fldCharType="begin" w:fldLock="1"/>
      </w:r>
      <w:r w:rsidR="001F4ED1">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fldChar w:fldCharType="separate"/>
      </w:r>
      <w:r w:rsidR="00440844" w:rsidRPr="00440844">
        <w:rPr>
          <w:noProof/>
        </w:rPr>
        <w:t>(Hickey, Grant, Caiado, et al., 2013; Huang et al., 2016; Sperrin et al., 2019, 2018; Su et al., 2018)</w:t>
      </w:r>
      <w:r w:rsidR="008A0035">
        <w:fldChar w:fldCharType="end"/>
      </w:r>
      <w:r>
        <w:t>.</w:t>
      </w:r>
    </w:p>
    <w:p w14:paraId="19D44E7F" w14:textId="77777777" w:rsidR="00810D0C" w:rsidRDefault="00810D0C" w:rsidP="00E97300"/>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5118811F" w:rsidR="00745D0A" w:rsidRPr="00745D0A" w:rsidRDefault="00B05D6C" w:rsidP="00B05D6C">
      <w:r>
        <w:t xml:space="preserve">The purpose of this subsection is to discuss the potential for machine-learning methods to help ensure data quality, with special reference to work by </w:t>
      </w:r>
      <w:r w:rsidR="002F4F7F">
        <w:fldChar w:fldCharType="begin" w:fldLock="1"/>
      </w:r>
      <w: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Algorithms","type":"article-journal"},"uris":["http://www.mendeley.com/documents/?uuid=699b0d14-12d4-49ba-b0d1-6d7e58ce50d7"]}],"mendeley":{"formattedCitation":"(Sako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fldChar w:fldCharType="separate"/>
      </w:r>
      <w:r w:rsidR="00B23B5B" w:rsidRPr="00B23B5B">
        <w:rPr>
          <w:noProof/>
        </w:rPr>
        <w:t xml:space="preserve">Sako et al. </w:t>
      </w:r>
      <w:r>
        <w:rPr>
          <w:noProof/>
        </w:rPr>
        <w:t>(</w:t>
      </w:r>
      <w:r w:rsidR="00B23B5B" w:rsidRPr="00B23B5B">
        <w:rPr>
          <w:noProof/>
        </w:rPr>
        <w:t>2020)</w:t>
      </w:r>
      <w:r w:rsidR="002F4F7F">
        <w:fldChar w:fldCharType="end"/>
      </w:r>
      <w:r>
        <w:t>.</w:t>
      </w:r>
    </w:p>
    <w:p w14:paraId="551E633F" w14:textId="77777777" w:rsidR="00E97300" w:rsidRDefault="00E97300" w:rsidP="00E97300"/>
    <w:p w14:paraId="09D25151" w14:textId="77777777" w:rsidR="00E97300" w:rsidRDefault="00E97300" w:rsidP="00E97300"/>
    <w:p w14:paraId="64863357" w14:textId="106AFCB8" w:rsidR="006D4CAF" w:rsidRDefault="006D4CAF" w:rsidP="00E97300">
      <w:pPr>
        <w:pStyle w:val="Heading1"/>
      </w:pPr>
      <w:r>
        <w:t>Discussion</w:t>
      </w:r>
    </w:p>
    <w:p w14:paraId="2DDFC05A" w14:textId="4EE2C8F3" w:rsidR="00865867" w:rsidRPr="00865867" w:rsidRDefault="009B3EEC" w:rsidP="009B3EEC">
      <w:r>
        <w:t>The purpose of this section is to collate additional arguments raised by the collaborative that have not already been addressed in the previous sections. For example, we might choose to discuss how events like the COVID-19 pandemic might drive some technologies ahead and the consequences of such unexpected occurrences, e.g. atypical growth in r</w:t>
      </w:r>
      <w:r w:rsidR="00865867">
        <w:t>emote monitoring</w:t>
      </w:r>
      <w:r>
        <w:t>, r</w:t>
      </w:r>
      <w:r w:rsidR="00865867">
        <w:t>emote testing</w:t>
      </w:r>
      <w:r>
        <w:t>, r</w:t>
      </w:r>
      <w:r w:rsidR="00865867">
        <w:t>emote imaging</w:t>
      </w:r>
      <w:r>
        <w:t>, r</w:t>
      </w:r>
      <w:r w:rsidR="00865867">
        <w:t>obotic care</w:t>
      </w:r>
      <w:r>
        <w:t>, and p</w:t>
      </w:r>
      <w:r w:rsidR="00865867">
        <w:t>ersonal preventive medicine</w:t>
      </w:r>
      <w:r>
        <w:t>.</w:t>
      </w:r>
    </w:p>
    <w:p w14:paraId="7BE2FF61" w14:textId="675AA904" w:rsidR="006D4CAF" w:rsidRDefault="006D4CAF" w:rsidP="006D4CAF"/>
    <w:p w14:paraId="1C12E183" w14:textId="77777777" w:rsidR="00EC546B" w:rsidRDefault="00EC546B" w:rsidP="006D4CAF"/>
    <w:p w14:paraId="4E6C1F67" w14:textId="77777777" w:rsidR="006D4CAF" w:rsidRDefault="006D4CAF" w:rsidP="00E97300">
      <w:pPr>
        <w:pStyle w:val="Heading1"/>
      </w:pPr>
      <w:r>
        <w:t>Conclusion</w:t>
      </w:r>
    </w:p>
    <w:p w14:paraId="7E8D486A" w14:textId="4CFD6A9B" w:rsidR="006D4CAF" w:rsidRPr="006D4CAF" w:rsidRDefault="009B3EEC" w:rsidP="006D4CAF">
      <w:r>
        <w:t xml:space="preserve">The purposes of this section are to 1) summarise the intention of this first collaboration in the series, 2) succinctly summarise the types of new and emerging </w:t>
      </w:r>
      <w:r w:rsidR="00AA6BB1">
        <w:t>health information tech</w:t>
      </w:r>
      <w:r>
        <w:t>nologies considered, 3) succinctly summarise the types of novel challenges that the collaborative suggests are posed by the aforementioned technologies, 4) succinctly summarise the class of solutions needed, 5) suggest the next steps required to facilitate these solutions, 6) foreshadow the subsequent collaboration in the series “</w:t>
      </w:r>
      <w:r w:rsidRPr="009B3EEC">
        <w:rPr>
          <w:i/>
        </w:rPr>
        <w:t>The implications of contemporary safety theory (Safety-I and Safety-II) for digital innovation</w:t>
      </w:r>
      <w:r w:rsidR="00250CF3">
        <w:rPr>
          <w:i/>
        </w:rPr>
        <w:t xml:space="preserve"> in healthcare</w:t>
      </w:r>
      <w:r>
        <w:t>”.</w:t>
      </w:r>
    </w:p>
    <w:sectPr w:rsidR="006D4CAF" w:rsidRPr="006D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106B6"/>
    <w:rsid w:val="00021296"/>
    <w:rsid w:val="00034A72"/>
    <w:rsid w:val="00091076"/>
    <w:rsid w:val="000B1500"/>
    <w:rsid w:val="000C3285"/>
    <w:rsid w:val="000F3C4B"/>
    <w:rsid w:val="00106D11"/>
    <w:rsid w:val="00145866"/>
    <w:rsid w:val="00176F47"/>
    <w:rsid w:val="001D250F"/>
    <w:rsid w:val="001E6930"/>
    <w:rsid w:val="001F1F11"/>
    <w:rsid w:val="001F4ED1"/>
    <w:rsid w:val="00202BF3"/>
    <w:rsid w:val="002042AB"/>
    <w:rsid w:val="002374E8"/>
    <w:rsid w:val="00250CF3"/>
    <w:rsid w:val="00273975"/>
    <w:rsid w:val="00284465"/>
    <w:rsid w:val="00284512"/>
    <w:rsid w:val="00297CAF"/>
    <w:rsid w:val="002B1538"/>
    <w:rsid w:val="002C09D8"/>
    <w:rsid w:val="002D0046"/>
    <w:rsid w:val="002E4B1D"/>
    <w:rsid w:val="002F4F7F"/>
    <w:rsid w:val="00300119"/>
    <w:rsid w:val="00327447"/>
    <w:rsid w:val="0033423D"/>
    <w:rsid w:val="003406D7"/>
    <w:rsid w:val="0035003E"/>
    <w:rsid w:val="00396FBF"/>
    <w:rsid w:val="003A21A3"/>
    <w:rsid w:val="003C1579"/>
    <w:rsid w:val="003D5C61"/>
    <w:rsid w:val="003E432A"/>
    <w:rsid w:val="0042675A"/>
    <w:rsid w:val="00436C11"/>
    <w:rsid w:val="00440844"/>
    <w:rsid w:val="0044234D"/>
    <w:rsid w:val="004500F4"/>
    <w:rsid w:val="00471B5D"/>
    <w:rsid w:val="004D1594"/>
    <w:rsid w:val="004E1810"/>
    <w:rsid w:val="005433AE"/>
    <w:rsid w:val="005669B6"/>
    <w:rsid w:val="0058573C"/>
    <w:rsid w:val="005951F5"/>
    <w:rsid w:val="005B384E"/>
    <w:rsid w:val="005C22CE"/>
    <w:rsid w:val="005C3899"/>
    <w:rsid w:val="005D1861"/>
    <w:rsid w:val="00645B3A"/>
    <w:rsid w:val="00656305"/>
    <w:rsid w:val="00660180"/>
    <w:rsid w:val="00660BE3"/>
    <w:rsid w:val="00664690"/>
    <w:rsid w:val="006655F1"/>
    <w:rsid w:val="00696E91"/>
    <w:rsid w:val="006B1420"/>
    <w:rsid w:val="006D4CAF"/>
    <w:rsid w:val="006F548D"/>
    <w:rsid w:val="007013C0"/>
    <w:rsid w:val="00726CBE"/>
    <w:rsid w:val="0074365C"/>
    <w:rsid w:val="00745D0A"/>
    <w:rsid w:val="007768B1"/>
    <w:rsid w:val="007E3C62"/>
    <w:rsid w:val="00806240"/>
    <w:rsid w:val="00810D0C"/>
    <w:rsid w:val="0084507D"/>
    <w:rsid w:val="00845B9A"/>
    <w:rsid w:val="00851E30"/>
    <w:rsid w:val="00865867"/>
    <w:rsid w:val="008A0035"/>
    <w:rsid w:val="008E287D"/>
    <w:rsid w:val="008F18E2"/>
    <w:rsid w:val="0091758F"/>
    <w:rsid w:val="0092381F"/>
    <w:rsid w:val="00925D03"/>
    <w:rsid w:val="00970743"/>
    <w:rsid w:val="0097113D"/>
    <w:rsid w:val="009B3EEC"/>
    <w:rsid w:val="009D445B"/>
    <w:rsid w:val="00A01C74"/>
    <w:rsid w:val="00A37072"/>
    <w:rsid w:val="00A66B8C"/>
    <w:rsid w:val="00AA168B"/>
    <w:rsid w:val="00AA3B35"/>
    <w:rsid w:val="00AA44BF"/>
    <w:rsid w:val="00AA6BB1"/>
    <w:rsid w:val="00AB3439"/>
    <w:rsid w:val="00AC4731"/>
    <w:rsid w:val="00AC7E1A"/>
    <w:rsid w:val="00AE6E53"/>
    <w:rsid w:val="00B05D6C"/>
    <w:rsid w:val="00B16CD2"/>
    <w:rsid w:val="00B23B5B"/>
    <w:rsid w:val="00B257BA"/>
    <w:rsid w:val="00B56E66"/>
    <w:rsid w:val="00BA1042"/>
    <w:rsid w:val="00BA5A47"/>
    <w:rsid w:val="00BA7B39"/>
    <w:rsid w:val="00BB64DA"/>
    <w:rsid w:val="00BC5580"/>
    <w:rsid w:val="00BE037C"/>
    <w:rsid w:val="00BF751D"/>
    <w:rsid w:val="00C104AB"/>
    <w:rsid w:val="00C17F5B"/>
    <w:rsid w:val="00C4621B"/>
    <w:rsid w:val="00C903CD"/>
    <w:rsid w:val="00C94FC0"/>
    <w:rsid w:val="00CC11BB"/>
    <w:rsid w:val="00D00A14"/>
    <w:rsid w:val="00D018E4"/>
    <w:rsid w:val="00D43272"/>
    <w:rsid w:val="00D432FD"/>
    <w:rsid w:val="00D55A92"/>
    <w:rsid w:val="00D90488"/>
    <w:rsid w:val="00DB6DEE"/>
    <w:rsid w:val="00DC3CBB"/>
    <w:rsid w:val="00DE29AB"/>
    <w:rsid w:val="00E20652"/>
    <w:rsid w:val="00E20AE5"/>
    <w:rsid w:val="00E619A1"/>
    <w:rsid w:val="00E801B5"/>
    <w:rsid w:val="00E97300"/>
    <w:rsid w:val="00EA677C"/>
    <w:rsid w:val="00EB41D2"/>
    <w:rsid w:val="00EC546B"/>
    <w:rsid w:val="00ED7385"/>
    <w:rsid w:val="00EE1801"/>
    <w:rsid w:val="00EE6CBD"/>
    <w:rsid w:val="00F044CF"/>
    <w:rsid w:val="00F403E4"/>
    <w:rsid w:val="00F63C3E"/>
    <w:rsid w:val="00FC11C7"/>
    <w:rsid w:val="00FC1B5E"/>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7300"/>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E97300"/>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AC64FCFA-EA7E-4CB0-8139-1E8EF833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11795</Words>
  <Characters>67237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6</cp:revision>
  <dcterms:created xsi:type="dcterms:W3CDTF">2020-04-16T08:35:00Z</dcterms:created>
  <dcterms:modified xsi:type="dcterms:W3CDTF">2020-04-16T11:38:00Z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