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77777777" w:rsidR="000E0FC4" w:rsidRPr="00B27AA8" w:rsidRDefault="000E0FC4">
      <w:pPr>
        <w:rPr>
          <w:rFonts w:ascii="Arial" w:hAnsi="Arial" w:cs="Arial"/>
          <w:sz w:val="20"/>
          <w:szCs w:val="20"/>
        </w:rPr>
      </w:pPr>
    </w:p>
    <w:tbl>
      <w:tblPr>
        <w:tblW w:w="15021" w:type="dxa"/>
        <w:tblLook w:val="04A0" w:firstRow="1" w:lastRow="0" w:firstColumn="1" w:lastColumn="0" w:noHBand="0" w:noVBand="1"/>
      </w:tblPr>
      <w:tblGrid>
        <w:gridCol w:w="439"/>
        <w:gridCol w:w="3043"/>
        <w:gridCol w:w="5444"/>
        <w:gridCol w:w="2810"/>
        <w:gridCol w:w="3285"/>
      </w:tblGrid>
      <w:tr w:rsidR="00B27AA8" w:rsidRPr="00B27AA8" w14:paraId="2541E181" w14:textId="77777777" w:rsidTr="00B27AA8">
        <w:trPr>
          <w:trHeight w:val="260"/>
        </w:trPr>
        <w:tc>
          <w:tcPr>
            <w:tcW w:w="15021" w:type="dxa"/>
            <w:gridSpan w:val="5"/>
            <w:tcBorders>
              <w:bottom w:val="single" w:sz="4" w:space="0" w:color="auto"/>
            </w:tcBorders>
            <w:noWrap/>
          </w:tcPr>
          <w:p w14:paraId="1288CD8A" w14:textId="599AEB2B" w:rsidR="00B27AA8" w:rsidRPr="00B27AA8" w:rsidRDefault="00B27AA8" w:rsidP="00B27AA8">
            <w:pPr>
              <w:spacing w:before="12" w:after="120"/>
              <w:rPr>
                <w:rFonts w:ascii="Arial" w:eastAsia="Times New Roman" w:hAnsi="Arial" w:cs="Arial"/>
                <w:color w:val="000000"/>
                <w:sz w:val="20"/>
                <w:szCs w:val="20"/>
                <w:lang w:eastAsia="en-GB"/>
              </w:rPr>
            </w:pPr>
            <w:r w:rsidRPr="00B27AA8">
              <w:rPr>
                <w:rFonts w:ascii="Arial" w:hAnsi="Arial" w:cs="Arial"/>
                <w:b/>
                <w:sz w:val="20"/>
                <w:szCs w:val="20"/>
              </w:rPr>
              <w:t xml:space="preserve">Table 1 </w:t>
            </w:r>
            <w:r w:rsidRPr="00B27AA8">
              <w:rPr>
                <w:rFonts w:ascii="Arial" w:hAnsi="Arial" w:cs="Arial"/>
                <w:sz w:val="20"/>
                <w:szCs w:val="20"/>
              </w:rPr>
              <w:t>Sixteen digital health technologies that a literature review suggested were new or emerging.</w:t>
            </w:r>
          </w:p>
        </w:tc>
      </w:tr>
      <w:tr w:rsidR="00782CC2" w:rsidRPr="00B27AA8"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27AA8"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27AA8" w:rsidRDefault="00782CC2" w:rsidP="00B27AA8">
            <w:pPr>
              <w:spacing w:before="120" w:after="120"/>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Key references</w:t>
            </w:r>
          </w:p>
        </w:tc>
      </w:tr>
      <w:tr w:rsidR="00730A49" w:rsidRPr="00B27AA8" w14:paraId="3E1BACB0" w14:textId="77777777" w:rsidTr="00B27AA8">
        <w:trPr>
          <w:trHeight w:val="250"/>
        </w:trPr>
        <w:tc>
          <w:tcPr>
            <w:tcW w:w="439" w:type="dxa"/>
            <w:tcBorders>
              <w:top w:val="single" w:sz="4" w:space="0" w:color="auto"/>
            </w:tcBorders>
            <w:shd w:val="clear" w:color="auto" w:fill="D5DCE4" w:themeFill="text2" w:themeFillTint="33"/>
            <w:noWrap/>
          </w:tcPr>
          <w:p w14:paraId="42F9F999" w14:textId="519682F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w:t>
            </w:r>
          </w:p>
        </w:tc>
        <w:tc>
          <w:tcPr>
            <w:tcW w:w="3043" w:type="dxa"/>
            <w:tcBorders>
              <w:top w:val="single" w:sz="4" w:space="0" w:color="auto"/>
            </w:tcBorders>
            <w:shd w:val="clear" w:color="auto" w:fill="D5DCE4" w:themeFill="text2" w:themeFillTint="33"/>
          </w:tcPr>
          <w:p w14:paraId="0AE9323C" w14:textId="4A8678A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Swallowables</w:t>
            </w:r>
          </w:p>
        </w:tc>
        <w:tc>
          <w:tcPr>
            <w:tcW w:w="5444" w:type="dxa"/>
            <w:tcBorders>
              <w:top w:val="single" w:sz="4" w:space="0" w:color="auto"/>
            </w:tcBorders>
            <w:shd w:val="clear" w:color="auto" w:fill="D5DCE4" w:themeFill="text2" w:themeFillTint="33"/>
            <w:noWrap/>
          </w:tcPr>
          <w:p w14:paraId="2F38DE7F" w14:textId="1A441BF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Technology that can be ingested</w:t>
            </w:r>
          </w:p>
        </w:tc>
        <w:tc>
          <w:tcPr>
            <w:tcW w:w="2810" w:type="dxa"/>
            <w:tcBorders>
              <w:top w:val="single" w:sz="4" w:space="0" w:color="auto"/>
            </w:tcBorders>
            <w:shd w:val="clear" w:color="auto" w:fill="D5DCE4" w:themeFill="text2" w:themeFillTint="33"/>
            <w:noWrap/>
          </w:tcPr>
          <w:p w14:paraId="33BC788B" w14:textId="02A8B45E"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Local drug delivery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Goffredo","given":"Rosa","non-dropping-particle":"","parse-names":false,"suffix":""},{"dropping-particle":"","family":"Member","given":"Student","non-dropping-particle":"","parse-names":false,"suffix":""},{"dropping-particle":"","family":"Pecora","given":"Alessandro","non-dropping-particle":"","parse-names":false,"suffix":""},{"dropping-particle":"","family":"Maiolo","given":"Luca","non-dropping-particle":"","parse-names":false,"suffix":""},{"dropping-particle":"","family":"Ferrone","given":"Andrea","non-dropping-particle":"","parse-names":false,"suffix":""},{"dropping-particle":"","family":"Guglielmelli","given":"Eugenio","non-dropping-particle":"","parse-names":false,"suffix":""},{"dropping-particle":"","family":"Member","given":"Senior","non-dropping-particle":"","parse-names":false,"suffix":""},{"dropping-particle":"","family":"Accoto","given":"Dino","non-dropping-particle":"","parse-names":false,"suffix":""}],"container-title":"Journal of Microelectromechanical Systems","id":"ITEM-1","issue":"2","issued":{"date-parts":[["2016"]]},"page":"362-370","publisher":"IEEE","title":"A Swallowable Smart Pill for Local Drug Delivery","type":"article-journal","volume":"25"},"uris":["http://www.mendeley.com/documents/?uuid=dcf21dbf-16f6-4ccb-8f07-ddc992a8f9ca"]}],"mendeley":{"formattedCitation":"(Goffredo et al., 2016)","plainTextFormattedCitation":"(Goffredo et al., 2016)","previouslyFormattedCitation":"(Goffredo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(Goffredo et al., 2016)</w:t>
            </w:r>
            <w:r w:rsidRPr="00B27AA8">
              <w:rPr>
                <w:rFonts w:ascii="Arial" w:hAnsi="Arial" w:cs="Arial"/>
                <w:sz w:val="20"/>
                <w:szCs w:val="20"/>
              </w:rPr>
              <w:fldChar w:fldCharType="end"/>
            </w:r>
            <w:r w:rsidRPr="00B27AA8">
              <w:rPr>
                <w:rFonts w:ascii="Arial" w:hAnsi="Arial" w:cs="Arial"/>
                <w:sz w:val="20"/>
                <w:szCs w:val="20"/>
              </w:rPr>
              <w:t xml:space="preserve">, Imaging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Intzes","given":"I.G.","non-dropping-particle":"","parse-names":false,"suffix":""},{"dropping-particle":"","family":"Meng","given":"H.","non-dropping-particle":"","parse-names":false,"suffix":""}],"container-title":"Journal of Engineering Science and Technology Review","id":"ITEM-1","issue":"6","issued":{"date-parts":[["2016"]]},"page":"39-42","title":"Design of wireless swallowable capsule with minimum power consumption and high resolution images","type":"article-journal","volume":"9"},"uris":["http://www.mendeley.com/documents/?uuid=3137deb4-cd40-4d57-9c59-a6b7442d8f6f"]}],"mendeley":{"formattedCitation":"(Intzes &amp; Meng, 2016)","plainTextFormattedCitation":"(Intzes &amp; Meng, 2016)","previouslyFormattedCitation":"(Intzes &amp; Meng,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(Intzes &amp; Meng, 2016)</w:t>
            </w:r>
            <w:r w:rsidRPr="00B27AA8">
              <w:rPr>
                <w:rFonts w:ascii="Arial" w:hAnsi="Arial" w:cs="Arial"/>
                <w:sz w:val="20"/>
                <w:szCs w:val="20"/>
              </w:rPr>
              <w:fldChar w:fldCharType="end"/>
            </w:r>
            <w:r w:rsidRPr="00B27AA8">
              <w:rPr>
                <w:rFonts w:ascii="Arial" w:hAnsi="Arial" w:cs="Arial"/>
                <w:sz w:val="20"/>
                <w:szCs w:val="20"/>
              </w:rPr>
              <w:t xml:space="preserve">, Diagnostics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Schmidt","given":"Arthur","non-dropping-particle":"","parse-names":false,"suffix":""},{"dropping-particle":"","family":"Zimmermann","given":"Melanie","non-dropping-particle":"","parse-names":false,"suffix":""},{"dropping-particle":"","family":"Bauder","given":"Markus","non-dropping-particle":"","parse-names":false,"suffix":""},{"dropping-particle":"","family":"Kuellmer","given":"Armin","non-dropping-particle":"","parse-names":false,"suffix":""},{"dropping-particle":"","family":"Caca","given":"Karel","non-dropping-particle":"","parse-names":false,"suffix":""}],"container-title":"Endoscopy International Open","id":"ITEM-1","issued":{"date-parts":[["2019"]]},"page":"e774-e781","title":"Novel telemetric sensor capsule for EGD urgency triage: a feasibility study Authors","type":"article-journal","volume":"07"},"uris":["http://www.mendeley.com/documents/?uuid=d753b45d-934b-4e2d-ab5a-7ba86a855d94"]}],"mendeley":{"formattedCitation":"(Schmidt et al., 2019)","plainTextFormattedCitation":"(Schmidt et al., 2019)","previouslyFormattedCitation":"(Schmidt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(Schmidt et al., 2019)</w:t>
            </w:r>
            <w:r w:rsidRPr="00B27AA8">
              <w:rPr>
                <w:rFonts w:ascii="Arial" w:hAnsi="Arial" w:cs="Arial"/>
                <w:sz w:val="20"/>
                <w:szCs w:val="20"/>
              </w:rPr>
              <w:fldChar w:fldCharType="end"/>
            </w:r>
            <w:r w:rsidRPr="00B27AA8">
              <w:rPr>
                <w:rFonts w:ascii="Arial" w:hAnsi="Arial" w:cs="Arial"/>
                <w:sz w:val="20"/>
                <w:szCs w:val="20"/>
              </w:rPr>
              <w:t xml:space="preserve">; General healthcare applications </w:t>
            </w:r>
            <w:r w:rsidRPr="00B27AA8">
              <w:rPr>
                <w:rFonts w:ascii="Arial" w:hAnsi="Arial" w:cs="Arial"/>
                <w:sz w:val="20"/>
                <w:szCs w:val="20"/>
              </w:rPr>
              <w:fldChar w:fldCharType="begin" w:fldLock="1"/>
            </w:r>
            <w:r w:rsidR="003911CC" w:rsidRPr="00B27AA8">
              <w:rPr>
                <w:rFonts w:ascii="Arial" w:hAnsi="Arial" w:cs="Arial"/>
                <w:sz w:val="20"/>
                <w:szCs w:val="20"/>
              </w:rPr>
              <w:instrText>ADDIN CSL_CITATION {"citationItems":[{"id":"ITEM-1","itemData":{"author":[{"dropping-particle":"","family":"Olano","given":"Carolina","non-dropping-particle":"","parse-names":false,"suffix":""}],"container-title":"Endoscopy International Open","id":"ITEM-1","issued":{"date-parts":[["2019"]]},"page":"e782-e783","title":"Swallowable capsules are not only for videos","type":"article-journal","volume":"07"},"uris":["http://www.mendeley.com/documents/?uuid=1fdb36c9-28ff-49d7-9d76-a43792ec9082"]}],"mendeley":{"formattedCitation":"(Olano, 2019)","plainTextFormattedCitation":"(Olano, 2019)","previouslyFormattedCitation":"(Olano,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(Olano, 2019)</w:t>
            </w:r>
            <w:r w:rsidRPr="00B27AA8">
              <w:rPr>
                <w:rFonts w:ascii="Arial" w:hAnsi="Arial" w:cs="Arial"/>
                <w:sz w:val="20"/>
                <w:szCs w:val="20"/>
              </w:rPr>
              <w:fldChar w:fldCharType="end"/>
            </w:r>
          </w:p>
        </w:tc>
        <w:tc>
          <w:tcPr>
            <w:tcW w:w="3285" w:type="dxa"/>
            <w:tcBorders>
              <w:top w:val="single" w:sz="4" w:space="0" w:color="auto"/>
            </w:tcBorders>
            <w:shd w:val="clear" w:color="auto" w:fill="D5DCE4" w:themeFill="text2" w:themeFillTint="33"/>
            <w:noWrap/>
          </w:tcPr>
          <w:p w14:paraId="60692E22" w14:textId="4BA6544E" w:rsidR="00730A49" w:rsidRPr="00B27AA8" w:rsidRDefault="006E3405"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fldChar w:fldCharType="begin" w:fldLock="1"/>
            </w:r>
            <w:r w:rsidR="00C93CB9" w:rsidRPr="00B27AA8">
              <w:rPr>
                <w:rFonts w:ascii="Arial" w:eastAsia="Times New Roman" w:hAnsi="Arial" w:cs="Arial"/>
                <w:sz w:val="20"/>
                <w:szCs w:val="20"/>
                <w:lang w:eastAsia="en-GB"/>
              </w:rPr>
              <w:instrText>ADDIN CSL_CITATION {"citationItems":[{"id":"ITEM-1","itemData":{"DOI":"10.21037/hbsn.2018.12.13","ISSN":"23043881","author":[{"dropping-particle":"","family":"Kalantar-Zadeh","given":"Kourosh","non-dropping-particle":"","parse-names":false,"suffix":""},{"dropping-particle":"","family":"Ward","given":"Stephanie A.","non-dropping-particle":"","parse-names":false,"suffix":""}],"container-title":"HepatoBiliary Surgery and Nutrition","id":"ITEM-1","issue":"3","issued":{"date-parts":[["2019"]]},"page":"267-269","title":"Future is ready for swallowable sensors","type":"article-journal","volume":"8"},"uris":["http://www.mendeley.com/documents/?uuid=ae42b803-20d4-42cb-9b3d-8bfeb88ef9b1"]}],"mendeley":{"formattedCitation":"(Kalantar-Zadeh &amp; Ward, 2019)","plainTextFormattedCitation":"(Kalantar-Zadeh &amp; Ward, 2019)","previouslyFormattedCitation":"(Kalantar-Zadeh &amp; Ward,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(Kalantar-Zadeh &amp; Ward, 2019)</w:t>
            </w:r>
            <w:r w:rsidRPr="00B27AA8">
              <w:rPr>
                <w:rFonts w:ascii="Arial" w:eastAsia="Times New Roman" w:hAnsi="Arial" w:cs="Arial"/>
                <w:sz w:val="20"/>
                <w:szCs w:val="20"/>
                <w:lang w:eastAsia="en-GB"/>
              </w:rPr>
              <w:fldChar w:fldCharType="end"/>
            </w:r>
          </w:p>
        </w:tc>
      </w:tr>
      <w:tr w:rsidR="00730A49" w:rsidRPr="00B27AA8" w14:paraId="6EB8E26F" w14:textId="77777777" w:rsidTr="00B27AA8">
        <w:trPr>
          <w:trHeight w:val="250"/>
        </w:trPr>
        <w:tc>
          <w:tcPr>
            <w:tcW w:w="439" w:type="dxa"/>
            <w:noWrap/>
          </w:tcPr>
          <w:p w14:paraId="15CD4CFF" w14:textId="055F49FC"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2</w:t>
            </w:r>
          </w:p>
        </w:tc>
        <w:tc>
          <w:tcPr>
            <w:tcW w:w="3043" w:type="dxa"/>
            <w:hideMark/>
          </w:tcPr>
          <w:p w14:paraId="000F95E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Mail-order prescription</w:t>
            </w:r>
          </w:p>
        </w:tc>
        <w:tc>
          <w:tcPr>
            <w:tcW w:w="5444" w:type="dxa"/>
            <w:noWrap/>
            <w:hideMark/>
          </w:tcPr>
          <w:p w14:paraId="70F75CEB" w14:textId="5D33DF15" w:rsidR="00730A49" w:rsidRPr="00B27AA8" w:rsidRDefault="009E7AB8"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Self-ordering pharmaceuticals online or using an online intermediary for clinician-prescribed pharmaceuticals</w:t>
            </w:r>
          </w:p>
        </w:tc>
        <w:tc>
          <w:tcPr>
            <w:tcW w:w="2810" w:type="dxa"/>
            <w:noWrap/>
            <w:hideMark/>
          </w:tcPr>
          <w:p w14:paraId="5CB48993" w14:textId="67A115F5"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Amazon’s acquisition of PillsPacks; Capsule; NowRx</w:t>
            </w:r>
          </w:p>
        </w:tc>
        <w:tc>
          <w:tcPr>
            <w:tcW w:w="3285" w:type="dxa"/>
            <w:noWrap/>
            <w:hideMark/>
          </w:tcPr>
          <w:p w14:paraId="150EAABD" w14:textId="450B2520" w:rsidR="00730A49" w:rsidRPr="00B27AA8" w:rsidRDefault="003911CC"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Centralised system </w:t>
            </w:r>
            <w:r w:rsidRPr="00B27AA8">
              <w:rPr>
                <w:rFonts w:ascii="Arial" w:eastAsia="Times New Roman" w:hAnsi="Arial" w:cs="Arial"/>
                <w:sz w:val="20"/>
                <w:szCs w:val="20"/>
                <w:lang w:eastAsia="en-GB"/>
              </w:rPr>
              <w:fldChar w:fldCharType="begin" w:fldLock="1"/>
            </w:r>
            <w:r w:rsidRPr="00B27AA8">
              <w:rPr>
                <w:rFonts w:ascii="Arial" w:eastAsia="Times New Roman" w:hAnsi="Arial" w:cs="Arial"/>
                <w:sz w:val="20"/>
                <w:szCs w:val="20"/>
                <w:lang w:eastAsia="en-GB"/>
              </w:rPr>
              <w:instrText>ADDIN CSL_CITATION {"citationItems":[{"id":"ITEM-1","itemData":{"DOI":"10.1093/ajhp/zxz138","ISSN":"15352900","abstract":"PURPOSE: The development and implementation of centralized mail-order pharmacy services in an academic healthcare system are described. SUMMARY: The use of mail-order pharmacy services continues to increase, as mail-order services offer patient benefits such as reduced copayments and improved clinical outcomes. Prior to undertaking an initiative to improve its mail-order pharmacy services, the University of Utah Health system's pharmacy department offered decentralized mail-order pharmacy services at all of its retail pharmacies, but there was no standardized process for processing mail-order prescriptions or providing phone support to mail-order patients. Centralized mail-order pharmacy services were developed and implemented by creating (1) a standard process for mail-order pharmacy services, (2) a centralized mail-order prescription filling center, and (3) a call center to support mail-order pharmacy services. Implementation of centralized mail-order pharmacy services resulted in an almost 50% reduction in time spent by pharmacy team members on mail-order prescription filling and packaging tasks. Use of a central call center resulted in a decreased call abandonment rate and contributed to a decreased pharmacy workload resulting from an overall reduction in call volume due to an increased rate of first-call issue resolution. CONCLUSION: Establishment of a centralized mail-order pharmacy service along with operational and infrastructure improvements resulted in improved quality and regulatory compliance and enhanced labor efficiency and patient communication.","author":[{"dropping-particle":"","family":"Kappenman","given":"Ashley M.","non-dropping-particle":"","parse-names":false,"suffix":""},{"dropping-particle":"","family":"Ragsdale","given":"Russell","non-dropping-particle":"","parse-names":false,"suffix":""},{"dropping-particle":"","family":"Rim","given":"Matthew H.","non-dropping-particle":"","parse-names":false,"suffix":""},{"dropping-particle":"","family":"Tyler","given":"Linda S.","non-dropping-particle":"","parse-names":false,"suffix":""},{"dropping-particle":"","family":"Nickman","given":"Nancy A.","non-dropping-particle":"","parse-names":false,"suffix":""}],"container-title":"American journal of health-system pharmacy : AJHP : official journal of the American Society of Health-System Pharmacists","id":"ITEM-1","issue":"3","issued":{"date-parts":[["2019"]]},"page":"S74-S78","title":"Implementation of a centralized mail-order pharmacy service","type":"article-journal","volume":"76"},"uris":["http://www.mendeley.com/documents/?uuid=39a67b01-104f-4f4e-bc35-1fedb4759644"]}],"mendeley":{"formattedCitation":"(Kappenman et al., 2019)","plainTextFormattedCitation":"(Kappenman et al., 2019)","previouslyFormattedCitation":"(Kappenman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(Kappenman et al., 2019)</w:t>
            </w:r>
            <w:r w:rsidRPr="00B27AA8">
              <w:rPr>
                <w:rFonts w:ascii="Arial" w:eastAsia="Times New Roman" w:hAnsi="Arial" w:cs="Arial"/>
                <w:sz w:val="20"/>
                <w:szCs w:val="20"/>
                <w:lang w:eastAsia="en-GB"/>
              </w:rPr>
              <w:fldChar w:fldCharType="end"/>
            </w:r>
            <w:r w:rsidRPr="00B27AA8">
              <w:rPr>
                <w:rFonts w:ascii="Arial" w:eastAsia="Times New Roman" w:hAnsi="Arial" w:cs="Arial"/>
                <w:sz w:val="20"/>
                <w:szCs w:val="20"/>
                <w:lang w:eastAsia="en-GB"/>
              </w:rPr>
              <w:t xml:space="preserve">; Adherence in mail-order and community pharmacies </w:t>
            </w:r>
            <w:r w:rsidRPr="00B27AA8">
              <w:rPr>
                <w:rFonts w:ascii="Arial" w:eastAsia="Times New Roman" w:hAnsi="Arial" w:cs="Arial"/>
                <w:sz w:val="20"/>
                <w:szCs w:val="20"/>
                <w:lang w:eastAsia="en-GB"/>
              </w:rPr>
              <w:fldChar w:fldCharType="begin" w:fldLock="1"/>
            </w:r>
            <w:r w:rsidR="006E3405" w:rsidRPr="00B27AA8">
              <w:rPr>
                <w:rFonts w:ascii="Arial" w:eastAsia="Times New Roman" w:hAnsi="Arial" w:cs="Arial"/>
                <w:sz w:val="20"/>
                <w:szCs w:val="20"/>
                <w:lang w:eastAsia="en-GB"/>
              </w:rPr>
              <w:instrText>ADDIN CSL_CITATION {"citationItems":[{"id":"ITEM-1","itemData":{"DOI":"10.18553/jmcp.2019.25.3.332","ISSN":"23761032","abstract":"BACKGROUND: Adherence to oral antihyperglycemic agents (AHAs) is important for managing blood glucose levels and avoiding hospitalizations or diabetes complications. Previous studies have found that use of mail-order pharmacy dispensing channels results in greater adherence than use of community pharmacies, but the link between use of mail-order pharmacies and improved clinical outcomes has not been established. OBJECTIVE: To compare the effect of mail-order and community pharmacy use on adherence to oral AHAs, hemoglobin A1c (A1c) level, and glycemic control, as well as emergency department (ED) and inpatient hospital use. METHODS: This retrospective cohort study of administrative claims data from January 1, 2008, to December 31, 2016, included patients with Medicare Advantage Prescription Drug plan coverage with ≥2 claims for the same oral AHA and a diagnosis of type 2 diabetes mellitus (T2DM). Patients were indexed to the start of the most advanced oral AHA identified to begin study observations at the start of a new treatment and assigned to mail-order or community pharmacy cohorts based on which channel dispensed ≥80% of their oral AHA claims; all others were excluded. Mail-order and community pharmacy patients were 1:1 propensity score matched. Matched cohorts were compared on proportion of days covered (PDC), adherence (PDC≥0.8), A1c level, glycemic control, and ED and inpatient use for measurement periods of 12, 24, 36, and 48 months post-index. RESULTS: 19,307 mail-order and 19,307 community pharmacy users were matched. PDC was higher for mail-order pharmacy users at 12 months (0.93 vs. 0.82, P&lt;0.001) and sustainable through 48 months (0.87 vs. 0.77, P&lt;0.001). Adherence was also greater for mail-order pharmacy patients through 12 months (86% vs. 68%, P&lt;0.001) and sustainable through 48 months (78% vs. 62%, P&lt;0.001). Glycemic control as A1c&lt;7% was not significantly different, but control as A1c&lt;8% was greater for mail-order pharmacy users at 12 months (91% vs. 89%, P=0.006) and was greater through 36 months (93% vs. 89%, P=0.043). Effects on A1c level were not evident. Mail-order pharmacy users were less likely to have an ED visit within 12 months (26% vs. 28%, P&lt;0.0001), and the difference was observed through 36 months (50% vs. 54%, P&lt;0.0001). Similarly, fewer mail-order pharmacy users had an inpatient hospitalization within 12 months (17% vs. 19%, P&lt;0.0001), and the difference was observed through 48 months (43% vs. 47%, P=0.009). CONCLUSIONS…","author":[{"dropping-particle":"","family":"Schwab","given":"Phil","non-dropping-particle":"","parse-names":false,"suffix":""},{"dropping-particle":"","family":"Racsa","given":"Patrick","non-dropping-particle":"","parse-names":false,"suffix":""},{"dropping-particle":"","family":"Rascati","given":"Karen","non-dropping-particle":"","parse-names":false,"suffix":""},{"dropping-particle":"","family":"Mourer","given":"Marc","non-dropping-particle":"","parse-names":false,"suffix":""},{"dropping-particle":"","family":"Meah","given":"Yunus","non-dropping-particle":"","parse-names":false,"suffix":""},{"dropping-particle":"","family":"Worley","given":"Karen","non-dropping-particle":"","parse-names":false,"suffix":""}],"container-title":"Journal of Managed Care and Specialty Pharmacy","id":"ITEM-1","issue":"3","issued":{"date-parts":[["2019"]]},"page":"332-340","title":"A retrospective database study comparing diabetes-related medication adherence and health outcomes for mail-order versus community pharmacy","type":"article-journal","volume":"25"},"uris":["http://www.mendeley.com/documents/?uuid=cccada29-76b4-416f-a9ce-072c81437180"]},{"id":"ITEM-2","itemData":{"DOI":"10.18553/jmcp.2019.25.3.332.2.","author":[{"dropping-particle":"","family":"Farley","given":"Joel F.","non-dropping-particle":"","parse-names":false,"suffix":""},{"dropping-particle":"","family":"Urick","given":"Benjamin Y.","non-dropping-particle":"","parse-names":false,"suffix":""},{"dropping-particle":"","family":"Schondelmeyer","given":"Stephen W.","non-dropping-particle":"","parse-names":false,"suffix":""}],"container-title":"Journal of Managed Care &amp; Specialty Pharmacy","id":"ITEM-2","issue":"6","issued":{"date-parts":[["2019"]]},"page":"724-725","title":"Community pharmacy versus mail order: An uneven comparison","type":"article-journal","volume":"25"},"uris":["http://www.mendeley.com/documents/?uuid=e9ef42af-dbe8-4e93-a9b8-0fc743e25fba"]}],"mendeley":{"formattedCitation":"(Farley et al., 2019; Schwab et al., 2019)","plainTextFormattedCitation":"(Farley et al., 2019; Schwab et al., 2019)","previouslyFormattedCitation":"(Farley et al., 2019; Schwab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(Farley et al., 2019; Schwab et al., 2019)</w:t>
            </w:r>
            <w:r w:rsidRPr="00B27AA8">
              <w:rPr>
                <w:rFonts w:ascii="Arial" w:eastAsia="Times New Roman" w:hAnsi="Arial" w:cs="Arial"/>
                <w:sz w:val="20"/>
                <w:szCs w:val="20"/>
                <w:lang w:eastAsia="en-GB"/>
              </w:rPr>
              <w:fldChar w:fldCharType="end"/>
            </w:r>
          </w:p>
        </w:tc>
      </w:tr>
      <w:tr w:rsidR="00730A49" w:rsidRPr="00B27AA8" w14:paraId="44C1311E" w14:textId="77777777" w:rsidTr="00B27AA8">
        <w:trPr>
          <w:trHeight w:val="250"/>
        </w:trPr>
        <w:tc>
          <w:tcPr>
            <w:tcW w:w="439" w:type="dxa"/>
            <w:shd w:val="clear" w:color="auto" w:fill="D5DCE4" w:themeFill="text2" w:themeFillTint="33"/>
            <w:noWrap/>
          </w:tcPr>
          <w:p w14:paraId="45D3AAFE" w14:textId="00BF8F7F"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3</w:t>
            </w:r>
          </w:p>
        </w:tc>
        <w:tc>
          <w:tcPr>
            <w:tcW w:w="3043" w:type="dxa"/>
            <w:shd w:val="clear" w:color="auto" w:fill="D5DCE4" w:themeFill="text2" w:themeFillTint="33"/>
            <w:hideMark/>
          </w:tcPr>
          <w:p w14:paraId="6453B70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Neural implants and interfaces</w:t>
            </w:r>
          </w:p>
        </w:tc>
        <w:tc>
          <w:tcPr>
            <w:tcW w:w="5444" w:type="dxa"/>
            <w:shd w:val="clear" w:color="auto" w:fill="D5DCE4" w:themeFill="text2" w:themeFillTint="33"/>
            <w:noWrap/>
            <w:hideMark/>
          </w:tcPr>
          <w:p w14:paraId="7AA25352" w14:textId="0AA56AD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Embedded or surface devices sensitive to neural potentials that are used to inform or operate action</w:t>
            </w:r>
          </w:p>
        </w:tc>
        <w:tc>
          <w:tcPr>
            <w:tcW w:w="2810" w:type="dxa"/>
            <w:shd w:val="clear" w:color="auto" w:fill="D5DCE4" w:themeFill="text2" w:themeFillTint="33"/>
            <w:noWrap/>
            <w:hideMark/>
          </w:tcPr>
          <w:p w14:paraId="40637CAE" w14:textId="420FE9E4"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Neuralink; DARPA; Kernel; Facebook</w:t>
            </w:r>
          </w:p>
        </w:tc>
        <w:tc>
          <w:tcPr>
            <w:tcW w:w="3285" w:type="dxa"/>
            <w:shd w:val="clear" w:color="auto" w:fill="D5DCE4" w:themeFill="text2" w:themeFillTint="33"/>
            <w:noWrap/>
            <w:hideMark/>
          </w:tcPr>
          <w:p w14:paraId="43B2FDD8" w14:textId="047EA26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{"citationItems":[{"id":"ITEM-1","itemData":{"DOI":"10.1016/j.snb.2016.12.096","ISSN":"09254005","abstract":"The development of neural implants is seeking minimally invasive approaches by utilizing novel polymer substrates and integration concepts to interface the living tissue. In the recent years, versatile, soft, flexible interfaces have been proposed due to the emerging results in micro- and nanoengineering as well as material chemistry. New devices are able to record neural potentials, modulate neuronal populations or peripheral nerves with optogenetic or chemical stimuli controlled in both space and time. Additionally, combination of ECoG recording with other imaging techniques like fMRI or two-photon microscopy may offer new insights into brain function, which requires careful design in terms of material composition and device configuration. The aim of this paper is to give a concise review on the progress in this rapidly developing field focusing on substrate materials, microfabrication techniques and integration concepts. Multiple device functionality and compatibility with other neuroimaging methods will be discussed. Recent findings of in vivo biocompatibility studies on polymer based neural implants will be also summarized.","author":[{"dropping-particle":"","family":"Fekete","given":"Z.","non-dropping-particle":"","parse-names":false,"suffix":""},{"dropping-particle":"","family":"Pongrácz","given":"A.","non-dropping-particle":"","parse-names":false,"suffix":""}],"container-title":"Sensors and Actuators, B: Chemical","id":"ITEM-1","issued":{"date-parts":[["2017"]]},"page":"1214-1223","title":"Multifunctional soft implants to monitor and control neural activity in the central and peripheral nervous system: A review","type":"article-journal","volume":"243"},"uris":["http://www.mendeley.com/documents/?uuid=b2170c60-356c-4a63-9ea6-0ba6e0c8514b"]}],"mendeley":{"formattedCitation":"(Fekete &amp; Pongrácz, 2017)","plainTextFormattedCitation":"(Fekete &amp; Pongrácz, 2017)","previouslyFormattedCitation":"(Fekete &amp; Pongrácz,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(Fekete &amp; Pongrácz, 2017)</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tbcas.2020.2966920","ISSN":"1932-4545","author":[{"dropping-particle":"","family":"Das","given":"Rupam","non-dropping-particle":"","parse-names":false,"suffix":""},{"dropping-particle":"","family":"Moradi","given":"Farshad","non-dropping-particle":"","parse-names":false,"suffix":""},{"dropping-particle":"","family":"Heidari","given":"Hadi","non-dropping-particle":"","parse-names":false,"suffix":""}],"container-title":"IEEE Transactions on Biomedical Circuits and Systems","id":"ITEM-1","issued":{"date-parts":[["2020"]]},"page":"1-1","publisher":"IEEE","title":"Biointegrated and Wirelessly Powered Implantable Brain Devices: A Review","type":"article-journal","volume":"PP"},"uris":["http://www.mendeley.com/documents/?uuid=a9688737-46a8-4575-a428-cd1e8faf86c4"]},{"id":"ITEM-2","itemData":{"DOI":"10.1088/1741-2552/ab36df","ISSN":"17412552","abstract":"Technological advances in electrically active implantable devices have increased the complexity of hardware design. In particular, the increasing number of stimulation and recording channels requires innovative approaches for connectors that interface electrodes with the implant circuitry. Objective. This work aims to provide a common theoretical ground for implantable connector development with a focus on neural applications. Approach. Aspects and experiences from several disciplines are compiled from an engineering perspective to discuss the state of the art of connector solutions. Whenever available, we also present general design guidelines. Main results. Degradation mechanisms, material stability and design rules in terms of biocompatibility and biostability are introduced. Considering contact physics, we address the design and characterization of the contact zone and review contaminants, wear and contact degradation. For high-channel counts and body-like environments, insulation can be even more crucial than the electrical connection itself. Therefore, we also introduce the requirements for electrical insulation to prevent signal loss and distortion and discuss its impact on the practical implementation. Significance. A final review is dedicated to the state of the art connector concepts, their mechanical setup, electrical performance and the interface to other implant components. We conclude with an outlook for possible approaches for the future generations of implants.","author":[{"dropping-particle":"","family":"Koch","given":"Julia","non-dropping-particle":"","parse-names":false,"suffix":""},{"dropping-particle":"","family":"Schuettler","given":"Martin","non-dropping-particle":"","parse-names":false,"suffix":""},{"dropping-particle":"","family":"Pasluosta","given":"Cristian","non-dropping-particle":"","parse-names":false,"suffix":""},{"dropping-particle":"","family":"Stieglitz","given":"Thomas","non-dropping-particle":"","parse-names":false,"suffix":""}],"container-title":"Journal of Neural Engineering","id":"ITEM-2","issue":"6","issued":{"date-parts":[["2019"]]},"publisher":"IOP Publishing","title":"Electrical connectors for neural implants: Design, state of the art and future challenges of an underestimated component","type":"article-journal","volume":"16"},"uris":["http://www.mendeley.com/documents/?uuid=dc0e2d32-c40c-445d-81ab-13012109082c"]}],"mendeley":{"formattedCitation":"(Das et al., 2020; Koch et al., 2019)","plainTextFormattedCitation":"(Das et al., 2020; Koch et al., 2019)","previouslyFormattedCitation":"(Das et al., 2020; Koch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(Das et al., 2020; Koch et al., 2019)</w:t>
            </w:r>
            <w:r w:rsidRPr="00B27AA8">
              <w:rPr>
                <w:rFonts w:ascii="Arial" w:hAnsi="Arial" w:cs="Arial"/>
                <w:sz w:val="20"/>
                <w:szCs w:val="20"/>
              </w:rPr>
              <w:fldChar w:fldCharType="end"/>
            </w:r>
          </w:p>
        </w:tc>
      </w:tr>
      <w:tr w:rsidR="00730A49" w:rsidRPr="00B27AA8" w14:paraId="01EA994C" w14:textId="77777777" w:rsidTr="00B27AA8">
        <w:trPr>
          <w:trHeight w:val="250"/>
        </w:trPr>
        <w:tc>
          <w:tcPr>
            <w:tcW w:w="439" w:type="dxa"/>
            <w:noWrap/>
          </w:tcPr>
          <w:p w14:paraId="42862A15" w14:textId="5D6DA578"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4</w:t>
            </w:r>
          </w:p>
        </w:tc>
        <w:tc>
          <w:tcPr>
            <w:tcW w:w="3043" w:type="dxa"/>
            <w:hideMark/>
          </w:tcPr>
          <w:p w14:paraId="30094DD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Loneliness and social isolation</w:t>
            </w:r>
          </w:p>
        </w:tc>
        <w:tc>
          <w:tcPr>
            <w:tcW w:w="5444" w:type="dxa"/>
            <w:noWrap/>
            <w:hideMark/>
          </w:tcPr>
          <w:p w14:paraId="6FFBB4ED" w14:textId="3D627DB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Any digital technology intended to reduce loneliness or social isolation</w:t>
            </w:r>
          </w:p>
        </w:tc>
        <w:tc>
          <w:tcPr>
            <w:tcW w:w="2810" w:type="dxa"/>
            <w:noWrap/>
            <w:hideMark/>
          </w:tcPr>
          <w:p w14:paraId="2658CC0E" w14:textId="1B9D96BB"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Geriatric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{"citationItems":[{"id":"ITEM-1","itemData":{"DOI":"10.1016/j.exger.2017.11.017","ISSN":"18736815","abstract":"This systematic review aims to summarize and update the current knowledge on the effectiveness of the existing interventions for alleviating loneliness and social isolation among older persons. A search of PubMed, ISI Web of science, SCOPUS, The Cochrane Library, and CINAHL databases was performed. The terminology combined all possible alternatives of the following keywords: social isolation, loneliness, old people, intervention and effectiveness. Eligible studies were published between January 2011 and February 2016 in English or Italian language and regarded the implementation of loneliness/social isolation interventions among the older generations. Outcome measures in terms of the intervention effects needed to be reported. In total, 15 quantitative and five qualitative studies were ultimately included in this review. Eighteen interventions were reported across the quantitative studies. Six out of 11 group interventions (55%), one out of four mixed interventions (25%) and all three individual interventions reported at least one significant finding related to loneliness or social isolation. Our review suggested that new technologies and community engaged arts might be seen as a promising tool for tackling social isolation and loneliness among the older individuals. Future studies need to work on methodological quality and take into consideration the suggestions of the present literature in order to provide firm evidence.","author":[{"dropping-particle":"","family":"Poscia","given":"Andrea","non-dropping-particle":"","parse-names":false,"suffix":""},{"dropping-particle":"","family":"Stojanovic","given":"Jovana","non-dropping-particle":"","parse-names":false,"suffix":""},{"dropping-particle":"","family":"Milia","given":"Daniele Ignazio","non-dropping-particle":"La","parse-names":false,"suffix":""},{"dropping-particle":"","family":"Duplaga","given":"Mariusz","non-dropping-particle":"","parse-names":false,"suffix":""},{"dropping-particle":"","family":"Grysztar","given":"Marcin","non-dropping-particle":"","parse-names":false,"suffix":""},{"dropping-particle":"","family":"Moscato","given":"Umberto","non-dropping-particle":"","parse-names":false,"suffix":""},{"dropping-particle":"","family":"Onder","given":"Graziano","non-dropping-particle":"","parse-names":false,"suffix":""},{"dropping-particle":"","family":"Collamati","given":"Agnese","non-dropping-particle":"","parse-names":false,"suffix":""},{"dropping-particle":"","family":"Ricciardi","given":"Walter","non-dropping-particle":"","parse-names":false,"suffix":""},{"dropping-particle":"","family":"Magnavita","given":"Nicola","non-dropping-particle":"","parse-names":false,"suffix":""}],"container-title":"Experimental Gerontology","id":"ITEM-1","issue":"December 2017","issued":{"date-parts":[["2018"]]},"page":"133-144","publisher":"Elsevier","title":"Interventions targeting loneliness and social isolation among the older people: An update systematic review","type":"article-journal","volume":"102"},"uris":["http://www.mendeley.com/documents/?uuid=14aa23e2-bd83-4330-8986-d1141fbcb34f"]}],"mendeley":{"formattedCitation":"(Poscia et al., 2018)","plainTextFormattedCitation":"(Poscia et al., 2018)","previouslyFormattedCitation":"(Poscia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(Poscia et al., 2018)</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{"citationItems":[{"id":"ITEM-1","itemData":{"DOI":"10.2196/jmir.4596","ISSN":"14388871","abstract":"BACKGROUND: The aging of the population is an inexorable change that challenges governments and societies in every developed country. Based on clinical and empirical data, social isolation is found to be prevalent among elderly people, and it has negative consequences on the elderly's psychological and physical health. Targeting social isolation has become a focus area for policy and practice. Evidence indicates that contemporary information and communication technologies (ICT) have the potential to prevent or reduce the social isolation of elderly people via various mechanisms.\nOBJECTIVE: This systematic review explored the effects of ICT interventions on reducing social isolation of the elderly.\nMETHODS: Relevant electronic databases (PsycINFO, PubMed, MEDLINE, EBSCO, SSCI, Communication Studies: a SAGE Full-Text Collection, Communication &amp; Mass Media Complete, Association for Computing Machinery (ACM) Digital Library, and IEEE Xplore) were systematically searched using a unified strategy to identify quantitative and qualitative studies on the effectiveness of ICT-mediated social isolation interventions for elderly people published in English between 2002 and 2015. Narrative synthesis was performed to interpret the results of the identified studies, and their quality was also appraised.\nRESULTS: Twenty-five publications were included in the review. Four of them were evaluated as rigorous research. Most studies measured the effectiveness of ICT by measuring specific dimensions rather than social isolation in general. ICT use was consistently found to affect social support, social connectedness, and social isolation in general positively. The results for loneliness were inconclusive. Even though most were positive, some studies found a nonsignificant or negative impact. More importantly, the positive effect of ICT use on social connectedness and social support seemed to be short-term and did not last for more than six months after the intervention. The results for self-esteem and control over one's life were consistent but generally nonsignificant. ICT was found to alleviate the elderly's social isolation through four mechanisms: connecting to the outside world, gaining social support, engaging in activities of interests, and boosting self-confidence.\nCONCLUSIONS: More well-designed studies that contain a minimum risk of research bias are needed to draw conclusions on the effectiveness of ICT interventions for elderly people in reducing their perceived …","author":[{"dropping-particle":"","family":"Chen","given":"Yi Ru Regina","non-dropping-particle":"","parse-names":false,"suffix":""},{"dropping-particle":"","family":"Schulz","given":"Peter J.","non-dropping-particle":"","parse-names":false,"suffix":""}],"container-title":"Journal of medical Internet research","id":"ITEM-1","issue":"1","issued":{"date-parts":[["2016"]]},"page":"e18","title":"The Effect of Information Communication Technology Interventions on Reducing Social Isolation in the Elderly: A Systematic Review","type":"article-journal","volume":"18"},"uris":["http://www.mendeley.com/documents/?uuid=6cc3bc45-50be-4331-8ef8-30dc6445de53"]}],"mendeley":{"formattedCitation":"(Chen &amp; Schulz, 2016)","plainTextFormattedCitation":"(Chen &amp; Schulz, 2016)","previouslyFormattedCitation":"(Chen &amp; Schulz,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(Chen &amp; Schulz, 2016)</w:t>
            </w:r>
            <w:r w:rsidRPr="00B27AA8">
              <w:rPr>
                <w:rFonts w:ascii="Arial" w:hAnsi="Arial" w:cs="Arial"/>
                <w:sz w:val="20"/>
                <w:szCs w:val="20"/>
              </w:rPr>
              <w:fldChar w:fldCharType="end"/>
            </w:r>
          </w:p>
        </w:tc>
        <w:tc>
          <w:tcPr>
            <w:tcW w:w="3285" w:type="dxa"/>
            <w:noWrap/>
            <w:hideMark/>
          </w:tcPr>
          <w:p w14:paraId="3798F48D" w14:textId="7D2FB6F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{"citationItems":[{"id":"ITEM-1","itemData":{"DOI":"10.2427/12408","ISSN":"22820930","abstract":"Introduction: The aim of this study is to sum up the current knowledge on the effectiveness of the existing interventions for alleviating loneliness and social isolation among older persons. Methods: We used a systematic approach and performed a literature search of MEDLINE, ISI Web of science, SCOPUS, The Cochrane Library, and CINAHL databases. After identifying 13 eligible reviews addressing interventions of our interest, we proceeded with a narrative description of the study findings. Results: The initiatives largely encompassed one-to-one interventions, group activities or community engagement approaches. In particular, technology interventions were recently given much attention. Overall, the studies showed non-satisfying methodological quality and their results were often inconclusive. Conclusions: Although there is a growing body of evidence referring to implementation of interventions targeting social isolation and loneliness among the older populations, future well-designed interventions are necessary in order to draw firm conclusions.","author":[{"dropping-particle":"","family":"Stojanovic","given":"Jovana","non-dropping-particle":"","parse-names":false,"suffix":""},{"dropping-particle":"","family":"Collamati","given":"Agnese","non-dropping-particle":"","parse-names":false,"suffix":""},{"dropping-particle":"","family":"Mariusz","given":"Duplaga","non-dropping-particle":"","parse-names":false,"suffix":""},{"dropping-particle":"","family":"Onder","given":"Graziano","non-dropping-particle":"","parse-names":false,"suffix":""},{"dropping-particle":"","family":"Milia","given":"Daniele Ignazio","non-dropping-particle":"La","parse-names":false,"suffix":""},{"dropping-particle":"","family":"Ricciardi","given":"Walter","non-dropping-particle":"","parse-names":false,"suffix":""},{"dropping-particle":"","family":"Moscato","given":"Umberto","non-dropping-particle":"","parse-names":false,"suffix":""},{"dropping-particle":"","family":"Magnavita","given":"Nicola","non-dropping-particle":"","parse-names":false,"suffix":""},{"dropping-particle":"","family":"Poscia","given":"Andrea","non-dropping-particle":"","parse-names":false,"suffix":""}],"container-title":"Epidemiology Biostatistics and Public Health","id":"ITEM-1","issue":"2","issued":{"date-parts":[["2017"]]},"page":"1-8","title":"Decreasing loneliness and social isolation among the older people: Systematic search and narrative review","type":"article-journal","volume":"14"},"uris":["http://www.mendeley.com/documents/?uuid=2d88fb7f-4207-4dff-81d5-d9ba6bea2df5"]}],"mendeley":{"formattedCitation":"(Stojanovic et al., 2017)","plainTextFormattedCitation":"(Stojanovic et al., 2017)","previouslyFormattedCitation":"(Stojanovic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(Stojanovic et al., 2017)</w:t>
            </w:r>
            <w:r w:rsidRPr="00B27AA8">
              <w:rPr>
                <w:rFonts w:ascii="Arial" w:hAnsi="Arial" w:cs="Arial"/>
                <w:sz w:val="20"/>
                <w:szCs w:val="20"/>
              </w:rPr>
              <w:fldChar w:fldCharType="end"/>
            </w:r>
            <w:r w:rsidRPr="00B27AA8">
              <w:rPr>
                <w:rFonts w:ascii="Arial" w:hAnsi="Arial" w:cs="Arial"/>
                <w:sz w:val="20"/>
                <w:szCs w:val="20"/>
              </w:rPr>
              <w:t xml:space="preserve">; Planned review and meta-analysis of the effectiveness of digital interventions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{"citationItems":[{"id":"ITEM-1","itemData":{"DOI":"10.1136/bmjopen-2019-032455","ISSN":"20446055","abstract":"Introduction Loneliness is an emerging public health problem that is associated with social, emotional, mental and physical health issues. The application of digital technology (DT) interventions to reduce loneliness has significantly increased in the recent years. The effectiveness of DT interventions needs to be assessed systematically. Methods and analysis Aim: To undertake a systematic review and meta-analysis on the effectiveness of DT interventions to reduce loneliness among adults. Design: Systematic review and meta-analysis. Data sources: PubMed, Medline, CINAHL, EMBASE and Web of Science. Publication period: 1 January 2010 to 31 July 2019. Inclusion criteria: Primary studies involving the application of DT interventions to reduce loneliness, involving adult participants (aged ≥18 years), follow-up period ≥3 months and published in the English language. Synthesis and meta-analysis: A narrative summary of the characteristics of included studies, findings by the type of DT intervention, and the age, gender and ethnicity of participants. A meta-analysis by the study design and duration of follow-up and determination of random effects size using the RevMan V.5 software. Quality of evidence and bias: Quality of evidence assessed the RoB V.2.0 (revised tool for Risk of Bias in randomized trials) and ROBINS-I (Risk Of Bias in Non-randomized Studies - of Interventions) tools for randomised control trials and non-randomised studies, respectively. Heterogeneity between studies will be determined by the I 2 and Cochran's Q statistics and publication bias checked with funnel plots and the Egger's test. Ethics and dissemination Ethics approval was not required for this protocol. The findings will be disseminated through journal articles and conference presentations. PROSPERO registration number CRD42019131524.","author":[{"dropping-particle":"","family":"Shah","given":"Syed Ghulam Sarwar","non-dropping-particle":"","parse-names":false,"suffix":""},{"dropping-particle":"","family":"Nogueras","given":"David","non-dropping-particle":"","parse-names":false,"suffix":""},{"dropping-particle":"","family":"Woerden","given":"Hugo","non-dropping-particle":"Van","parse-names":false,"suffix":""},{"dropping-particle":"","family":"Kiparoglou","given":"Vasiliki","non-dropping-particle":"","parse-names":false,"suffix":""}],"container-title":"BMJ Open","id":"ITEM-1","issue":"9","issued":{"date-parts":[["2019"]]},"page":"1-9","title":"Effectiveness of digital technology interventions to reduce loneliness in adults: A protocol for a systematic review and meta-analysis","type":"article-journal","volume":"9"},"uris":["http://www.mendeley.com/documents/?uuid=a3a9bd46-2a00-4f1c-a9f0-e6186e4c3939"]}],"mendeley":{"formattedCitation":"(Shah et al., 2019)","plainTextFormattedCitation":"(Shah et al., 2019)","previouslyFormattedCitation":"(Shah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(Shah et al., 2019)</w:t>
            </w:r>
            <w:r w:rsidRPr="00B27AA8">
              <w:rPr>
                <w:rFonts w:ascii="Arial" w:hAnsi="Arial" w:cs="Arial"/>
                <w:sz w:val="20"/>
                <w:szCs w:val="20"/>
              </w:rPr>
              <w:fldChar w:fldCharType="end"/>
            </w:r>
          </w:p>
        </w:tc>
      </w:tr>
      <w:tr w:rsidR="00730A49" w:rsidRPr="00B27AA8" w14:paraId="4F8FF32A" w14:textId="77777777" w:rsidTr="00B27AA8">
        <w:trPr>
          <w:trHeight w:val="250"/>
        </w:trPr>
        <w:tc>
          <w:tcPr>
            <w:tcW w:w="439" w:type="dxa"/>
            <w:shd w:val="clear" w:color="auto" w:fill="D5DCE4" w:themeFill="text2" w:themeFillTint="33"/>
            <w:noWrap/>
          </w:tcPr>
          <w:p w14:paraId="2007A472" w14:textId="72F2F53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5</w:t>
            </w:r>
          </w:p>
        </w:tc>
        <w:tc>
          <w:tcPr>
            <w:tcW w:w="3043" w:type="dxa"/>
            <w:shd w:val="clear" w:color="auto" w:fill="D5DCE4" w:themeFill="text2" w:themeFillTint="33"/>
            <w:hideMark/>
          </w:tcPr>
          <w:p w14:paraId="603C66DB"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Blockchain</w:t>
            </w:r>
          </w:p>
        </w:tc>
        <w:tc>
          <w:tcPr>
            <w:tcW w:w="5444" w:type="dxa"/>
            <w:shd w:val="clear" w:color="auto" w:fill="D5DCE4" w:themeFill="text2" w:themeFillTint="33"/>
            <w:noWrap/>
            <w:hideMark/>
          </w:tcPr>
          <w:p w14:paraId="0842CE4E" w14:textId="2444E5C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Open, decentralised, cryptographic ledger</w:t>
            </w:r>
            <w:r w:rsidR="00C93CB9" w:rsidRPr="00B27AA8">
              <w:rPr>
                <w:rFonts w:ascii="Arial" w:hAnsi="Arial" w:cs="Arial"/>
                <w:sz w:val="20"/>
                <w:szCs w:val="20"/>
              </w:rPr>
              <w:t>s</w:t>
            </w:r>
          </w:p>
        </w:tc>
        <w:tc>
          <w:tcPr>
            <w:tcW w:w="2810" w:type="dxa"/>
            <w:shd w:val="clear" w:color="auto" w:fill="D5DCE4" w:themeFill="text2" w:themeFillTint="33"/>
            <w:noWrap/>
            <w:hideMark/>
          </w:tcPr>
          <w:p w14:paraId="05F14BA6" w14:textId="58E6E681"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Prescribing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14","ISBN":"9783030173470","author":[{"dropping-particle":"","family":"Seitz","given":"Juergen","non-dropping-particle":"","parse-names":false,"suffix":""},{"dropping-particle":"","family":"Wickramasinghe","given":"Nilmini","non-dropping-particle":"","parse-names":false,"suffix":""}],"id":"ITEM-1","issued":{"date-parts":[["2020"]]},"page":"299-316","title":"Opportunities for Using Blockchain Technology in e-Health: e-Prescribing in Germany","type":"article-journal"},"uris":["http://www.mendeley.com/documents/?uuid=71e6a77b-9685-40c8-a8dd-6caedc588e7d"]}],"mendeley":{"formattedCitation":"(Seitz &amp; Wickramasinghe, 2020)","plainTextFormattedCitation":"(Seitz &amp; Wickramasinghe, 2020)","previouslyFormattedCitation":"(Seitz &amp; Wickramasinghe,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(Seitz &amp; Wickramasinghe, 2020)</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{"citationItems":[{"id":"ITEM-1","itemData":{"DOI":"10.3390/sym10100470","ISSN":"20738994","abstract":"Blockchain technology enables a decentralized and distributed environment with no need for a central authority. Transactions are simultaneously secure and trustworthy due to the use of cryptographic principles. In recent years, blockchain technology has become very trendy and penetrated different domains, mostly due to the popularity of cryptocurrencies. One field where blockchain technology has tremendous potential is healthcare, due to the need for a more patient-centric approach to healthcare systems and to connect disparate systems and increase the accuracy of electronic healthcare records (EHRs). In this systematic review, an analysis of state-of-the-art blockchain research in the field of healthcare is conducted. The aim is to reveal the potential applications of the technology and to highlight the challenges and possible directions of blockchain research in healthcare. First, background information is discussed, followed by a description of the exact methodology used in this paper. Next, an analysis of the results is given, which includes a bibliometric overview, an analysis of gathered data and its properties, and the results of a literature quality assessment. Lastly, there is a discussion of the results from the analysis. The findings indicate that blockchain technology research in healthcare is increasing and it is mostly used for data sharing, managing health records and access control. Other scenarios are very rare. Most research is aimed at presenting novel structural designs in the form of frameworks, architectures or models. Findings also show that technical details about the used blockchain elements are not given in most of the analyzed publications and that most research does not present any prototype implementation or implementation details. Often even with a prototype implementation, no details about blockchain elements are given.","author":[{"dropping-particle":"","family":"Hölbl","given":"Marko","non-dropping-particle":"","parse-names":false,"suffix":""},{"dropping-particle":"","family":"Kompara","given":"Marko","non-dropping-particle":"","parse-names":false,"suffix":""},{"dropping-particle":"","family":"Kamišalić","given":"Aida","non-dropping-particle":"","parse-names":false,"suffix":""},{"dropping-particle":"","family":"Zlatolas","given":"Lili Nemec","non-dropping-particle":"","parse-names":false,"suffix":""}],"container-title":"Symmetry","id":"ITEM-1","issue":"10","issued":{"date-parts":[["2018"]]},"title":"A systematic review of the use of blockchain in healthcare","type":"article-journal","volume":"10"},"uris":["http://www.mendeley.com/documents/?uuid=3c2e9054-9e5b-41e9-8936-2eb2fa90d917"]},{"id":"ITEM-2","itemData":{"DOI":"10.3390/healthcare7020056","ISSN":"2227-9032","abstract":"Since blockchain was introduced through Bitcoin, research has been ongoing to extend its applications to non-financial use cases. Healthcare is one industry in which blockchain is expected to have significant impacts. Research in this area is relatively new but growing rapidly; so, health informatics researchers and practitioners are always struggling to keep pace with research progress in this area. This paper reports on a systematic review of the ongoing research in the application of blockchain technology in healthcare. The research methodology is based on the Preferred Reporting Items for Systematic Reviews and Meta-Analysis (PRISMA) guidelines and a systematic mapping study process, in which a well-designed search protocol is used to search four scientific databases, to identify, extract and analyze all relevant publications. The review shows that a number of studies have proposed different use cases for the application of blockchain in healthcare; however, there is a lack of adequate prototype implementations and studies to characterize the effectiveness of these proposed use cases. The review further highlights the state-of-the-art in the development of blockchain applications for healthcare, their limitations and the areas for future research. To this end, therefore, there is still the need for more research to better understand, characterize and evaluate the utility of blockchain in healthcare.","author":[{"dropping-particle":"","family":"Agbo","given":"Cornelius","non-dropping-particle":"","parse-names":false,"suffix":""},{"dropping-particle":"","family":"Mahmoud","given":"Qusay","non-dropping-particle":"","parse-names":false,"suffix":""},{"dropping-particle":"","family":"Eklund","given":"J.","non-dropping-particle":"","parse-names":false,"suffix":""}],"container-title":"Healthcare","id":"ITEM-2","issue":"2","issued":{"date-parts":[["2019"]]},"page":"56","title":"Blockchain Technology in Healthcare: A Systematic Review","type":"article-journal","volume":"7"},"uris":["http://www.mendeley.com/documents/?uuid=271164ca-1ad7-497a-8f51-9107146f4cf8"]}],"mendeley":{"formattedCitation":"(Agbo et al., 2019; Hölbl et al., 2018)","plainTextFormattedCitation":"(Agbo et al., 2019; Hölbl et al., 2018)","previouslyFormattedCitation":"(Agbo et al., 2019; Hölbl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(Agbo et al., 2019; Hölbl et al., 2018)</w:t>
            </w:r>
            <w:r w:rsidRPr="00B27AA8">
              <w:rPr>
                <w:rFonts w:ascii="Arial" w:hAnsi="Arial" w:cs="Arial"/>
                <w:sz w:val="20"/>
                <w:szCs w:val="20"/>
              </w:rPr>
              <w:fldChar w:fldCharType="end"/>
            </w:r>
          </w:p>
        </w:tc>
        <w:tc>
          <w:tcPr>
            <w:tcW w:w="3285" w:type="dxa"/>
            <w:shd w:val="clear" w:color="auto" w:fill="D5DCE4" w:themeFill="text2" w:themeFillTint="33"/>
            <w:noWrap/>
            <w:hideMark/>
          </w:tcPr>
          <w:p w14:paraId="14EFD375" w14:textId="055E1A6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{"citationItems":[{"id":"ITEM-1","itemData":{"DOI":"10.1016/j.jnca.2019.02.027","ISSN":"10958592","abstract":"Blockchain has a range of built-in features, such as distributed ledger, decentralized storage, authentication, security, and immutability, and has moved beyond hype to practical applications in industry sectors such as Healthcare. Blockchain applications in the healthcare sector generally require more stringent authentication, interoperability, and record sharing requirements, due to exacting legal requirements, such as Health Insurance Portability and Accountability Act of 1996 (HIPAA). Building on existing blockchain technologies, researchers in both academia and industry have started to explore applications that are geared toward healthcare use. These applications include smart contracts, fraud detection, and identity verification. Even with these improvements, there are still concerns as blockchain technology has its own specific vulnerabilities and issues that need to be addressed, such as mining incentives, mining attacks, and key management. Additionally, many of the healthcare applications have unique requirements that are not addressed by many of the blockchain experiments being explored, as highlighted in this survey paper. A number of potential research opportunities are also discussed in this paper.","author":[{"dropping-particle":"","family":"McGhin","given":"Thomas","non-dropping-particle":"","parse-names":false,"suffix":""},{"dropping-particle":"","family":"Choo","given":"Kim Kwang Raymond","non-dropping-particle":"","parse-names":false,"suffix":""},{"dropping-particle":"","family":"Liu","given":"Charles Zhechao","non-dropping-particle":"","parse-names":false,"suffix":""},{"dropping-particle":"","family":"He","given":"Debiao","non-dropping-particle":"","parse-names":false,"suffix":""}],"container-title":"Journal of Network and Computer Applications","id":"ITEM-1","issue":"February","issued":{"date-parts":[["2019"]]},"page":"62-75","publisher":"Elsevier Ltd","title":"Blockchain in healthcare applications: Research challenges and opportunities","type":"article-journal","volume":"135"},"uris":["http://www.mendeley.com/documents/?uuid=ed8e26e2-ae92-47d2-a70b-a1e6e087396c"]}],"mendeley":{"formattedCitation":"(McGhin et al., 2019)","plainTextFormattedCitation":"(McGhin et al., 2019)","previouslyFormattedCitation":"(McGhin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(McGhin et al., 2019)</w:t>
            </w:r>
            <w:r w:rsidRPr="00B27AA8">
              <w:rPr>
                <w:rFonts w:ascii="Arial" w:hAnsi="Arial" w:cs="Arial"/>
                <w:sz w:val="20"/>
                <w:szCs w:val="20"/>
              </w:rPr>
              <w:fldChar w:fldCharType="end"/>
            </w:r>
          </w:p>
        </w:tc>
      </w:tr>
      <w:tr w:rsidR="00730A49" w:rsidRPr="00B27AA8" w14:paraId="23382411" w14:textId="77777777" w:rsidTr="00B27AA8">
        <w:trPr>
          <w:trHeight w:val="250"/>
        </w:trPr>
        <w:tc>
          <w:tcPr>
            <w:tcW w:w="439" w:type="dxa"/>
            <w:noWrap/>
          </w:tcPr>
          <w:p w14:paraId="60706CEB" w14:textId="5D6CD7D7"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6</w:t>
            </w:r>
          </w:p>
        </w:tc>
        <w:tc>
          <w:tcPr>
            <w:tcW w:w="3043" w:type="dxa"/>
            <w:hideMark/>
          </w:tcPr>
          <w:p w14:paraId="540F6B5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Biohacking</w:t>
            </w:r>
          </w:p>
        </w:tc>
        <w:tc>
          <w:tcPr>
            <w:tcW w:w="5444" w:type="dxa"/>
            <w:noWrap/>
            <w:hideMark/>
          </w:tcPr>
          <w:p w14:paraId="6E956E4C" w14:textId="075540A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D.I.Y., citizen-science, biological investigations and interventions</w:t>
            </w:r>
          </w:p>
        </w:tc>
        <w:tc>
          <w:tcPr>
            <w:tcW w:w="2810" w:type="dxa"/>
            <w:noWrap/>
            <w:hideMark/>
          </w:tcPr>
          <w:p w14:paraId="75B55251" w14:textId="7E9D12AC"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{"citationItems":[{"id":"ITEM-1","itemData":{"DOI":"10.2139/ssrn.3490006","author":[{"dropping-particle":"","family":"Zettler","given":"Patricia J.","non-dropping-particle":"","parse-names":false,"suffix":""},{"dropping-particle":"","family":"Guerrini","given":"Christi J.","non-dropping-particle":"","parse-names":false,"suffix":""},{"dropping-particle":"","family":"Sherkow","given":"Jacob S.","non-dropping-particle":"","parse-names":false,"suffix":""}],"container-title":"Consuming Genetic Technologies: Ethical and Legal Considerations","id":"ITEM-1","issued":{"date-parts":[["2019"]]},"title":"Finding a regulatory balance for genetic biohacking","type":"article-journal"},"uris":["http://www.mendeley.com/documents/?uuid=77babc6a-831a-4b96-8c4d-f1037511d52b"]}],"mendeley":{"formattedCitation":"(Zettler et al., 2019)","plainTextFormattedCitation":"(Zettler et al., 2019)","previouslyFormattedCitation":"(Zettler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(Zettler et al., 2019)</w:t>
            </w:r>
            <w:r w:rsidRPr="00B27AA8">
              <w:rPr>
                <w:rFonts w:ascii="Arial" w:hAnsi="Arial" w:cs="Arial"/>
                <w:sz w:val="20"/>
                <w:szCs w:val="20"/>
              </w:rPr>
              <w:fldChar w:fldCharType="end"/>
            </w:r>
          </w:p>
        </w:tc>
        <w:tc>
          <w:tcPr>
            <w:tcW w:w="3285" w:type="dxa"/>
            <w:noWrap/>
            <w:hideMark/>
          </w:tcPr>
          <w:p w14:paraId="062D515D" w14:textId="6A8E3140"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{"citationItems":[{"id":"ITEM-1","itemData":{"DOI":"10.1016/j.tibtech.2018.02.011","ISSN":"18793096","abstract":"Biohacking is a do-it-yourself citizen science merging body modification with technology. The motivations of biohackers include cybernetic exploration, personal data acquisition, and advocating for privacy rights and open-source medicine. The emergence of a biohacking community has influenced discussions of cultural values, medical ethics, safety, and consent in transhumanist technology.","author":[{"dropping-particle":"","family":"Yetisen","given":"Ali K.","non-dropping-particle":"","parse-names":false,"suffix":""}],"container-title":"Trends in Biotechnology","id":"ITEM-1","issue":"8","issued":{"date-parts":[["2018"]]},"page":"744-747","title":"Biohacking","type":"article-journal","volume":"36"},"uris":["http://www.mendeley.com/documents/?uuid=5eed0764-9f24-4624-9f4f-ac27b157f308"]}],"mendeley":{"formattedCitation":"(Yetisen, 2018)","plainTextFormattedCitation":"(Yetisen, 2018)","previouslyFormattedCitation":"(Yetisen,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(Yetisen, 2018)</w:t>
            </w:r>
            <w:r w:rsidRPr="00B27AA8">
              <w:rPr>
                <w:rFonts w:ascii="Arial" w:hAnsi="Arial" w:cs="Arial"/>
                <w:sz w:val="20"/>
                <w:szCs w:val="20"/>
              </w:rPr>
              <w:fldChar w:fldCharType="end"/>
            </w:r>
          </w:p>
          <w:p w14:paraId="4823DF3E"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240A6989" w14:textId="77777777" w:rsidTr="00B27AA8">
        <w:trPr>
          <w:trHeight w:val="250"/>
        </w:trPr>
        <w:tc>
          <w:tcPr>
            <w:tcW w:w="439" w:type="dxa"/>
            <w:shd w:val="clear" w:color="auto" w:fill="D5DCE4" w:themeFill="text2" w:themeFillTint="33"/>
            <w:noWrap/>
          </w:tcPr>
          <w:p w14:paraId="3BCC7226" w14:textId="4C6AED60"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7</w:t>
            </w:r>
          </w:p>
        </w:tc>
        <w:tc>
          <w:tcPr>
            <w:tcW w:w="3043" w:type="dxa"/>
            <w:shd w:val="clear" w:color="auto" w:fill="D5DCE4" w:themeFill="text2" w:themeFillTint="33"/>
            <w:hideMark/>
          </w:tcPr>
          <w:p w14:paraId="2D43EAB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Digital Twin</w:t>
            </w:r>
          </w:p>
        </w:tc>
        <w:tc>
          <w:tcPr>
            <w:tcW w:w="5444" w:type="dxa"/>
            <w:shd w:val="clear" w:color="auto" w:fill="D5DCE4" w:themeFill="text2" w:themeFillTint="33"/>
            <w:noWrap/>
            <w:hideMark/>
          </w:tcPr>
          <w:p w14:paraId="218FDF7F" w14:textId="4BBE59A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digital representation of a physical item or assembly using integrated simulations and service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{"citationItems":[{"id":"ITEM-1","itemData":{"DOI":"10.1016/j.promfg.2018.10.167","ISSN":"23519789","abstract":"Digital twins are digital representations of physical products or systems that consist of multiple models from various domains describing them on multiple scales. By means of communication, digital twins change and evolve together with their physical counterparts throughout their lifecycle. Domain-specific partial models that make up the digital twin, such as the CAD model or the degradation model, are usually well known and provide accurate descriptions of certain parts of the physical asset. However, in complex systems, the value of integrating the partial models increases because it facilitates the study of their complex behaviours which only emerge from the interactions between various parts of the system. The paper proposes that the partial models of the digital twin share a common model space that integrates them through a definition of their interrelations and acts as a bridge between the digital twin and the physical asset. The approach is illustrated in a case of a mechatronic product - a differential drive mobile robot developed as a testbed for digital twin research. It is demonstrated how the integrated models add value to different stages of the lifecycle, allowing for evaluation of performance in the design stage and real-time reflection with the physical asset during its operation.","author":[{"dropping-particle":"","family":"Vrabič","given":"Rok","non-dropping-particle":"","parse-names":false,"suffix":""},{"dropping-particle":"","family":"Erkoyuncu","given":"John Ahmet","non-dropping-particle":"","parse-names":false,"suffix":""},{"dropping-particle":"","family":"Butala","given":"Peter","non-dropping-particle":"","parse-names":false,"suffix":""},{"dropping-particle":"","family":"Roy","given":"Rajkumar","non-dropping-particle":"","parse-names":false,"suffix":""}],"container-title":"Procedia Manufacturing","id":"ITEM-1","issued":{"date-parts":[["2018"]]},"page":"139-146","publisher":"Elsevier B.V.","title":"Digital twins: Understanding the added value of integrated models for through-life engineering services","type":"article-journal","volume":"16"},"uris":["http://www.mendeley.com/documents/?uuid=5555b45a-a919-41dd-8605-f991517010c6"]}],"mendeley":{"formattedCitation":"(Vrabič et al., 2018)","plainTextFormattedCitation":"(Vrabič et al., 2018)","previouslyFormattedCitation":"(Vrabič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(Vrabič et al., 2018)</w:t>
            </w:r>
            <w:r w:rsidRPr="00B27AA8">
              <w:rPr>
                <w:rFonts w:ascii="Arial" w:hAnsi="Arial" w:cs="Arial"/>
                <w:sz w:val="20"/>
                <w:szCs w:val="20"/>
              </w:rPr>
              <w:fldChar w:fldCharType="end"/>
            </w:r>
          </w:p>
        </w:tc>
        <w:tc>
          <w:tcPr>
            <w:tcW w:w="2810" w:type="dxa"/>
            <w:shd w:val="clear" w:color="auto" w:fill="D5DCE4" w:themeFill="text2" w:themeFillTint="33"/>
            <w:noWrap/>
            <w:hideMark/>
          </w:tcPr>
          <w:p w14:paraId="277DD864" w14:textId="0A2072B3"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{"citationItems":[{"id":"ITEM-1","itemData":{"author":[{"dropping-particle":"","family":"Angulo","given":"Cecilio","non-dropping-particle":"","parse-names":false,"suffix":""},{"dropping-particle":"","family":"Ortega","given":"Juan Antonio","non-dropping-particle":"","parse-names":false,"suffix":""},{"dropping-particle":"","family":"Gonzalez-Abril","given":"Luis","non-dropping-particle":"","parse-names":false,"suffix":""}],"container-title":"Artificial Intelligence Research and Development: Proceedings of the 22nd International Conference of the Catalan Association for Artificial Intelligence","editor":[{"dropping-particle":"","family":"Sabater-Mir","given":"J.","non-dropping-particle":"","parse-names":false,"suffix":""},{"dropping-particle":"","family":"Torra","given":"V.","non-dropping-particle":"","parse-names":false,"suffix":""},{"dropping-particle":"","family":"Aguiló","given":"I.","non-dropping-particle":"","parse-names":false,"suffix":""}],"id":"ITEM-1","issued":{"date-parts":[["2019"]]},"page":"312-","publisher":"IOS Press","title":"Towards a healthcare digital twin","type":"chapter"},"uris":["http://www.mendeley.com/documents/?uuid=1c08be5a-0b2e-4ada-b860-6c1ec7f85a24"]}],"mendeley":{"formattedCitation":"(Angulo et al., 2019)","plainTextFormattedCitation":"(Angulo et al., 2019)","previouslyFormattedCitation":"(Angulo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(Angulo et al., 2019)</w:t>
            </w:r>
            <w:r w:rsidRPr="00B27AA8">
              <w:rPr>
                <w:rFonts w:ascii="Arial" w:hAnsi="Arial" w:cs="Arial"/>
                <w:sz w:val="20"/>
                <w:szCs w:val="20"/>
              </w:rPr>
              <w:fldChar w:fldCharType="end"/>
            </w:r>
          </w:p>
        </w:tc>
        <w:tc>
          <w:tcPr>
            <w:tcW w:w="3285" w:type="dxa"/>
            <w:shd w:val="clear" w:color="auto" w:fill="D5DCE4" w:themeFill="text2" w:themeFillTint="33"/>
            <w:noWrap/>
            <w:hideMark/>
          </w:tcPr>
          <w:p w14:paraId="21E33239" w14:textId="40029BC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The technology, its applications, and the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{"citationItems":[{"id":"ITEM-1","itemData":{"abstract":"Digital Twin technology is an emerging concept that has recently become the centre of attention for industry and in more recent year's academia. The advancements in industry 4.0 concepts have facilitated its growth, particularly in the manufacturing industry. The Digital Twin is defined extensively but is described as the effortless integration of data between a physical and virtual machine in either direction. The challenges, applications, and enabling technologies for Artificial Intelligence, Internet of Things and Digital Twins are presented. A review of publications relating to Digital Twins is performed, producing a categorical review of recent papers. The review has categorised them by research area; Manufacturing, Healthcare and Smart cities. Discussing a range of papers that reflect these areas and the current state of research. The paper outlines the open research opportunities and challenges.","author":[{"dropping-particle":"","family":"Fuller","given":"Aidan","non-dropping-particle":"","parse-names":false,"suffix":""},{"dropping-particle":"","family":"Fan","given":"Zhong","non-dropping-particle":"","parse-names":false,"suffix":""},{"dropping-particle":"","family":"Day","given":"Charles","non-dropping-particle":"","parse-names":false,"suffix":""}],"container-title":"arXiv","id":"ITEM-1","issued":{"date-parts":[["2019"]]},"title":"Digital Twin: Enabling Technology, Challenges and Open Research","type":"article-journal"},"uris":["http://www.mendeley.com/documents/?uuid=2d002cb9-b816-477f-b984-92b07c31bd6c"]}],"mendeley":{"formattedCitation":"(Fuller et al., 2019)","plainTextFormattedCitation":"(Fuller et al., 2019)","previouslyFormattedCitation":"(Fuller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(Fuller et al., 2019)</w:t>
            </w:r>
            <w:r w:rsidRPr="00B27AA8">
              <w:rPr>
                <w:rFonts w:ascii="Arial" w:hAnsi="Arial" w:cs="Arial"/>
                <w:sz w:val="20"/>
                <w:szCs w:val="20"/>
              </w:rPr>
              <w:fldChar w:fldCharType="end"/>
            </w:r>
          </w:p>
        </w:tc>
      </w:tr>
      <w:tr w:rsidR="00730A49" w:rsidRPr="00B27AA8" w14:paraId="6160C77C" w14:textId="77777777" w:rsidTr="00B27AA8">
        <w:trPr>
          <w:trHeight w:val="250"/>
        </w:trPr>
        <w:tc>
          <w:tcPr>
            <w:tcW w:w="439" w:type="dxa"/>
            <w:noWrap/>
          </w:tcPr>
          <w:p w14:paraId="3E7F626B" w14:textId="425DE51A"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lastRenderedPageBreak/>
              <w:t>8</w:t>
            </w:r>
          </w:p>
        </w:tc>
        <w:tc>
          <w:tcPr>
            <w:tcW w:w="3043" w:type="dxa"/>
            <w:hideMark/>
          </w:tcPr>
          <w:p w14:paraId="37EF7ECF"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Omics</w:t>
            </w:r>
          </w:p>
        </w:tc>
        <w:tc>
          <w:tcPr>
            <w:tcW w:w="5444" w:type="dxa"/>
            <w:noWrap/>
            <w:hideMark/>
          </w:tcPr>
          <w:p w14:paraId="79E0A02A" w14:textId="01A3306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H</w:t>
            </w:r>
            <w:r w:rsidR="00C93CB9" w:rsidRPr="00B27AA8">
              <w:rPr>
                <w:rFonts w:ascii="Arial" w:hAnsi="Arial" w:cs="Arial"/>
                <w:sz w:val="20"/>
                <w:szCs w:val="20"/>
              </w:rPr>
              <w:t>igh-dimensional</w:t>
            </w:r>
            <w:r w:rsidRPr="00B27AA8">
              <w:rPr>
                <w:rFonts w:ascii="Arial" w:hAnsi="Arial" w:cs="Arial"/>
                <w:sz w:val="20"/>
                <w:szCs w:val="20"/>
              </w:rPr>
              <w:t xml:space="preserve"> and high-throughput analytics.</w:t>
            </w:r>
          </w:p>
        </w:tc>
        <w:tc>
          <w:tcPr>
            <w:tcW w:w="2810" w:type="dxa"/>
            <w:noWrap/>
            <w:hideMark/>
          </w:tcPr>
          <w:p w14:paraId="396D6AB6" w14:textId="6DE038B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Deep-learning 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{"citationItems":[{"id":"ITEM-1","itemData":{"DOI":"10.1158/1078-0432.CCR-17-0853","ISSN":"15573265","abstract":"Identifying robust survival subgroups of hepatocellular carcinoma (HCC) will significantly improve patient care. Currently, endeavor of integrating multi-omics data to explicitly predict HCC survival from multiple patient cohorts is lacking. To fill this gap, we present a deep learning (DL)–based model on HCC that robustly differentiates survival subpopulations of patients in six cohorts. We built the DL-based, survival-sensitive model on 360 HCC patients' data using RNA sequencing (RNA-Seq), miRNA sequencing (miRNA-Seq), and methylation data from The Cancer Genome Atlas (TCGA), which predicts prognosis as good as an alternative model where genomics and clinical data are both considered. This DL-based model provides two optimal subgroups of patients with significant survival differences (P ¼ 7.13e6) and good model fitness [concordance index (C-index) ¼ 0.68]. More aggressive subtype is associated with frequent TP53 inactivation mutations, higher expression of stemness markers (KRT19 and EPCAM) and tumor marker BIRC5, and activated Wnt and Akt signaling pathways. We validated this multi-omics model on five external datasets of various omics types: LIRI-JP cohort (n ¼ 230, C-index ¼ 0.75), NCI cohort (n ¼ 221, C-index ¼ 0.67), Chinese cohort (n ¼ 166, C-index ¼ 0.69), E-TABM-36 cohort (n ¼ 40, C-index ¼ 0.77), and Hawaiian cohort (n ¼ 27, C-index ¼ 0.82). This is the first study to employ DL to identify multi-omics features linked to the differential survival of patients with HCC. Given its robustness over multiple cohorts, we expect this workflow to be useful at predicting HCC prognosis prediction.","author":[{"dropping-particle":"","family":"Chaudhary","given":"Kumardeep","non-dropping-particle":"","parse-names":false,"suffix":""},{"dropping-particle":"","family":"Poirion","given":"Olivier B.","non-dropping-particle":"","parse-names":false,"suffix":""},{"dropping-particle":"","family":"Lu","given":"Liangqun","non-dropping-particle":"","parse-names":false,"suffix":""},{"dropping-particle":"","family":"Garmire","given":"Lana X.","non-dropping-particle":"","parse-names":false,"suffix":""}],"container-title":"Clinical Cancer Research","id":"ITEM-1","issue":"6","issued":{"date-parts":[["2018"]]},"page":"1248-1259","title":"Deep learning–based multi-omics integration robustly predicts survival in liver cancer","type":"article-journal","volume":"24"},"uris":["http://www.mendeley.com/documents/?uuid=ec894b23-8183-4492-ae66-955409c3f070"]}],"mendeley":{"formattedCitation":"(Chaudhary et al., 2018)","plainTextFormattedCitation":"(Chaudhary et al., 2018)","previouslyFormattedCitation":"(Chaudhary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(Chaudhary et al., 2018)</w:t>
            </w:r>
            <w:r w:rsidRPr="00B27AA8">
              <w:rPr>
                <w:rFonts w:ascii="Arial" w:hAnsi="Arial" w:cs="Arial"/>
                <w:sz w:val="20"/>
                <w:szCs w:val="20"/>
              </w:rPr>
              <w:fldChar w:fldCharType="end"/>
            </w:r>
            <w:r w:rsidRPr="00B27AA8">
              <w:rPr>
                <w:rFonts w:ascii="Arial" w:hAnsi="Arial" w:cs="Arial"/>
                <w:sz w:val="20"/>
                <w:szCs w:val="20"/>
              </w:rPr>
              <w:t xml:space="preserve">; Attempt to combine large datasets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{"citationItems":[{"id":"ITEM-1","itemData":{"DOI":"10.1038/nrg.2018.4","ISSN":"14710064","abstract":"Advances in omics technologies-such as genomics, transcriptomics, proteomics and metabolomics-have begun to enable personalized medicine at an extraordinarily detailed molecular level. Individually, these technologies have contributed medical advances that have begun to enter clinical practice. However, each technology individually cannot capture the entire biological complexity of most human diseases. Integration of multiple technologies has emerged as an approach to provide a more comprehensive view of biology and disease. In this Review, we discuss the potential for combining diverse types of data and the utility of this approach in human health and disease. We provide examples of data integration to understand, diagnose and inform treatment of diseases, including rare and common diseases as well as cancer and transplant biology. Finally, we discuss technical and other challenges to clinical implementation of integrative omics.","author":[{"dropping-particle":"","family":"Karczewski","given":"Konrad J.","non-dropping-particle":"","parse-names":false,"suffix":""},{"dropping-particle":"","family":"Snyder","given":"Michael P.","non-dropping-particle":"","parse-names":false,"suffix":""}],"container-title":"Nature Reviews Genetics","id":"ITEM-1","issue":"5","issued":{"date-parts":[["2018"]]},"page":"299-310","title":"Integrative omics for health and disease","type":"article-journal","volume":"19"},"uris":["http://www.mendeley.com/documents/?uuid=083f1377-1e03-4427-a495-e80093f2244f"]}],"mendeley":{"formattedCitation":"(Karczewski &amp; Snyder, 2018)","plainTextFormattedCitation":"(Karczewski &amp; Snyder, 2018)","previouslyFormattedCitation":"(Karczewski &amp; Snyder,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(Karczewski &amp; Snyder, 2018)</w:t>
            </w:r>
            <w:r w:rsidRPr="00B27AA8">
              <w:rPr>
                <w:rFonts w:ascii="Arial" w:hAnsi="Arial" w:cs="Arial"/>
                <w:sz w:val="20"/>
                <w:szCs w:val="20"/>
              </w:rPr>
              <w:fldChar w:fldCharType="end"/>
            </w:r>
          </w:p>
        </w:tc>
        <w:tc>
          <w:tcPr>
            <w:tcW w:w="3285" w:type="dxa"/>
            <w:noWrap/>
            <w:hideMark/>
          </w:tcPr>
          <w:p w14:paraId="35A3A0E8" w14:textId="29BEE6D5"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Technical review of methods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{"citationItems":[{"id":"ITEM-1","itemData":{"DOI":"10.1186/s12859-015-0857-9","ISSN":"14712105","PMID":"26821531","abstract":"Background: Methods for the integrative analysis of multi-omics data are required to draw a more complete and accurate picture of the dynamics of molecular systems. The complexity of biological systems, the technological limits, the large number of biological variables and the relatively low number of biological samples make the analysis of multi-omics datasets a non-trivial problem. Results and Conclusions: We review the most advanced strategies for integrating multi-omics datasets, focusing on mathematical and methodological aspects.","author":[{"dropping-particle":"","family":"Bersanelli","given":"Matteo","non-dropping-particle":"","parse-names":false,"suffix":""},{"dropping-particle":"","family":"Mosca","given":"Ettore","non-dropping-particle":"","parse-names":false,"suffix":""},{"dropping-particle":"","family":"Remondini","given":"Daniel","non-dropping-particle":"","parse-names":false,"suffix":""},{"dropping-particle":"","family":"Giampieri","given":"Enrico","non-dropping-particle":"","parse-names":false,"suffix":""},{"dropping-particle":"","family":"Sala","given":"Claudia","non-dropping-particle":"","parse-names":false,"suffix":""},{"dropping-particle":"","family":"Castellani","given":"Gastone","non-dropping-particle":"","parse-names":false,"suffix":""},{"dropping-particle":"","family":"Milanesi","given":"Luciano","non-dropping-particle":"","parse-names":false,"suffix":""}],"container-title":"BMC Bioinformatics","id":"ITEM-1","issue":"2","issued":{"date-parts":[["2016"]]},"title":"Methods for the integration of multi-omics data: Mathematical aspects","type":"article-journal","volume":"17"},"uris":["http://www.mendeley.com/documents/?uuid=adb67390-b1df-447b-9e82-c42be05b1ec1"]}],"mendeley":{"formattedCitation":"(Bersanelli et al., 2016)","plainTextFormattedCitation":"(Bersanelli et al., 2016)","previouslyFormattedCitation":"(Bersanelli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(Bersanelli et al., 2016)</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{"citationItems":[{"id":"ITEM-1","itemData":{"DOI":"10.1186/1752-0509-8-S2-I1","ISSN":"17520509","abstract":"To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heterogeneous and often large data sets. These data-sets encourage researchers to develop novel data integration methodologies. In this introduction we review the definition and characterize current efforts on data integration in the life sciences. We have used a web-survey to assess current research projects on data-integration to tap into the views, needs and challenges as currently perceived by parts of the research community.","author":[{"dropping-particle":"","family":"Gomez-Cabrero","given":"David","non-dropping-particle":"","parse-names":false,"suffix":""},{"dropping-particle":"","family":"Abugessaisa","given":"Imad","non-dropping-particle":"","parse-names":false,"suffix":""},{"dropping-particle":"","family":"Maier","given":"Dieter","non-dropping-particle":"","parse-names":false,"suffix":""},{"dropping-particle":"","family":"Teschendorff","given":"Andrew","non-dropping-particle":"","parse-names":false,"suffix":""},{"dropping-particle":"","family":"Merkenschlager","given":"Matthias","non-dropping-particle":"","parse-names":false,"suffix":""},{"dropping-particle":"","family":"Gisel","given":"Andreas","non-dropping-particle":"","parse-names":false,"suffix":""},{"dropping-particle":"","family":"Ballestar","given":"Esteban","non-dropping-particle":"","parse-names":false,"suffix":""},{"dropping-particle":"","family":"Bongcam-Rudloff","given":"Erik","non-dropping-particle":"","parse-names":false,"suffix":""},{"dropping-particle":"","family":"Conesa","given":"Ana","non-dropping-particle":"","parse-names":false,"suffix":""},{"dropping-particle":"","family":"Tegnér","given":"Jesper","non-dropping-particle":"","parse-names":false,"suffix":""}],"container-title":"BMC systems biology","id":"ITEM-1","issue":"Suppl 2","issued":{"date-parts":[["2014"]]},"page":"I1","title":"Data integration in the era of omics: current and future challenges","type":"article-journal","volume":"8"},"uris":["http://www.mendeley.com/documents/?uuid=e9bdd7b0-fd29-4a57-972d-4bdabd1e714c"]},{"id":"ITEM-2","itemData":{"DOI":"10.1093/bib/bbw031","ISSN":"14774054","abstract":"Metabolomics is a rapidly growing field consisting of the analysis of a large number of metabolites at a system scale. The two major goals of metabolomics are the identification of the metabolites characterizing each organism state and the measurement of their dynamics under different situations (e.g. pathological conditions, environmental factors). Knowledge about metabolites is crucial for the understanding of most cellular phenomena, but this information alone is not sufficient to gain a comprehensive view of all the biological processes involved. Integrated approaches combining metabolomics with transcriptomics and proteomics are thus required to obtain much deeper insights than any of these techniques alone. Although this information is available, multilevel integration of different 'omics' data is still a challenge. The handling, processing, analysis and integration of these data require specialized mathematical, statistical and bioinformatics tools, and several technical problems hampering a rapid progress in the field exist. Here, we review four main tools for number of users or provided features (MetaCoreTM, MetaboAnalyst, InCroMAP and 3Omics) out of the several available for metabolomic data analysis and integration with other 'omics' data, highlighting their strong and weak aspects; a number of related issues affecting data analysis and integration are also identified and discussed. Overall, we provide an objective description of how some of the main currently available software packages work, which may help the experimental practitioner in the choice of a robust pipeline for metabolomic data analysis and integration.","author":[{"dropping-particle":"","family":"Cambiaghi","given":"Alice","non-dropping-particle":"","parse-names":false,"suffix":""},{"dropping-particle":"","family":"Ferrario","given":"Manuela","non-dropping-particle":"","parse-names":false,"suffix":""},{"dropping-particle":"","family":"Masseroli","given":"Marco","non-dropping-particle":"","parse-names":false,"suffix":""}],"container-title":"Briefings in Bioinformatics","id":"ITEM-2","issue":"3","issued":{"date-parts":[["2017"]]},"page":"498-510","title":"Analysis of metabolomic data: Tools, current strategies and future challenges for omics data integration","type":"article-journal","volume":"18"},"uris":["http://www.mendeley.com/documents/?uuid=4df610ec-d92d-4b79-b5db-3f4606119a71"]}],"mendeley":{"formattedCitation":"(Cambiaghi et al., 2017; Gomez-Cabrero et al., 2014)","plainTextFormattedCitation":"(Cambiaghi et al., 2017; Gomez-Cabrero et al., 2014)","previouslyFormattedCitation":"(Cambiaghi et al., 2017; Gomez-Cabrero et al., 2014)"},"properties":{"noteIndex":0},"schema":"https://github.com/citation-style-language/schema/raw/master/csl-citation.json"}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(Cambiaghi et al., 2017; Gomez-Cabrero et al., 2014)</w:t>
            </w:r>
            <w:r w:rsidRPr="00B27AA8">
              <w:rPr>
                <w:rFonts w:ascii="Arial" w:hAnsi="Arial" w:cs="Arial"/>
                <w:sz w:val="20"/>
                <w:szCs w:val="20"/>
              </w:rPr>
              <w:fldChar w:fldCharType="end"/>
            </w:r>
            <w:r w:rsidRPr="00B27AA8">
              <w:rPr>
                <w:rFonts w:ascii="Arial" w:hAnsi="Arial" w:cs="Arial"/>
                <w:sz w:val="20"/>
                <w:szCs w:val="20"/>
              </w:rPr>
              <w:t xml:space="preserve">;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{"citationItems":[{"id":"ITEM-1","itemData":{"DOI":"10.1016/j.trac.2006.10.007","ISSN":"01659936","abstract":"\"omics\" studies involve the measurement of large numbers of parameters, typically genes (genomics), proteins (proteomics), lipids (lipidomics) or metabolites (metabolomics). Values associated with each of the measured parameters are searched to find examples that correlate with biological endpoints, often disease or cancer. Although the number of parameters being measured has increased dramatically with \"omics\" studies, the number of biological and methodological replicates has not. As with comparable classical biomedical studies, there exist limitations arising from whether or not the analytical methods are adequate for making the measurements needed and whether or not the measurements are implemented properly. In addition, because of the large number of measurements and the limited number of test subjects, unique problems arise in \"omics\" studies involving statistics and bias. Even though improvements in technology may well minimize measurement problems, the inherent difficulties associated with measuring so many parameters from a limited number of test subjects will remain. This review focuses on the four main problems with the \"omics\": bias, statistics, methodology, and method misuse. Although we give suggestions to minimize the impacts of these problems, some problems may not be solved unless the number of measurements is more consistent with the number of possible biological replicates. © 2006 Elsevier Ltd. All rights reserved.","author":[{"dropping-particle":"","family":"Lay","given":"Jackson O.","non-dropping-particle":"","parse-names":false,"suffix":""},{"dropping-particle":"","family":"Borgmann","given":"Sabine","non-dropping-particle":"","parse-names":false,"suffix":""},{"dropping-particle":"","family":"Liyanage","given":"Rohana","non-dropping-particle":"","parse-names":false,"suffix":""},{"dropping-particle":"","family":"Wilkins","given":"Charles L.","non-dropping-particle":"","parse-names":false,"suffix":""}],"container-title":"Trends in Analytical Chemistry","id":"ITEM-1","issue":"11","issued":{"date-parts":[["2006"]]},"page":"1046-1056","title":"Problems with the \"omics\"","type":"article-journal","volume":"25"},"uris":["http://www.mendeley.com/documents/?uuid=9a1573da-ea8b-4c28-9b30-957ec3297c73"]}],"mendeley":{"formattedCitation":"(Lay et al., 2006)","plainTextFormattedCitation":"(Lay et al., 2006)","previouslyFormattedCitation":"(Lay et al., 2006)"},"properties":{"noteIndex":0},"schema":"https://github.com/citation-style-language/schema/raw/master/csl-citation.json"}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(Lay et al., 2006)</w:t>
            </w:r>
            <w:r w:rsidRPr="00B27AA8">
              <w:rPr>
                <w:rFonts w:ascii="Arial" w:hAnsi="Arial" w:cs="Arial"/>
                <w:sz w:val="20"/>
                <w:szCs w:val="20"/>
              </w:rPr>
              <w:fldChar w:fldCharType="end"/>
            </w:r>
          </w:p>
        </w:tc>
      </w:tr>
      <w:tr w:rsidR="00730A49" w:rsidRPr="00B27AA8" w14:paraId="5BFB9C94" w14:textId="77777777" w:rsidTr="00B27AA8">
        <w:trPr>
          <w:trHeight w:val="250"/>
        </w:trPr>
        <w:tc>
          <w:tcPr>
            <w:tcW w:w="439" w:type="dxa"/>
            <w:shd w:val="clear" w:color="auto" w:fill="D5DCE4" w:themeFill="text2" w:themeFillTint="33"/>
            <w:noWrap/>
          </w:tcPr>
          <w:p w14:paraId="58D1CCC4" w14:textId="34E976D9"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9</w:t>
            </w:r>
          </w:p>
        </w:tc>
        <w:tc>
          <w:tcPr>
            <w:tcW w:w="3043" w:type="dxa"/>
            <w:shd w:val="clear" w:color="auto" w:fill="D5DCE4" w:themeFill="text2" w:themeFillTint="33"/>
            <w:hideMark/>
          </w:tcPr>
          <w:p w14:paraId="03A96A8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Conversational A.I.</w:t>
            </w:r>
          </w:p>
        </w:tc>
        <w:tc>
          <w:tcPr>
            <w:tcW w:w="5444" w:type="dxa"/>
            <w:shd w:val="clear" w:color="auto" w:fill="D5DCE4" w:themeFill="text2" w:themeFillTint="33"/>
            <w:noWrap/>
            <w:hideMark/>
          </w:tcPr>
          <w:p w14:paraId="1569538E" w14:textId="40F6B907"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t>
            </w:r>
            <w:r w:rsidRPr="00B27AA8">
              <w:rPr>
                <w:rFonts w:ascii="Arial" w:eastAsia="Times New Roman" w:hAnsi="Arial" w:cs="Arial"/>
                <w:i/>
                <w:color w:val="000000"/>
                <w:sz w:val="20"/>
                <w:szCs w:val="20"/>
                <w:lang w:eastAsia="en-GB"/>
              </w:rPr>
              <w:t>systems that mimic human conversation using text or spoken language</w:t>
            </w:r>
            <w:r w:rsidRPr="00B27AA8">
              <w:rPr>
                <w:rFonts w:ascii="Arial" w:eastAsia="Times New Roman" w:hAnsi="Arial" w:cs="Arial"/>
                <w:color w:val="000000"/>
                <w:sz w:val="20"/>
                <w:szCs w:val="20"/>
                <w:lang w:eastAsia="en-GB"/>
              </w:rPr>
              <w:t xml:space="preserve">” </w:t>
            </w:r>
            <w:r w:rsidRPr="00B27AA8">
              <w:rPr>
                <w:rFonts w:ascii="Arial" w:eastAsia="Times New Roman" w:hAnsi="Arial" w:cs="Arial"/>
                <w:color w:val="000000"/>
                <w:sz w:val="20"/>
                <w:szCs w:val="20"/>
                <w:lang w:eastAsia="en-GB"/>
              </w:rPr>
              <w:fldChar w:fldCharType="begin" w:fldLock="1"/>
            </w:r>
            <w:r w:rsidR="002E75EA" w:rsidRPr="00B27AA8">
              <w:rPr>
                <w:rFonts w:ascii="Arial" w:eastAsia="Times New Roman" w:hAnsi="Arial" w:cs="Arial"/>
                <w:color w:val="000000"/>
                <w:sz w:val="20"/>
                <w:szCs w:val="20"/>
                <w:lang w:eastAsia="en-GB"/>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eastAsia="Times New Roman" w:hAnsi="Arial" w:cs="Arial"/>
                <w:color w:val="000000"/>
                <w:sz w:val="20"/>
                <w:szCs w:val="20"/>
                <w:lang w:eastAsia="en-GB"/>
              </w:rPr>
              <w:fldChar w:fldCharType="separate"/>
            </w:r>
            <w:r w:rsidRPr="00B27AA8">
              <w:rPr>
                <w:rFonts w:ascii="Arial" w:eastAsia="Times New Roman" w:hAnsi="Arial" w:cs="Arial"/>
                <w:noProof/>
                <w:color w:val="000000"/>
                <w:sz w:val="20"/>
                <w:szCs w:val="20"/>
                <w:lang w:eastAsia="en-GB"/>
              </w:rPr>
              <w:t>(Laranjo et al., 2018)</w:t>
            </w:r>
            <w:r w:rsidRPr="00B27AA8">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4B72823" w14:textId="4068D3C0" w:rsidR="00730A49" w:rsidRPr="00B27AA8" w:rsidRDefault="00C93CB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Apple’s Siri; Google Now; Microsoft Cortana; </w:t>
            </w:r>
            <w:r w:rsidR="00730A49" w:rsidRPr="00B27AA8">
              <w:rPr>
                <w:rFonts w:ascii="Arial" w:hAnsi="Arial" w:cs="Arial"/>
                <w:sz w:val="20"/>
                <w:szCs w:val="20"/>
              </w:rPr>
              <w:t xml:space="preserve">Amazon Alexa prize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{"citationItems":[{"id":"ITEM-1","itemData":{"abstract":"Conversational agents are exploding in popularity. However, much work remains in the area of social conversation as well as free-form conversation over a broad range of domains and topics. To advance the state of the art in conversational AI, Amazon launched the Alexa Prize, a 2.5-million-dollar university competition where sixteen selected university teams were challenged to build conversational agents, known as socialbots, to converse coherently and engagingly with humans on popular topics such as Sports, Politics, Entertainment, Fashion and Technology for 20 minutes. The Alexa Prize offers the academic community a unique opportunity to perform research with a live system used by millions of users. The competition provided university teams with real user conversational data at scale, along with the user-provided ratings and feedback augmented with annotations by the Alexa team. This enabled teams to effectively iterate and make improvements throughout the competition while being evaluated in real-time through live user interactions. To build their socialbots, university teams combined state-of-the-art techniques with novel strategies in the areas of Natural Language Understanding, Context Modeling, Dialog Management, Response Generation, and Knowledge Acquisition. To support the efforts of participating teams, the Alexa Prize team made significant scientific and engineering investments to build and improve Conversational Speech Recognition, Topic Tracking, Dialog Evaluation, Voice User Experience, and tools for traffic management and scalability. This paper outlines the advances created by the university teams as well as the Alexa Prize team to achieve the common goal of solving the problem of Conversational AI.","author":[{"dropping-particle":"","family":"Ram","given":"Ashwin","non-dropping-particle":"","parse-names":false,"suffix":""},{"dropping-particle":"","family":"Prasad","given":"Rohit","non-dropping-particle":"","parse-names":false,"suffix":""},{"dropping-particle":"","family":"Khatri","given":"Chandra","non-dropping-particle":"","parse-names":false,"suffix":""},{"dropping-particle":"","family":"Venkatesh","given":"Anu","non-dropping-particle":"","parse-names":false,"suffix":""},{"dropping-particle":"","family":"Gabriel","given":"Raefer","non-dropping-particle":"","parse-names":false,"suffix":""},{"dropping-particle":"","family":"Liu","given":"Qing","non-dropping-particle":"","parse-names":false,"suffix":""},{"dropping-particle":"","family":"Nunn","given":"Jeff","non-dropping-particle":"","parse-names":false,"suffix":""},{"dropping-particle":"","family":"Hedayatnia","given":"Behnam","non-dropping-particle":"","parse-names":false,"suffix":""},{"dropping-particle":"","family":"Cheng","given":"Ming","non-dropping-particle":"","parse-names":false,"suffix":""},{"dropping-particle":"","family":"Nagar","given":"Ashish","non-dropping-particle":"","parse-names":false,"suffix":""},{"dropping-particle":"","family":"King","given":"Eric","non-dropping-particle":"","parse-names":false,"suffix":""},{"dropping-particle":"","family":"Bland","given":"Kate","non-dropping-particle":"","parse-names":false,"suffix":""},{"dropping-particle":"","family":"Wartick","given":"Amanda","non-dropping-particle":"","parse-names":false,"suffix":""},{"dropping-particle":"","family":"Pan","given":"Yi","non-dropping-particle":"","parse-names":false,"suffix":""},{"dropping-particle":"","family":"Song","given":"Han","non-dropping-particle":"","parse-names":false,"suffix":""},{"dropping-particle":"","family":"Jayadevan","given":"Sk","non-dropping-particle":"","parse-names":false,"suffix":""},{"dropping-particle":"","family":"Hwang","given":"Gene","non-dropping-particle":"","parse-names":false,"suffix":""},{"dropping-particle":"","family":"Pettigrue","given":"Art","non-dropping-particle":"","parse-names":false,"suffix":""}],"container-title":"arXiv","id":"ITEM-1","issued":{"date-parts":[["2018"]]},"title":"Conversational AI: The Science Behind the Alexa Prize","type":"article-journal"},"uris":["http://www.mendeley.com/documents/?uuid=90ce4300-9de2-4351-9290-28735184bf23"]}],"mendeley":{"formattedCitation":"(Ram et al., 2018)","plainTextFormattedCitation":"(Ram et al., 2018)","previouslyFormattedCitation":"(Ram et al., 2018)"},"properties":{"noteIndex":0},"schema":"https://github.com/citation-style-language/schema/raw/master/csl-citation.json"}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(Ram et al., 2018)</w:t>
            </w:r>
            <w:r w:rsidR="00730A49" w:rsidRPr="00B27AA8">
              <w:rPr>
                <w:rFonts w:ascii="Arial" w:hAnsi="Arial" w:cs="Arial"/>
                <w:sz w:val="20"/>
                <w:szCs w:val="20"/>
              </w:rPr>
              <w:fldChar w:fldCharType="end"/>
            </w:r>
            <w:r w:rsidR="00730A49" w:rsidRPr="00B27AA8">
              <w:rPr>
                <w:rFonts w:ascii="Arial" w:hAnsi="Arial" w:cs="Arial"/>
                <w:sz w:val="20"/>
                <w:szCs w:val="20"/>
              </w:rPr>
              <w:t xml:space="preserve">; Geriatrics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{"citationItems":[{"id":"ITEM-1","itemData":{"abstract":"There is a need for systems to dynamically interact with ageing populations to gather information, monitor health condition and provide support, especially after hospital discharge or at-home settings. Several smart devices have been delivered by digital health, bundled with telemedicine systems, smartphone and other digital services. While such solutions offer personalised data and suggestions, the real disruptive step comes from the interaction of new digital ecosystem, represented by chatbots. Chatbots will play a leading role by embodying the function of a virtual assistant and bridging the gap between patients and clinicians. Powered by AI and machine learning algorithms, chatbots are forecasted to save healthcare costs when used in place of a human or assist them as a preliminary step of helping to assess a condition and providing self-care recommendations. This paper describes integrating chatbots into telemedicine systems intended for elderly patient after their hospital discharge. The paper discusses possible ways to utilise chatbots to assist healthcare providers and support patients with their condition.","author":[{"dropping-particle":"","family":"Fadhil","given":"Ahmed","non-dropping-particle":"","parse-names":false,"suffix":""}],"container-title":"arXiv","id":"ITEM-1","issued":{"date-parts":[["2018"]]},"title":"Beyond Patient Monitoring: Conversational Agents Role in Telemedicine &amp; Healthcare Support For Home-Living Elderly Individuals","type":"article-journal"},"uris":["http://www.mendeley.com/documents/?uuid=b5a99d84-631e-4e0b-915d-ada2042a215f"]}],"mendeley":{"formattedCitation":"(Fadhil, 2018b)","plainTextFormattedCitation":"(Fadhil, 2018b)","previouslyFormattedCitation":"(Fadhil, 2018b)"},"properties":{"noteIndex":0},"schema":"https://github.com/citation-style-language/schema/raw/master/csl-citation.json"}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2018b)</w:t>
            </w:r>
            <w:r w:rsidR="00730A49" w:rsidRPr="00B27AA8">
              <w:rPr>
                <w:rFonts w:ascii="Arial" w:hAnsi="Arial" w:cs="Arial"/>
                <w:sz w:val="20"/>
                <w:szCs w:val="20"/>
              </w:rPr>
              <w:fldChar w:fldCharType="end"/>
            </w:r>
            <w:r w:rsidR="00730A49" w:rsidRPr="00B27AA8">
              <w:rPr>
                <w:rFonts w:ascii="Arial" w:hAnsi="Arial" w:cs="Arial"/>
                <w:sz w:val="20"/>
                <w:szCs w:val="20"/>
              </w:rPr>
              <w:t xml:space="preserve">; Medication adherence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{"citationItems":[{"id":"ITEM-1","itemData":{"abstract":"Medication adherence is of utmost importance for many chronic conditions, regardless of the disease type. Engaging patients in self-tracking their medication is a big challenge. One way to potentially reduce this burden is to use reminders to promote wellness throughout all stages of life and improve medication adherence. Chatbots have proven effectiveness in triggering users to engage in certain activity, such as medication adherence. In this paper, we discuss \"Roborto\", a chatbot to create an engaging interactive and intelligent environment for patients and assist in positive lifestyle modification. We introduce a way for healthcare providers to track patients adherence and intervene whenever necessary. We describe the health, technical and behavioural approaches to the problem of medication non-adherence and propose a diagnostic and decision support tool. The proposed study will be implemented and validated through a pilot experiment with users to measure the efficacy of the proposed approach.","author":[{"dropping-particle":"","family":"Fadhil","given":"Ahmed","non-dropping-particle":"","parse-names":false,"suffix":""}],"container-title":"arXiv","id":"ITEM-1","issued":{"date-parts":[["2018"]]},"title":"A Conversational Interface to Improve Medication Adherence: Towards AI Support in Patient's Treatment","type":"article-journal"},"uris":["http://www.mendeley.com/documents/?uuid=d18f30dc-dd06-4603-bdac-f71e9b7fa120"]}],"mendeley":{"formattedCitation":"(Fadhil, 2018a)","plainTextFormattedCitation":"(Fadhil, 2018a)","previouslyFormattedCitation":"(Fadhil, 2018a)"},"properties":{"noteIndex":0},"schema":"https://github.com/citation-style-language/schema/raw/master/csl-citation.json"}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2018a)</w:t>
            </w:r>
            <w:r w:rsidR="00730A49" w:rsidRPr="00B27AA8">
              <w:rPr>
                <w:rFonts w:ascii="Arial" w:hAnsi="Arial" w:cs="Arial"/>
                <w:sz w:val="20"/>
                <w:szCs w:val="20"/>
              </w:rPr>
              <w:fldChar w:fldCharType="end"/>
            </w:r>
          </w:p>
        </w:tc>
        <w:tc>
          <w:tcPr>
            <w:tcW w:w="3285" w:type="dxa"/>
            <w:shd w:val="clear" w:color="auto" w:fill="D5DCE4" w:themeFill="text2" w:themeFillTint="33"/>
            <w:noWrap/>
            <w:hideMark/>
          </w:tcPr>
          <w:p w14:paraId="018B6703" w14:textId="40C297B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Perspectives on evaluation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ISBN":"9781450361729","author":[{"dropping-particle":"","family":"Jadeja","given":"Mahipal","non-dropping-particle":"","parse-names":false,"suffix":""},{"dropping-particle":"","family":"Varia","given":"Neelanshi","non-dropping-particle":"","parse-names":false,"suffix":""}],"container-title":"arXiv","id":"ITEM-1","issued":{"date-parts":[["2017"]]},"title":"Perspectives for evaluating conversational AI","type":"article-journal"},"uris":["http://www.mendeley.com/documents/?uuid=9d667bb1-06b7-4518-bfcf-d5d9f94475c7"]}],"mendeley":{"formattedCitation":"(Jadeja &amp; Varia, 2017)","plainTextFormattedCitation":"(Jadeja &amp; Varia, 2017)","previouslyFormattedCitation":"(Jadeja &amp; Varia,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(Jadeja &amp; Varia, 2017)</w:t>
            </w:r>
            <w:r w:rsidRPr="00B27AA8">
              <w:rPr>
                <w:rFonts w:ascii="Arial" w:hAnsi="Arial" w:cs="Arial"/>
                <w:sz w:val="20"/>
                <w:szCs w:val="20"/>
              </w:rPr>
              <w:fldChar w:fldCharType="end"/>
            </w:r>
            <w:r w:rsidRPr="00B27AA8">
              <w:rPr>
                <w:rFonts w:ascii="Arial" w:hAnsi="Arial" w:cs="Arial"/>
                <w:sz w:val="20"/>
                <w:szCs w:val="20"/>
              </w:rPr>
              <w:t xml:space="preserve">; A technical review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{"citationItems":[{"id":"ITEM-1","itemData":{"DOI":"10.1561/1500000074","ISBN":"9781680833508","ISSN":"15540677","abstract":"The present paper surveys neural approaches to conversational AI that have been developed in the last few years. We group conversational systems into three categories: (1) question answering agents, (2) task-oriented dialogue agents, and (3) chatbots. For each category, we present a review of state-of-the-art neural approaches, draw the connection between them and traditional approaches, and discuss the progress that has been made and challenges still being faced, using specific systems and models as case studies.","author":[{"dropping-particle":"","family":"Gao","given":"Jianfeng","non-dropping-particle":"","parse-names":false,"suffix":""},{"dropping-particle":"","family":"Galley","given":"Michel","non-dropping-particle":"","parse-names":false,"suffix":""},{"dropping-particle":"","family":"Li","given":"Lihong","non-dropping-particle":"","parse-names":false,"suffix":""}],"container-title":"Foundations and Trends in Information Retrieval","id":"ITEM-1","issue":"2-3","issued":{"date-parts":[["2019"]]},"number-of-pages":"127-298","title":"Neural approaches to conversational AI","type":"book","volume":"13"},"uris":["http://www.mendeley.com/documents/?uuid=721c479a-32e8-40d1-85cd-33d90a9c9538"]}],"mendeley":{"formattedCitation":"(Gao et al., 2019)","plainTextFormattedCitation":"(Gao et al., 2019)","previouslyFormattedCitation":"(Gao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(Gao et al., 2019)</w:t>
            </w:r>
            <w:r w:rsidRPr="00B27AA8">
              <w:rPr>
                <w:rFonts w:ascii="Arial" w:hAnsi="Arial" w:cs="Arial"/>
                <w:sz w:val="20"/>
                <w:szCs w:val="20"/>
              </w:rPr>
              <w:fldChar w:fldCharType="end"/>
            </w:r>
            <w:r w:rsidRPr="00B27AA8">
              <w:rPr>
                <w:rFonts w:ascii="Arial" w:hAnsi="Arial" w:cs="Arial"/>
                <w:sz w:val="20"/>
                <w:szCs w:val="20"/>
              </w:rPr>
              <w:t xml:space="preserve">; Review of applications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(Laranjo et al., 2018)</w:t>
            </w:r>
            <w:r w:rsidRPr="00B27AA8">
              <w:rPr>
                <w:rFonts w:ascii="Arial" w:hAnsi="Arial" w:cs="Arial"/>
                <w:sz w:val="20"/>
                <w:szCs w:val="20"/>
              </w:rPr>
              <w:fldChar w:fldCharType="end"/>
            </w:r>
          </w:p>
        </w:tc>
      </w:tr>
      <w:tr w:rsidR="00730A49" w:rsidRPr="00B27AA8" w14:paraId="5D0A1D91" w14:textId="77777777" w:rsidTr="00B27AA8">
        <w:trPr>
          <w:trHeight w:val="250"/>
        </w:trPr>
        <w:tc>
          <w:tcPr>
            <w:tcW w:w="439" w:type="dxa"/>
            <w:noWrap/>
          </w:tcPr>
          <w:p w14:paraId="5EB2C656" w14:textId="272CADBA"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10</w:t>
            </w:r>
          </w:p>
        </w:tc>
        <w:tc>
          <w:tcPr>
            <w:tcW w:w="3043" w:type="dxa"/>
            <w:hideMark/>
          </w:tcPr>
          <w:p w14:paraId="0B6FBE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Commercial telemedicine</w:t>
            </w:r>
          </w:p>
        </w:tc>
        <w:tc>
          <w:tcPr>
            <w:tcW w:w="5444" w:type="dxa"/>
            <w:noWrap/>
            <w:hideMark/>
          </w:tcPr>
          <w:p w14:paraId="58DD3573" w14:textId="77777777" w:rsidR="00730A49" w:rsidRPr="00B27AA8" w:rsidRDefault="00730A49" w:rsidP="00C93CB9">
            <w:pPr>
              <w:spacing w:before="120" w:after="120"/>
              <w:rPr>
                <w:rFonts w:ascii="Arial" w:eastAsia="Times New Roman" w:hAnsi="Arial" w:cs="Arial"/>
                <w:color w:val="000000"/>
                <w:sz w:val="20"/>
                <w:szCs w:val="20"/>
                <w:lang w:eastAsia="en-GB"/>
              </w:rPr>
            </w:pPr>
          </w:p>
        </w:tc>
        <w:tc>
          <w:tcPr>
            <w:tcW w:w="2810" w:type="dxa"/>
            <w:noWrap/>
            <w:hideMark/>
          </w:tcPr>
          <w:p w14:paraId="39587197" w14:textId="15BA3C1B"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Amazon.care; Apple’s AC Wellness; </w:t>
            </w:r>
            <w:r w:rsidRPr="00B27AA8">
              <w:rPr>
                <w:rFonts w:ascii="Arial" w:hAnsi="Arial" w:cs="Arial"/>
                <w:sz w:val="20"/>
                <w:szCs w:val="20"/>
              </w:rPr>
              <w:t xml:space="preserve">Diabetes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{"citationItems":[{"id":"ITEM-1","itemData":{"DOI":"10.1089/dia.2019.0090","author":[{"dropping-particle":"","family":"Garg","given":"Satish K","non-dropping-particle":"","parse-names":false,"suffix":""},{"dropping-particle":"","family":"Parkin","given":"Christopher G","non-dropping-particle":"","parse-names":false,"suffix":""}],"container-title":"Diabetes Technology and Therapeutics","id":"ITEM-1","issue":"supplement 2","issued":{"date-parts":[["2019"]]},"title":"The Emerging Role of Telemedicine and Mobile Health Technologies in Improving Diabetes Care","type":"article-journal","volume":"21"},"uris":["http://www.mendeley.com/documents/?uuid=0946c577-1287-4e48-9ea8-379cbabd4684"]}],"mendeley":{"formattedCitation":"(Garg &amp; Parkin, 2019)","plainTextFormattedCitation":"(Garg &amp; Parkin, 2019)","previouslyFormattedCitation":"(Garg &amp; Parkin,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(Garg &amp; Parkin, 2019)</w:t>
            </w:r>
            <w:r w:rsidRPr="00B27AA8">
              <w:rPr>
                <w:rFonts w:ascii="Arial" w:hAnsi="Arial" w:cs="Arial"/>
                <w:sz w:val="20"/>
                <w:szCs w:val="20"/>
              </w:rPr>
              <w:fldChar w:fldCharType="end"/>
            </w:r>
          </w:p>
        </w:tc>
        <w:tc>
          <w:tcPr>
            <w:tcW w:w="3285" w:type="dxa"/>
            <w:noWrap/>
            <w:hideMark/>
          </w:tcPr>
          <w:p w14:paraId="110A8E84"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093FB503" w14:textId="77777777" w:rsidTr="00B27AA8">
        <w:trPr>
          <w:trHeight w:val="250"/>
        </w:trPr>
        <w:tc>
          <w:tcPr>
            <w:tcW w:w="439" w:type="dxa"/>
            <w:shd w:val="clear" w:color="auto" w:fill="D5DCE4" w:themeFill="text2" w:themeFillTint="33"/>
            <w:noWrap/>
          </w:tcPr>
          <w:p w14:paraId="681D25AE" w14:textId="54CE9BF4"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11</w:t>
            </w:r>
          </w:p>
        </w:tc>
        <w:tc>
          <w:tcPr>
            <w:tcW w:w="3043" w:type="dxa"/>
            <w:shd w:val="clear" w:color="auto" w:fill="D5DCE4" w:themeFill="text2" w:themeFillTint="33"/>
            <w:hideMark/>
          </w:tcPr>
          <w:p w14:paraId="413B7487"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Wearables</w:t>
            </w:r>
          </w:p>
        </w:tc>
        <w:tc>
          <w:tcPr>
            <w:tcW w:w="5444" w:type="dxa"/>
            <w:shd w:val="clear" w:color="auto" w:fill="D5DCE4" w:themeFill="text2" w:themeFillTint="33"/>
            <w:noWrap/>
            <w:hideMark/>
          </w:tcPr>
          <w:p w14:paraId="20F24399" w14:textId="4127C9BD"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Sensors that are worn on the body in clothing or directly attached or imbedded.</w:t>
            </w:r>
          </w:p>
        </w:tc>
        <w:tc>
          <w:tcPr>
            <w:tcW w:w="2810" w:type="dxa"/>
            <w:shd w:val="clear" w:color="auto" w:fill="D5DCE4" w:themeFill="text2" w:themeFillTint="33"/>
            <w:noWrap/>
            <w:hideMark/>
          </w:tcPr>
          <w:p w14:paraId="09181549" w14:textId="77777777" w:rsidR="00730A49" w:rsidRPr="00B27AA8" w:rsidRDefault="00730A49" w:rsidP="00C93CB9">
            <w:pPr>
              <w:spacing w:before="120" w:after="120"/>
              <w:rPr>
                <w:rFonts w:ascii="Arial" w:eastAsia="Times New Roman" w:hAnsi="Arial" w:cs="Arial"/>
                <w:sz w:val="20"/>
                <w:szCs w:val="20"/>
                <w:lang w:eastAsia="en-GB"/>
              </w:rPr>
            </w:pPr>
          </w:p>
        </w:tc>
        <w:tc>
          <w:tcPr>
            <w:tcW w:w="3285" w:type="dxa"/>
            <w:shd w:val="clear" w:color="auto" w:fill="D5DCE4" w:themeFill="text2" w:themeFillTint="33"/>
            <w:noWrap/>
            <w:hideMark/>
          </w:tcPr>
          <w:p w14:paraId="7BF536AE"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5A266652" w14:textId="77777777" w:rsidTr="00B27AA8">
        <w:trPr>
          <w:trHeight w:val="500"/>
        </w:trPr>
        <w:tc>
          <w:tcPr>
            <w:tcW w:w="439" w:type="dxa"/>
            <w:noWrap/>
          </w:tcPr>
          <w:p w14:paraId="6C0FFB0B" w14:textId="17EDD8E8"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12</w:t>
            </w:r>
          </w:p>
        </w:tc>
        <w:tc>
          <w:tcPr>
            <w:tcW w:w="3043" w:type="dxa"/>
            <w:hideMark/>
          </w:tcPr>
          <w:p w14:paraId="3C1ED5B9" w14:textId="56EDA1CE" w:rsidR="00730A49" w:rsidRPr="00B27AA8" w:rsidRDefault="002E75EA"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 xml:space="preserve">Immersive technology, a.k.a. </w:t>
            </w:r>
            <w:r w:rsidR="00730A49" w:rsidRPr="00B27AA8">
              <w:rPr>
                <w:rFonts w:ascii="Arial" w:eastAsia="Times New Roman" w:hAnsi="Arial" w:cs="Arial"/>
                <w:color w:val="000000"/>
                <w:sz w:val="20"/>
                <w:szCs w:val="20"/>
                <w:lang w:eastAsia="en-GB"/>
              </w:rPr>
              <w:t>Virtual, Augmented and Mixed Reality</w:t>
            </w:r>
          </w:p>
        </w:tc>
        <w:tc>
          <w:tcPr>
            <w:tcW w:w="5444" w:type="dxa"/>
            <w:noWrap/>
            <w:hideMark/>
          </w:tcPr>
          <w:p w14:paraId="05F9F673" w14:textId="57A7D2C7"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Pr="007000A3">
              <w:rPr>
                <w:rFonts w:ascii="Arial" w:eastAsia="Times New Roman" w:hAnsi="Arial" w:cs="Arial"/>
                <w:i/>
                <w:color w:val="000000"/>
                <w:sz w:val="20"/>
                <w:szCs w:val="20"/>
                <w:lang w:eastAsia="en-GB"/>
              </w:rPr>
              <w:t>technologies that interact with, or leverage, the neuroscience of the human brain</w:t>
            </w:r>
            <w:r>
              <w:rPr>
                <w:rFonts w:ascii="Arial" w:eastAsia="Times New Roman" w:hAnsi="Arial" w:cs="Arial"/>
                <w:color w:val="000000"/>
                <w:sz w:val="20"/>
                <w:szCs w:val="20"/>
                <w:lang w:eastAsia="en-GB"/>
              </w:rPr>
              <w:t xml:space="preserve">” via computer-generated visualisations </w:t>
            </w:r>
            <w:r>
              <w:rPr>
                <w:rFonts w:ascii="Arial" w:eastAsia="Times New Roman" w:hAnsi="Arial" w:cs="Arial"/>
                <w:color w:val="000000"/>
                <w:sz w:val="20"/>
                <w:szCs w:val="20"/>
                <w:lang w:eastAsia="en-GB"/>
              </w:rPr>
              <w:fldChar w:fldCharType="begin" w:fldLock="1"/>
            </w:r>
            <w:r>
              <w:rPr>
                <w:rFonts w:ascii="Arial" w:eastAsia="Times New Roman" w:hAnsi="Arial" w:cs="Arial"/>
                <w:color w:val="000000"/>
                <w:sz w:val="20"/>
                <w:szCs w:val="20"/>
                <w:lang w:eastAsia="en-GB"/>
              </w:rPr>
              <w:instrText>ADDIN CSL_CITATION {"citationItems":[{"id":"ITEM-1","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Innov","id":"ITEM-1","issue":"1","issued":{"date-parts":[["2020"]]},"page":"40-47","title":"The Era of Immersive Health Technology","type":"article-journal","volume":"4"},"uris":["http://www.mendeley.com/documents/?uuid=8edcb9fa-f801-4bf9-8bd6-a5a914177cfa"]}],"mendeley":{"formattedCitation":"(Bremner et al., 2020)","plainTextFormattedCitation":"(Bremner et al., 2020)"},"properties":{"noteIndex":0},"schema":"https://github.com/citation-style-language/schema/raw/master/csl-citation.json"}</w:instrText>
            </w:r>
            <w:r>
              <w:rPr>
                <w:rFonts w:ascii="Arial" w:eastAsia="Times New Roman" w:hAnsi="Arial" w:cs="Arial"/>
                <w:color w:val="000000"/>
                <w:sz w:val="20"/>
                <w:szCs w:val="20"/>
                <w:lang w:eastAsia="en-GB"/>
              </w:rPr>
              <w:fldChar w:fldCharType="separate"/>
            </w:r>
            <w:r w:rsidRPr="007000A3">
              <w:rPr>
                <w:rFonts w:ascii="Arial" w:eastAsia="Times New Roman" w:hAnsi="Arial" w:cs="Arial"/>
                <w:noProof/>
                <w:color w:val="000000"/>
                <w:sz w:val="20"/>
                <w:szCs w:val="20"/>
                <w:lang w:eastAsia="en-GB"/>
              </w:rPr>
              <w:t>(Bremner et al., 2020)</w:t>
            </w:r>
            <w:r>
              <w:rPr>
                <w:rFonts w:ascii="Arial" w:eastAsia="Times New Roman" w:hAnsi="Arial" w:cs="Arial"/>
                <w:color w:val="000000"/>
                <w:sz w:val="20"/>
                <w:szCs w:val="20"/>
                <w:lang w:eastAsia="en-GB"/>
              </w:rPr>
              <w:fldChar w:fldCharType="end"/>
            </w:r>
          </w:p>
        </w:tc>
        <w:tc>
          <w:tcPr>
            <w:tcW w:w="2810" w:type="dxa"/>
            <w:noWrap/>
            <w:hideMark/>
          </w:tcPr>
          <w:p w14:paraId="61703DE4" w14:textId="731404C6"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Decision making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10.1111/hex.12981","ISSN":"13697625","author":[{"dropping-particle":"","family":"Li","given":"Yan","non-dropping-particle":"","parse-names":false,"suffix":""},{"dropping-particle":"","family":"Li","given":"Jinzhi","non-dropping-particle":"","parse-names":false,"suffix":""},{"dropping-particle":"","family":"Zhang","given":"Jing","non-dropping-particle":"","parse-names":false,"suffix":""},{"dropping-particle":"","family":"Ye","given":"Guoliu","non-dropping-particle":"","parse-names":false,"suffix":""},{"dropping-particle":"","family":"Zhou","given":"Zhengmei","non-dropping-particle":"","parse-names":false,"suffix":""}],"container-title":"Health Expectations","id":"ITEM-1","issue":"1","issued":{"date-parts":[["2020"]]},"page":"3-4","title":"medAR: An augmented reality application to improve participation in health-care decisions by family-based intervention","type":"article-journal","volume":"23"},"uris":["http://www.mendeley.com/documents/?uuid=79db23a1-49b1-467e-a899-0350379b6da6"]},{"id":"ITEM-2","itemData":{"DOI":"10.5811/westjem.2017.10.35026","ISSN":"19369018","abstract":"Introduction: Augmented reality (AR), mixed reality (MR), and virtual reality devices are enabling technologies that may facilitate effective communication in healthcare between those with information and knowledge (clinician/specialist; expert; educator) and those seeking understanding and insight (patient/family; non-expert; learner). Investigators initiated an exploratory program to enable the study of AR/MR use-cases in acute care clinical and instructional settings. Methods: Academic clinician educators, computer scientists, and diagnostic imaging specialists conducted a proof-of-concept project to 1) implement a core holoimaging pipeline infrastructure and open-access repository at the study institution, and 2) use novel AR/MR techniques on off-the-shelf devices with holoimages generated by the infrastructure to demonstrate their potential role in the instructive communication of complex medical information. Results: The study team successfully developed a medical holoimaging infrastructure methodology to identify, retrieve, and manipulate real patients’ de-identified computed tomography and magnetic resonance imagesets for rendering, packaging, transfer, and display of modular holoimages onto AR/MR headset devices and connected displays. Holoimages containing key segmentations of cervical and thoracic anatomic structures and pathology were overlaid and registered onto physical task trainers for simulation-based “blind insertion” invasive procedural training. During the session, learners experienced and used task-relevant anatomic holoimages for central venous catheter and tube thoracostomy insertion training with enhanced visual cues and haptic feedback. Direct instructor access into the learner’s AR/MR headset view of the task trainer was achieved for visual-axis interactive instructional guidance. Conclusion: Investigators implemented a core holoimaging pipeline infrastructure and modular open-access repository to generate and enable access to modular holoimages during exploratory pilot stage applications for invasive procedure training that featured innovative AR/MR techniques on off-the-shelf headset devices.","author":[{"dropping-particle":"","family":"Kobayashi","given":"Leo","non-dropping-particle":"","parse-names":false,"suffix":""},{"dropping-particle":"","family":"Zhang","given":"Xiao Chi","non-dropping-particle":"","parse-names":false,"suffix":""},{"dropping-particle":"","family":"Collins","given":"Scott A.","non-dropping-particle":"","parse-names":false,"suffix":""},{"dropping-particle":"","family":"Karim","given":"Naz","non-dropping-particle":"","parse-names":false,"suffix":""},{"dropping-particle":"","family":"Merck","given":"Derek L.","non-dropping-particle":"","parse-names":false,"suffix":""}],"container-title":"Western Journal of Emergency Medicine","id":"ITEM-2","issue":"1","issued":{"date-parts":[["2018"]]},"page":"158-164","title":"Exploratory application of augmented reality/mixed reality devices for acute care procedure training","type":"article-journal","volume":"19"},"uris":["http://www.mendeley.com/documents/?uuid=baa170d1-06fe-4390-9954-b86c215357b2"]}],"mendeley":{"formattedCitation":"(Kobayashi et al., 2018; Li et al., 2020)","plainTextFormattedCitation":"(Kobayashi et al., 2018; Li et al., 2020)","previouslyFormattedCitation":"(Kobayashi et al., 2018; Li et al.,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(Kobayashi et al., 2018; Li et al., 2020)</w:t>
            </w:r>
            <w:r w:rsidRPr="00B27AA8">
              <w:rPr>
                <w:rFonts w:ascii="Arial" w:hAnsi="Arial" w:cs="Arial"/>
                <w:sz w:val="20"/>
                <w:szCs w:val="20"/>
              </w:rPr>
              <w:fldChar w:fldCharType="end"/>
            </w:r>
            <w:r w:rsidRPr="00B27AA8">
              <w:rPr>
                <w:rFonts w:ascii="Arial" w:hAnsi="Arial" w:cs="Arial"/>
                <w:sz w:val="20"/>
                <w:szCs w:val="20"/>
              </w:rPr>
              <w:t xml:space="preserve">; Neurology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{"citationItems":[{"id":"ITEM-1","itemData":{"DOI":"10.5213/inj.1620edi005","ISBN":"0000000270458","ISSN":"2093-6931","author":[{"dropping-particle":"","family":"Kim","given":"Khae Hawn","non-dropping-particle":"","parse-names":false,"suffix":""}],"container-title":"International Neurourology Journal","id":"ITEM-1","issue":"3","issued":{"date-parts":[["2016"]]},"page":"169-170","title":"The Potential Application of Virtual, Augmented, and Mixed Reality in Neurourology","type":"article-journal","volume":"20"},"uris":["http://www.mendeley.com/documents/?uuid=7141455c-6f59-48d7-a271-98b49cbb57aa"]}],"mendeley":{"formattedCitation":"(K. H. Kim, 2016)","plainTextFormattedCitation":"(K. H. Kim, 2016)","previouslyFormattedCitation":"(K. H. Kim,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 H. Kim, 2016)</w:t>
            </w:r>
            <w:r w:rsidRPr="00B27AA8">
              <w:rPr>
                <w:rFonts w:ascii="Arial" w:hAnsi="Arial" w:cs="Arial"/>
                <w:sz w:val="20"/>
                <w:szCs w:val="20"/>
              </w:rPr>
              <w:fldChar w:fldCharType="end"/>
            </w:r>
            <w:r w:rsidRPr="00B27AA8">
              <w:rPr>
                <w:rFonts w:ascii="Arial" w:hAnsi="Arial" w:cs="Arial"/>
                <w:sz w:val="20"/>
                <w:szCs w:val="20"/>
              </w:rPr>
              <w:t xml:space="preserve">; Urology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{"citationItems":[{"id":"ITEM-1","itemData":{"DOI":"10.5213/inj.1632714.357","ISSN":"20936931","abstract":"Recent developments in virtual, augmented, and mixed reality have introduced a considerable number of new devices into the consumer market. This momentum is also affecting the medical and health care sector. Although many of the theoretical and practical foundations of virtual reality (VR) were already researched and experienced in the 1980s, the vastly improved features of displays, sensors, interactivity, and computing power currently available in devices offer a new field of applications to the medical sector and also to urology in particular. The purpose of this review article is to review the extent to which VR technology has already influenced certain aspects of medicine, the applications that are currently in use in urology, and the future development trends that could be expected.","author":[{"dropping-particle":"","family":"Hamacher","given":"Alaric","non-dropping-particle":"","parse-names":false,"suffix":""},{"dropping-particle":"","family":"Kim","given":"Su Jin","non-dropping-particle":"","parse-names":false,"suffix":""},{"dropping-particle":"","family":"Cho","given":"Sung Tae","non-dropping-particle":"","parse-names":false,"suffix":""},{"dropping-particle":"","family":"Pardeshi","given":"Sunil","non-dropping-particle":"","parse-names":false,"suffix":""},{"dropping-particle":"","family":"Lee","given":"Seung Hyun","non-dropping-particle":"","parse-names":false,"suffix":""},{"dropping-particle":"","family":"Eun","given":"Sung Jong","non-dropping-particle":"","parse-names":false,"suffix":""},{"dropping-particle":"","family":"Whangbo","given":"Taeg Keun","non-dropping-particle":"","parse-names":false,"suffix":""}],"container-title":"International Neurourology Journal","id":"ITEM-1","issue":"3","issued":{"date-parts":[["2016"]]},"page":"172-181","title":"Application of virtual, augmented, and mixed reality to urology","type":"article-journal","volume":"20"},"uris":["http://www.mendeley.com/documents/?uuid=0be7d048-d18e-4a11-b9be-0af30ac4bdb2"]}],"mendeley":{"formattedCitation":"(Hamacher et al., 2016)","plainTextFormattedCitation":"(Hamacher et al., 2016)","previouslyFormattedCitation":"(Hamacher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(Hamacher et al., 2016)</w:t>
            </w:r>
            <w:r w:rsidRPr="00B27AA8">
              <w:rPr>
                <w:rFonts w:ascii="Arial" w:hAnsi="Arial" w:cs="Arial"/>
                <w:sz w:val="20"/>
                <w:szCs w:val="20"/>
              </w:rPr>
              <w:fldChar w:fldCharType="end"/>
            </w:r>
            <w:r w:rsidR="002E75EA" w:rsidRPr="00B27AA8">
              <w:rPr>
                <w:rFonts w:ascii="Arial" w:hAnsi="Arial" w:cs="Arial"/>
                <w:sz w:val="20"/>
                <w:szCs w:val="20"/>
              </w:rPr>
              <w:t xml:space="preserve">; Mental health </w:t>
            </w:r>
            <w:r w:rsidR="002E75EA" w:rsidRPr="00B27AA8">
              <w:rPr>
                <w:rFonts w:ascii="Arial" w:hAnsi="Arial" w:cs="Arial"/>
                <w:sz w:val="20"/>
                <w:szCs w:val="20"/>
              </w:rPr>
              <w:fldChar w:fldCharType="begin" w:fldLock="1"/>
            </w:r>
            <w:r w:rsidR="001C6DBC">
              <w:rPr>
                <w:rFonts w:ascii="Arial" w:hAnsi="Arial" w:cs="Arial"/>
                <w:sz w:val="20"/>
                <w:szCs w:val="20"/>
              </w:rPr>
              <w:instrText>ADDIN CSL_CITATION {"citationItems":[{"id":"ITEM-1","itemData":{"DOI":"10.1017/S003329171700040X","ISSN":"14698978","abstract":"Mental health problems are inseparable from the environment. With virtual reality (VR), computer-generated interactive environments, individuals can repeatedly experience their problematic situations and be taught, via evidence-based psychological treatments, how to overcome difficulties. VR is moving out of specialist laboratories. Our central aim was to describe the potential of VR in mental health, including a consideration of the first 20 years of applications. A systematic review of empirical studies was conducted. In all, 285 studies were identified, with 86 concerning assessment, 45 theory development, and 154 treatment. The main disorders researched were anxiety (n = 192), schizophrenia (n = 44), substance-related disorders (n = 22) and eating disorders (n = 18). There are pioneering early studies, but the methodological quality of studies was generally low. The gaps in meaningful applications to mental health are extensive. The most established finding is that VR exposure-based treatments can reduce anxiety disorders, but there are numerous research and treatment avenues of promise. VR was found to be a much-misused term, often applied to non-interactive and non-immersive technologies. We conclude that VR has the potential to transform the assessment, understanding and treatment of mental health problems. The treatment possibilities will only be realized if - with the user experience at the heart of design - the best immersive VR technology is combined with targeted translational interventions. The capability of VR to simulate reality could greatly increase access to psychological therapies, while treatment outcomes could be enhanced by the technology's ability to create new realities. VR may merit the level of attention given to neuroimaging.","author":[{"dropping-particle":"","family":"Freeman","given":"D.","non-dropping-particle":"","parse-names":false,"suffix":""},{"dropping-particle":"","family":"Reeve","given":"S.","non-dropping-particle":"","parse-names":false,"suffix":""},{"dropping-particle":"","family":"Robinson","given":"A.","non-dropping-particle":"","parse-names":false,"suffix":""},{"dropping-particle":"","family":"Ehlers","given":"A.","non-dropping-particle":"","parse-names":false,"suffix":""},{"dropping-particle":"","family":"Clark","given":"D.","non-dropping-particle":"","parse-names":false,"suffix":""},{"dropping-particle":"","family":"Spanlang","given":"B.","non-dropping-particle":"","parse-names":false,"suffix":""},{"dropping-particle":"","family":"Slater","given":"M.","non-dropping-particle":"","parse-names":false,"suffix":""}],"container-title":"Psychological Medicine","id":"ITEM-1","issue":"14","issued":{"date-parts":[["2017"]]},"page":"2393-2400","title":"Virtual reality in the assessment, understanding, and treatment of mental health disorders","type":"article-journal","volume":"47"},"uris":["http://www.mendeley.com/documents/?uuid=a5624055-b99c-43b8-badd-0d0fb22aecbd"]}],"mendeley":{"formattedCitation":"(Freeman et al., 2017)","plainTextFormattedCitation":"(Freeman et al., 2017)","previouslyFormattedCitation":"(Freeman et al., 2017)"},"properties":{"noteIndex":0},"schema":"https://github.com/citation-style-language/schema/raw/master/csl-citation.json"}</w:instrText>
            </w:r>
            <w:r w:rsidR="002E75EA" w:rsidRPr="00B27AA8">
              <w:rPr>
                <w:rFonts w:ascii="Arial" w:hAnsi="Arial" w:cs="Arial"/>
                <w:sz w:val="20"/>
                <w:szCs w:val="20"/>
              </w:rPr>
              <w:fldChar w:fldCharType="separate"/>
            </w:r>
            <w:r w:rsidR="002E75EA" w:rsidRPr="00B27AA8">
              <w:rPr>
                <w:rFonts w:ascii="Arial" w:hAnsi="Arial" w:cs="Arial"/>
                <w:noProof/>
                <w:sz w:val="20"/>
                <w:szCs w:val="20"/>
              </w:rPr>
              <w:t>(Freeman et al., 2017)</w:t>
            </w:r>
            <w:r w:rsidR="002E75EA" w:rsidRPr="00B27AA8">
              <w:rPr>
                <w:rFonts w:ascii="Arial" w:hAnsi="Arial" w:cs="Arial"/>
                <w:sz w:val="20"/>
                <w:szCs w:val="20"/>
              </w:rPr>
              <w:fldChar w:fldCharType="end"/>
            </w:r>
          </w:p>
        </w:tc>
        <w:tc>
          <w:tcPr>
            <w:tcW w:w="3285" w:type="dxa"/>
            <w:noWrap/>
            <w:hideMark/>
          </w:tcPr>
          <w:p w14:paraId="2A0342CC" w14:textId="123D5BA4" w:rsidR="00730A49" w:rsidRPr="00B27AA8" w:rsidRDefault="002E75EA" w:rsidP="002E75EA">
            <w:pPr>
              <w:spacing w:before="120" w:after="120"/>
              <w:rPr>
                <w:rFonts w:ascii="Arial" w:eastAsia="Times New Roman" w:hAnsi="Arial" w:cs="Arial"/>
                <w:sz w:val="20"/>
                <w:szCs w:val="20"/>
                <w:lang w:eastAsia="en-GB"/>
              </w:rPr>
            </w:pPr>
            <w:r w:rsidRPr="00B27AA8">
              <w:rPr>
                <w:rFonts w:ascii="Arial" w:hAnsi="Arial" w:cs="Arial"/>
                <w:sz w:val="20"/>
                <w:szCs w:val="20"/>
              </w:rPr>
              <w:t>R</w:t>
            </w:r>
            <w:r w:rsidR="00730A49" w:rsidRPr="00B27AA8">
              <w:rPr>
                <w:rFonts w:ascii="Arial" w:hAnsi="Arial" w:cs="Arial"/>
                <w:sz w:val="20"/>
                <w:szCs w:val="20"/>
              </w:rPr>
              <w:t>eview</w:t>
            </w:r>
            <w:r w:rsidRPr="00B27AA8">
              <w:rPr>
                <w:rFonts w:ascii="Arial" w:hAnsi="Arial" w:cs="Arial"/>
                <w:sz w:val="20"/>
                <w:szCs w:val="20"/>
              </w:rPr>
              <w:t>s</w:t>
            </w:r>
            <w:r w:rsidR="00730A49" w:rsidRPr="00B27AA8">
              <w:rPr>
                <w:rFonts w:ascii="Arial" w:hAnsi="Arial" w:cs="Arial"/>
                <w:sz w:val="20"/>
                <w:szCs w:val="20"/>
              </w:rPr>
              <w:t xml:space="preserve"> </w:t>
            </w:r>
            <w:r w:rsidRPr="00B27AA8">
              <w:rPr>
                <w:rFonts w:ascii="Arial" w:hAnsi="Arial" w:cs="Arial"/>
                <w:sz w:val="20"/>
                <w:szCs w:val="20"/>
              </w:rPr>
              <w:t xml:space="preserve">as applied </w:t>
            </w:r>
            <w:r w:rsidR="00730A49" w:rsidRPr="00B27AA8">
              <w:rPr>
                <w:rFonts w:ascii="Arial" w:hAnsi="Arial" w:cs="Arial"/>
                <w:sz w:val="20"/>
                <w:szCs w:val="20"/>
              </w:rPr>
              <w:t xml:space="preserve">healthcare </w:t>
            </w:r>
            <w:r w:rsidR="00730A49"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18","ISBN":"9783030173470","author":[{"dropping-particle":"","family":"John","given":"Blooma","non-dropping-particle":"","parse-names":false,"suffix":""},{"dropping-particle":"","family":"Wickramasinghe","given":"Nilmini","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375-382","publisher":"Springer","title":"A Review of Mixed Reality in Health Care","type":"chapter"},"uris":["http://www.mendeley.com/documents/?uuid=8c21c190-825d-475e-9027-e519a1343cc1"]},{"id":"ITEM-2","itemData":{"author":[{"dropping-particle":"","family":"Bremner","given":"Robbie","non-dropping-particle":"","parse-names":false,"suffix":""},{"dropping-particle":"","family":"Gibbs","given":"Austin","non-dropping-particle":"","parse-names":false,"suffix":""},{"dropping-particle":"","family":"Mitchell","given":"Andrew R.J.","non-dropping-particle":"","parse-names":false,"suffix":""}],"container-title":"EMJ Innov","id":"ITEM-2","issue":"1","issued":{"date-parts":[["2020"]]},"page":"40-47","title":"The Era of Immersive Health Technology","type":"article-journal","volume":"4"},"uris":["http://www.mendeley.com/documents/?uuid=8edcb9fa-f801-4bf9-8bd6-a5a914177cfa"]}],"mendeley":{"formattedCitation":"(Bremner et al., 2020; John &amp; Wickramasinghe, 2020)","plainTextFormattedCitation":"(Bremner et al., 2020; John &amp; Wickramasinghe, 2020)","previouslyFormattedCitation":"(Bremner et al., 2020; John &amp; Wickramasinghe, 2020)"},"properties":{"noteIndex":0},"schema":"https://github.com/citation-style-language/schema/raw/master/csl-citation.json"}</w:instrText>
            </w:r>
            <w:r w:rsidR="00730A49" w:rsidRPr="00B27AA8">
              <w:rPr>
                <w:rFonts w:ascii="Arial" w:hAnsi="Arial" w:cs="Arial"/>
                <w:sz w:val="20"/>
                <w:szCs w:val="20"/>
              </w:rPr>
              <w:fldChar w:fldCharType="separate"/>
            </w:r>
            <w:r w:rsidRPr="00B27AA8">
              <w:rPr>
                <w:rFonts w:ascii="Arial" w:hAnsi="Arial" w:cs="Arial"/>
                <w:noProof/>
                <w:sz w:val="20"/>
                <w:szCs w:val="20"/>
              </w:rPr>
              <w:t>(Bremner et al., 2020; John &amp; Wickramasinghe, 2020)</w:t>
            </w:r>
            <w:r w:rsidR="00730A49" w:rsidRPr="00B27AA8">
              <w:rPr>
                <w:rFonts w:ascii="Arial" w:hAnsi="Arial" w:cs="Arial"/>
                <w:sz w:val="20"/>
                <w:szCs w:val="20"/>
              </w:rPr>
              <w:fldChar w:fldCharType="end"/>
            </w:r>
            <w:r w:rsidR="00730A49" w:rsidRPr="00B27AA8">
              <w:rPr>
                <w:rFonts w:ascii="Arial" w:hAnsi="Arial" w:cs="Arial"/>
                <w:sz w:val="20"/>
                <w:szCs w:val="20"/>
              </w:rPr>
              <w:t>;</w:t>
            </w:r>
          </w:p>
        </w:tc>
      </w:tr>
      <w:tr w:rsidR="00730A49" w:rsidRPr="00B27AA8" w14:paraId="1D5597A4" w14:textId="77777777" w:rsidTr="00B27AA8">
        <w:trPr>
          <w:trHeight w:val="500"/>
        </w:trPr>
        <w:tc>
          <w:tcPr>
            <w:tcW w:w="439" w:type="dxa"/>
            <w:shd w:val="clear" w:color="auto" w:fill="D5DCE4" w:themeFill="text2" w:themeFillTint="33"/>
            <w:noWrap/>
          </w:tcPr>
          <w:p w14:paraId="0E304C4E" w14:textId="1353DF9D"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13</w:t>
            </w:r>
          </w:p>
        </w:tc>
        <w:tc>
          <w:tcPr>
            <w:tcW w:w="3043" w:type="dxa"/>
            <w:shd w:val="clear" w:color="auto" w:fill="D5DCE4" w:themeFill="text2" w:themeFillTint="33"/>
            <w:hideMark/>
          </w:tcPr>
          <w:p w14:paraId="6DEC11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Internet of Things an Industry Internet of Things</w:t>
            </w:r>
          </w:p>
        </w:tc>
        <w:tc>
          <w:tcPr>
            <w:tcW w:w="5444" w:type="dxa"/>
            <w:shd w:val="clear" w:color="auto" w:fill="D5DCE4" w:themeFill="text2" w:themeFillTint="33"/>
            <w:noWrap/>
            <w:hideMark/>
          </w:tcPr>
          <w:p w14:paraId="1459A25D" w14:textId="54AE42C0"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network of devices all embedded with electronics, software, sensors, and connectivity to enable them to connect, interconnect, and exchange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(Wickramasinghe &amp; Bodendorf, 2020)</w:t>
            </w:r>
            <w:r w:rsidRPr="00B27AA8">
              <w:rPr>
                <w:rFonts w:ascii="Arial" w:hAnsi="Arial" w:cs="Arial"/>
                <w:sz w:val="20"/>
                <w:szCs w:val="20"/>
              </w:rPr>
              <w:fldChar w:fldCharType="end"/>
            </w:r>
          </w:p>
        </w:tc>
        <w:tc>
          <w:tcPr>
            <w:tcW w:w="2810" w:type="dxa"/>
            <w:shd w:val="clear" w:color="auto" w:fill="D5DCE4" w:themeFill="text2" w:themeFillTint="33"/>
            <w:noWrap/>
            <w:hideMark/>
          </w:tcPr>
          <w:p w14:paraId="4DB68401" w14:textId="77777777" w:rsidR="00730A49" w:rsidRPr="00B27AA8" w:rsidRDefault="00730A49" w:rsidP="00C93CB9">
            <w:pPr>
              <w:spacing w:before="120" w:after="120"/>
              <w:rPr>
                <w:rFonts w:ascii="Arial" w:eastAsia="Times New Roman" w:hAnsi="Arial" w:cs="Arial"/>
                <w:sz w:val="20"/>
                <w:szCs w:val="20"/>
                <w:lang w:eastAsia="en-GB"/>
              </w:rPr>
            </w:pPr>
          </w:p>
        </w:tc>
        <w:tc>
          <w:tcPr>
            <w:tcW w:w="3285" w:type="dxa"/>
            <w:shd w:val="clear" w:color="auto" w:fill="D5DCE4" w:themeFill="text2" w:themeFillTint="33"/>
            <w:noWrap/>
            <w:hideMark/>
          </w:tcPr>
          <w:p w14:paraId="6DF2F95F" w14:textId="1E2645A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Managing the risks of IoT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(Paxton &amp; Branca, 2020)</w:t>
            </w:r>
            <w:r w:rsidRPr="00B27AA8">
              <w:rPr>
                <w:rFonts w:ascii="Arial" w:hAnsi="Arial" w:cs="Arial"/>
                <w:sz w:val="20"/>
                <w:szCs w:val="20"/>
              </w:rPr>
              <w:fldChar w:fldCharType="end"/>
            </w:r>
          </w:p>
        </w:tc>
      </w:tr>
      <w:tr w:rsidR="00730A49" w:rsidRPr="00B27AA8" w14:paraId="5072C0AD" w14:textId="77777777" w:rsidTr="00B27AA8">
        <w:trPr>
          <w:trHeight w:val="500"/>
        </w:trPr>
        <w:tc>
          <w:tcPr>
            <w:tcW w:w="439" w:type="dxa"/>
            <w:noWrap/>
          </w:tcPr>
          <w:p w14:paraId="77A7383B" w14:textId="53E67F4B"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14</w:t>
            </w:r>
          </w:p>
        </w:tc>
        <w:tc>
          <w:tcPr>
            <w:tcW w:w="3043" w:type="dxa"/>
            <w:hideMark/>
          </w:tcPr>
          <w:p w14:paraId="65251E7A"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A.I.-assisted clinical decision support</w:t>
            </w:r>
          </w:p>
        </w:tc>
        <w:tc>
          <w:tcPr>
            <w:tcW w:w="5444" w:type="dxa"/>
            <w:noWrap/>
            <w:hideMark/>
          </w:tcPr>
          <w:p w14:paraId="5C0F0FA7" w14:textId="28D8757F" w:rsidR="00730A49" w:rsidRPr="00B27AA8" w:rsidRDefault="007503BA"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Any software that informs a clinical decision or prompts clinical action.</w:t>
            </w:r>
          </w:p>
        </w:tc>
        <w:tc>
          <w:tcPr>
            <w:tcW w:w="2810" w:type="dxa"/>
            <w:noWrap/>
            <w:hideMark/>
          </w:tcPr>
          <w:p w14:paraId="48D851A2" w14:textId="12E6C310" w:rsidR="00730A49" w:rsidRPr="00B27AA8" w:rsidRDefault="001C6DBC" w:rsidP="001C6DBC">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Sepsis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{"citationItems":[{"id":"ITEM-1","itemData":{"DOI":"10.1038/s41591-018-0213-5","ISSN":"1546170X","abstract":"From 2017 to 2018 the number of scientific publications found via PubMed search using the keyword \"Machine Learning\" increased by 46% (4,317 to 6,307). The results of studies involving machine learning, artificial intelligence (AI), and big data have captured the attention of healthcare practitioners, healthcare managers, and the public at a time when Western medicine grapples with unmitigated cost increases and public demands for accountability. The complexity involved in healthcare applications of machine learning and the size of the associated data sets has afforded many researchers an uncontested opportunity to satisfy these demands with relatively little oversight. In a recent Nature Medicine article, \"The Artificial Intelligence Clinician learns optimal treatment strategies for sepsis in intensive care,\" Komorowski and his coauthors propose methods to train an artificial intelligence clinician to treat sepsis patients with vasopressors and IV fluids. In this post, we will closely examine the claims laid out in this paper. In particular, we will study the individual treatment profiles suggested by their AI Clinician to gain insight into how their AI Clinician intends to treat patients on an individual level.","author":[{"dropping-particle":"","family":"Komorowski","given":"Matthieu","non-dropping-particle":"","parse-names":false,"suffix":""},{"dropping-particle":"","family":"Celi","given":"Leo A.","non-dropping-particle":"","parse-names":false,"suffix":""},{"dropping-particle":"","family":"Badawi","given":"Omar","non-dropping-particle":"","parse-names":false,"suffix":""},{"dropping-particle":"","family":"Gordon","given":"Anthony C.","non-dropping-particle":"","parse-names":false,"suffix":""},{"dropping-particle":"","family":"Faisal","given":"A. Aldo","non-dropping-particle":"","parse-names":false,"suffix":""}],"container-title":"Nature Medicine","id":"ITEM-1","issue":"11","issued":{"date-parts":[["2018"]]},"page":"1716-1720","publisher":"Springer US","title":"The Artificial Intelligence Clinician learns optimal treatment strategies for sepsis in intensive care","type":"article-journal","volume":"24"},"uris":["http://www.mendeley.com/documents/?uuid=9e14236e-bff5-492b-81f5-376280cad94b"]},{"id":"ITEM-2","itemData":{"DOI":"10.2471/BLT.19.237487","ISSN":"0045-5075","author":[{"dropping-particle":"","family":"Habli","given":"Ibrahim","non-dropping-particle":"","parse-names":false,"suffix":""},{"dropping-particle":"","family":"Lawton","given":"Tom","non-dropping-particle":"","parse-names":false,"suffix":""},{"dropping-particle":"","family":"Porter","given":"Zoe","non-dropping-particle":"","parse-names":false,"suffix":""}],"container-title":"Bull World Health Organ","id":"ITEM-2","issued":{"date-parts":[["2020"]]},"page":"251-256","title":"Artificial Intelligence in Health Care: Accountability and safety","type":"article-journal","volume":"98"},"uris":["http://www.mendeley.com/documents/?uuid=bc77445e-b5e6-454b-b935-19436fab6e70"]}],"mendeley":{"formattedCitation":"(Habli et al., 2020; Komorowski et al., 2018)","plainTextFormattedCitation":"(Habli et al., 2020; Komorowski et al., 2018)","previouslyFormattedCitation":"(Komorowski et al., 2018)"},"properties":{"noteIndex":0},"schema":"https://github.com/citation-style-language/schema/raw/master/csl-citation.json"}</w:instrText>
            </w:r>
            <w:r>
              <w:rPr>
                <w:rFonts w:ascii="Arial" w:eastAsia="Times New Roman" w:hAnsi="Arial" w:cs="Arial"/>
                <w:sz w:val="20"/>
                <w:szCs w:val="20"/>
                <w:lang w:eastAsia="en-GB"/>
              </w:rPr>
              <w:fldChar w:fldCharType="separate"/>
            </w:r>
            <w:r w:rsidRPr="001C6DBC">
              <w:rPr>
                <w:rFonts w:ascii="Arial" w:eastAsia="Times New Roman" w:hAnsi="Arial" w:cs="Arial"/>
                <w:noProof/>
                <w:sz w:val="20"/>
                <w:szCs w:val="20"/>
                <w:lang w:eastAsia="en-GB"/>
              </w:rPr>
              <w:t>(Komorowski et al., 2018</w:t>
            </w:r>
            <w:r>
              <w:rPr>
                <w:rFonts w:ascii="Arial" w:eastAsia="Times New Roman" w:hAnsi="Arial" w:cs="Arial"/>
                <w:noProof/>
                <w:sz w:val="20"/>
                <w:szCs w:val="20"/>
                <w:lang w:eastAsia="en-GB"/>
              </w:rPr>
              <w:t xml:space="preserve"> with critique by </w:t>
            </w:r>
            <w:r w:rsidRPr="001C6DBC">
              <w:rPr>
                <w:rFonts w:ascii="Arial" w:eastAsia="Times New Roman" w:hAnsi="Arial" w:cs="Arial"/>
                <w:noProof/>
                <w:sz w:val="20"/>
                <w:szCs w:val="20"/>
                <w:lang w:eastAsia="en-GB"/>
              </w:rPr>
              <w:t>Habli et al., 2020)</w:t>
            </w:r>
            <w:r>
              <w:rPr>
                <w:rFonts w:ascii="Arial" w:eastAsia="Times New Roman" w:hAnsi="Arial" w:cs="Arial"/>
                <w:sz w:val="20"/>
                <w:szCs w:val="20"/>
                <w:lang w:eastAsia="en-GB"/>
              </w:rPr>
              <w:fldChar w:fldCharType="end"/>
            </w:r>
          </w:p>
        </w:tc>
        <w:tc>
          <w:tcPr>
            <w:tcW w:w="3285" w:type="dxa"/>
            <w:noWrap/>
            <w:hideMark/>
          </w:tcPr>
          <w:p w14:paraId="2DC09722" w14:textId="207FAAD1"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Opinion on AI for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{"citationItems":[{"id":"ITEM-1","itemData":{"DOI":"10.1001/jama.2018.17163","ISBN":"0003481910646","ISSN":"15383598","author":[{"dropping-particle":"","family":"Shortliffe","given":"Edward H.","non-dropping-particle":"","parse-names":false,"suffix":""},{"dropping-particle":"","family":"Sepúlveda","given":"Martin J.","non-dropping-particle":"","parse-names":false,"suffix":""}],"container-title":"JAMA - Journal of the American Medical Association","id":"ITEM-1","issue":"21","issued":{"date-parts":[["2018"]]},"page":"2199-2200","title":"Clinical Decision Support in the Era of Artificial Intelligence","type":"article-journal","volume":"320"},"uris":["http://www.mendeley.com/documents/?uuid=b1d221fa-7d7f-4250-96d9-532f5d66bb5d"]}],"mendeley":{"formattedCitation":"(Shortliffe &amp; Sepúlveda, 2018)","plainTextFormattedCitation":"(Shortliffe &amp; Sepúlveda, 2018)","previouslyFormattedCitation":"(Shortliffe &amp; Sepúlveda,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(Shortliffe &amp; Sepúlveda, 2018)</w:t>
            </w:r>
            <w:r w:rsidRPr="00B27AA8">
              <w:rPr>
                <w:rFonts w:ascii="Arial" w:hAnsi="Arial" w:cs="Arial"/>
                <w:sz w:val="20"/>
                <w:szCs w:val="20"/>
              </w:rPr>
              <w:fldChar w:fldCharType="end"/>
            </w:r>
            <w:r w:rsidRPr="00B27AA8">
              <w:rPr>
                <w:rFonts w:ascii="Arial" w:hAnsi="Arial" w:cs="Arial"/>
                <w:sz w:val="20"/>
                <w:szCs w:val="20"/>
              </w:rPr>
              <w:t xml:space="preserve">; Methodological appraisal of A.I. approaches for suitability to CDS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{"citationItems":[{"id":"ITEM-1","itemData":{"DOI":"10.1109/SAI.2015.7237196","ISBN":"9781479985470","abstract":"Intelligent clinical decision support systems have been increasingly used in health care organisations. These systems are intended to help physicians in their diagnosis procedures; making decisions more accurate and effective, minimising medical errors, improving patient safety and reducing costs. However, the effectiveness and accuracy of these systems largely depend on the underlying AI technique that has been used, where same clinical-related problem can be solved using more than one AI technique which may provide different outcomes. Consequently, it is crucial to figure out the ideal utilisation of AI techniques in the clinical decision support systems. Our research study reviews various researches which utilised Artificial Intelligence techniques in clinical decision support systems with the aim of identifying basic criterion for adequate use of intelligent techniques within such systems. This paper presents a yes/no inquiry approach based on observations of previous research studies. The objective of this inquiry is to facilitate the selection of the most beneficial and effective AI technique that can be applied in the medical decision support system to provide the best outcomes.","author":[{"dropping-particle":"","family":"Aljaaf","given":"Ahmed J.","non-dropping-particle":"","parse-names":false,"suffix":""},{"dropping-particle":"","family":"Al-Jumeily","given":"Dhiya","non-dropping-particle":"","parse-names":false,"suffix":""},{"dropping-particle":"","family":"Hussain","given":"Abir J.","non-dropping-particle":"","parse-names":false,"suffix":""},{"dropping-particle":"","family":"Fergus","given":"Paul","non-dropping-particle":"","parse-names":false,"suffix":""},{"dropping-particle":"","family":"Al-Jumaily","given":"Mohammed","non-dropping-particle":"","parse-names":false,"suffix":""},{"dropping-particle":"","family":"Abdel-Aziz","given":"Khaled","non-dropping-particle":"","parse-names":false,"suffix":""}],"container-title":"Proceedings of the 2015 Science and Information Conference, SAI 2015","id":"ITEM-1","issued":{"date-parts":[["2015"]]},"page":"548-554","publisher":"IEEE","title":"Toward an optimal use of artificial intelligence techniques within a clinical decision support system","type":"article-journal"},"uris":["http://www.mendeley.com/documents/?uuid=e6d341cc-bd92-4e26-9692-1d207cfe0bda"]},{"id":"ITEM-2","itemData":{"author":[{"dropping-particle":"","family":"Abbasi","given":"M. M.","non-dropping-particle":"","parse-names":false,"suffix":""},{"dropping-particle":"","family":"Kashiyarndi","given":"S","non-dropping-particle":"","parse-names":false,"suffix":""}],"id":"ITEM-2","issued":{"date-parts":[["2006"]]},"title":"Clinical Decision Support Systems: A discussion on different methodologies used in Health Care","type":"article"},"uris":["http://www.mendeley.com/documents/?uuid=7806cdc7-5927-4772-badd-2777cd9d1dca"]}],"mendeley":{"formattedCitation":"(Abbasi &amp; Kashiyarndi, 2006; Aljaaf et al., 2015)","plainTextFormattedCitation":"(Abbasi &amp; Kashiyarndi, 2006; Aljaaf et al., 2015)","previouslyFormattedCitation":"(Abbasi &amp; Kashiyarndi, 2006; Aljaaf et al., 2015)"},"properties":{"noteIndex":0},"schema":"https://github.com/citation-style-language/schema/raw/master/csl-citation.json"}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(Abbasi &amp; Kashiyarndi, 2006; Aljaaf et al., 2015)</w:t>
            </w:r>
            <w:r w:rsidRPr="00B27AA8">
              <w:rPr>
                <w:rFonts w:ascii="Arial" w:hAnsi="Arial" w:cs="Arial"/>
                <w:sz w:val="20"/>
                <w:szCs w:val="20"/>
              </w:rPr>
              <w:fldChar w:fldCharType="end"/>
            </w:r>
          </w:p>
        </w:tc>
      </w:tr>
      <w:tr w:rsidR="00730A49" w:rsidRPr="00B27AA8" w14:paraId="29AC883E" w14:textId="77777777" w:rsidTr="00B27AA8">
        <w:trPr>
          <w:trHeight w:val="250"/>
        </w:trPr>
        <w:tc>
          <w:tcPr>
            <w:tcW w:w="439" w:type="dxa"/>
            <w:shd w:val="clear" w:color="auto" w:fill="D5DCE4" w:themeFill="text2" w:themeFillTint="33"/>
            <w:noWrap/>
          </w:tcPr>
          <w:p w14:paraId="5D569812" w14:textId="5289F494"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15</w:t>
            </w:r>
          </w:p>
        </w:tc>
        <w:tc>
          <w:tcPr>
            <w:tcW w:w="3043" w:type="dxa"/>
            <w:shd w:val="clear" w:color="auto" w:fill="D5DCE4" w:themeFill="text2" w:themeFillTint="33"/>
            <w:hideMark/>
          </w:tcPr>
          <w:p w14:paraId="5E14C19B" w14:textId="6359D4D0" w:rsidR="00730A49" w:rsidRPr="00B27AA8" w:rsidRDefault="007503BA" w:rsidP="007503BA">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Drones</w:t>
            </w:r>
          </w:p>
        </w:tc>
        <w:tc>
          <w:tcPr>
            <w:tcW w:w="5444" w:type="dxa"/>
            <w:shd w:val="clear" w:color="auto" w:fill="D5DCE4" w:themeFill="text2" w:themeFillTint="33"/>
            <w:noWrap/>
            <w:hideMark/>
          </w:tcPr>
          <w:p w14:paraId="5D5433B2" w14:textId="77777777" w:rsidR="00730A49" w:rsidRPr="00B27AA8" w:rsidRDefault="00730A49" w:rsidP="00C93CB9">
            <w:pPr>
              <w:spacing w:before="120" w:after="120"/>
              <w:rPr>
                <w:rFonts w:ascii="Arial" w:eastAsia="Times New Roman" w:hAnsi="Arial" w:cs="Arial"/>
                <w:color w:val="000000"/>
                <w:sz w:val="20"/>
                <w:szCs w:val="20"/>
                <w:lang w:eastAsia="en-GB"/>
              </w:rPr>
            </w:pPr>
          </w:p>
        </w:tc>
        <w:tc>
          <w:tcPr>
            <w:tcW w:w="2810" w:type="dxa"/>
            <w:shd w:val="clear" w:color="auto" w:fill="D5DCE4" w:themeFill="text2" w:themeFillTint="33"/>
            <w:noWrap/>
            <w:hideMark/>
          </w:tcPr>
          <w:p w14:paraId="02500C15" w14:textId="2C92AE1F"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Chronic disease in rural areas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{"citationItems":[{"id":"ITEM-1","itemData":{"DOI":"10.1007/s10846-017-0548-z","ISSN":"15730409","abstract":"This paper addresses the drone-aided delivery and pickup planning of medication and test kits for patients with chronic diseases who are required to visit clinics for routine health examinations and/or refill medicine in rural areas. For routine healthcare services, the work proposes two models: the first model is to find the optimal number of drone center locations using the set covering approach, and the second model is the multi-depot vehicle routing problem with pickup and delivery requests minimizing the operating cost of drones in which drones deliver medicine to patients and pick up exam kits on the way back such as blood and urine samples. In order to improve computational performance of the proposed models, a preprocessing algorithm, a Partition method, and a Lagrangian Relaxation (LR) method are developed as solution approaches. A cost-benefit analysis method is developed as a tool to analyze the benefits of drone-aided healthcare service. The work is tested on a numerical example to show its applicability.","author":[{"dropping-particle":"","family":"Kim","given":"Seon Jin","non-dropping-particle":"","parse-names":false,"suffix":""},{"dropping-particle":"","family":"Lim","given":"Gino J.","non-dropping-particle":"","parse-names":false,"suffix":""},{"dropping-particle":"","family":"Cho","given":"Jaeyoung","non-dropping-particle":"","parse-names":false,"suffix":""},{"dropping-particle":"","family":"Côté","given":"Murray J.","non-dropping-particle":"","parse-names":false,"suffix":""}],"container-title":"Journal of Intelligent and Robotic Systems: Theory and Applications","id":"ITEM-1","issue":"1","issued":{"date-parts":[["2017"]]},"page":"163-180","title":"Drone-Aided Healthcare Services for Patients with Chronic Diseases in Rural Areas","type":"article-journal","volume":"88"},"uris":["http://www.mendeley.com/documents/?uuid=2c865116-4cf6-4869-80f4-4f0cbccc74b2"]}],"mendeley":{"formattedCitation":"(S. J. Kim et al., 2017)","plainTextFormattedCitation":"(S. J. Kim et al., 2017)","previouslyFormattedCitation":"(S. J. Kim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w:t>
            </w:r>
            <w:bookmarkStart w:id="0" w:name="_GoBack"/>
            <w:bookmarkEnd w:id="0"/>
            <w:r w:rsidRPr="00B27AA8">
              <w:rPr>
                <w:rFonts w:ascii="Arial" w:hAnsi="Arial" w:cs="Arial"/>
                <w:noProof/>
                <w:sz w:val="20"/>
                <w:szCs w:val="20"/>
              </w:rPr>
              <w:t>. J. Kim et al., 2017)</w:t>
            </w:r>
            <w:r w:rsidRPr="00B27AA8">
              <w:rPr>
                <w:rFonts w:ascii="Arial" w:hAnsi="Arial" w:cs="Arial"/>
                <w:sz w:val="20"/>
                <w:szCs w:val="20"/>
              </w:rPr>
              <w:fldChar w:fldCharType="end"/>
            </w:r>
          </w:p>
        </w:tc>
        <w:tc>
          <w:tcPr>
            <w:tcW w:w="3285" w:type="dxa"/>
            <w:shd w:val="clear" w:color="auto" w:fill="D5DCE4" w:themeFill="text2" w:themeFillTint="33"/>
            <w:noWrap/>
            <w:hideMark/>
          </w:tcPr>
          <w:p w14:paraId="53EC41FE" w14:textId="0BBFD45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drone-delivery models for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{"citationItems":[{"id":"ITEM-1","itemData":{"DOI":"10.1007/978-3-030-17347-0_3","ISBN":"9783030173470","author":[{"dropping-particle":"","family":"Scott","given":"Judy E.","non-dropping-particle":"","parse-names":false,"suffix":""},{"dropping-particle":"","family":"Scott","given":"Carlton H.","non-dropping-particle":"","parse-names":false,"suffix":""}],"container-title":"Delivering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69-85","publisher":"Springer","title":"Drone Delivery Models for Medical Emergencies","type":"chapter"},"uris":["http://www.mendeley.com/documents/?uuid=a195028d-c433-4c96-9bb0-0e44c6b95dfb"]}],"mendeley":{"formattedCitation":"(Scott &amp; Scott, 2020)","plainTextFormattedCitation":"(Scott &amp; Scott, 2020)","previouslyFormattedCitation":"(Scott &amp; Scott,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 xml:space="preserve">(Scott &amp; Scott, </w:t>
            </w:r>
            <w:r w:rsidRPr="00B27AA8">
              <w:rPr>
                <w:rFonts w:ascii="Arial" w:hAnsi="Arial" w:cs="Arial"/>
                <w:noProof/>
                <w:sz w:val="20"/>
                <w:szCs w:val="20"/>
              </w:rPr>
              <w:lastRenderedPageBreak/>
              <w:t>2020)</w:t>
            </w:r>
            <w:r w:rsidRPr="00B27AA8">
              <w:rPr>
                <w:rFonts w:ascii="Arial" w:hAnsi="Arial" w:cs="Arial"/>
                <w:sz w:val="20"/>
                <w:szCs w:val="20"/>
              </w:rPr>
              <w:fldChar w:fldCharType="end"/>
            </w:r>
            <w:r w:rsidRPr="00B27AA8">
              <w:rPr>
                <w:rFonts w:ascii="Arial" w:hAnsi="Arial" w:cs="Arial"/>
                <w:sz w:val="20"/>
                <w:szCs w:val="20"/>
              </w:rPr>
              <w:t xml:space="preserve">; Review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-319-61445-5","ISBN":"978-3-319-61445-8","author":[{"dropping-particle":"","family":"Wulfovich","given":"Sharon","non-dropping-particle":"","parse-names":false,"suffix":""},{"dropping-particle":"","family":"Rivas","given":"Homero","non-dropping-particle":"","parse-names":false,"suffix":""},{"dropping-particle":"","family":"Matabuena","given":"Pedro","non-dropping-particle":"","parse-names":false,"suffix":""}],"chapter-number":"Chapter 11","container-title":"Digital Health: Scaling healthcare to the world","editor":[{"dropping-particle":"","family":"Rivas","given":"Homero","non-dropping-particle":"","parse-names":false,"suffix":""},{"dropping-particle":"","family":"Wac","given":"Katarzyna","non-dropping-particle":"","parse-names":false,"suffix":""}],"id":"ITEM-1","issued":{"date-parts":[["2018"]]},"publisher":"Springer","title":"Drones in healthcare","type":"chapter"},"uris":["http://www.mendeley.com/documents/?uuid=f3e3c64e-49ea-495b-8f36-1e0525c6873f"]}],"mendeley":{"formattedCitation":"(Wulfovich et al., 2018)","plainTextFormattedCitation":"(Wulfovich et al., 2018)","previouslyFormattedCitation":"(Wulfovich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(Wulfovich et al., 2018)</w:t>
            </w:r>
            <w:r w:rsidRPr="00B27AA8">
              <w:rPr>
                <w:rFonts w:ascii="Arial" w:hAnsi="Arial" w:cs="Arial"/>
                <w:sz w:val="20"/>
                <w:szCs w:val="20"/>
              </w:rPr>
              <w:fldChar w:fldCharType="end"/>
            </w:r>
            <w:r w:rsidRPr="00B27AA8">
              <w:rPr>
                <w:rFonts w:ascii="Arial" w:hAnsi="Arial" w:cs="Arial"/>
                <w:sz w:val="20"/>
                <w:szCs w:val="20"/>
              </w:rPr>
              <w:t xml:space="preserve">; Challenges and opportunities of drones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{"citationItems":[{"id":"ITEM-1","itemData":{"DOI":"10.1373/jalm.2019.030106","ISSN":"2475-7241","author":[{"dropping-particle":"","family":"Amukele","given":"Timothy","non-dropping-particle":"","parse-names":false,"suffix":""}],"container-title":"The Journal of Applied Laboratory Medicine","id":"ITEM-1","issue":"2","issued":{"date-parts":[["2019"]]},"page":"296-298","title":"Current State of Drones in Healthcare: Challenges and Opportunities","type":"article-journal","volume":"4"},"uris":["http://www.mendeley.com/documents/?uuid=6dd1073c-c90c-4fb1-9103-77ff955f6848"]}],"mendeley":{"formattedCitation":"(Amukele, 2019)","plainTextFormattedCitation":"(Amukele, 2019)","previouslyFormattedCitation":"(Amukele,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(Amukele, 2019)</w:t>
            </w:r>
            <w:r w:rsidRPr="00B27AA8">
              <w:rPr>
                <w:rFonts w:ascii="Arial" w:hAnsi="Arial" w:cs="Arial"/>
                <w:sz w:val="20"/>
                <w:szCs w:val="20"/>
              </w:rPr>
              <w:fldChar w:fldCharType="end"/>
            </w:r>
          </w:p>
        </w:tc>
      </w:tr>
      <w:tr w:rsidR="00730A49" w:rsidRPr="00B27AA8" w14:paraId="425E48AC" w14:textId="77777777" w:rsidTr="00B27AA8">
        <w:trPr>
          <w:trHeight w:val="500"/>
        </w:trPr>
        <w:tc>
          <w:tcPr>
            <w:tcW w:w="439" w:type="dxa"/>
            <w:noWrap/>
          </w:tcPr>
          <w:p w14:paraId="5AF36A45" w14:textId="61E03C62"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lastRenderedPageBreak/>
              <w:t>16</w:t>
            </w:r>
          </w:p>
        </w:tc>
        <w:tc>
          <w:tcPr>
            <w:tcW w:w="3043" w:type="dxa"/>
            <w:hideMark/>
          </w:tcPr>
          <w:p w14:paraId="4740B84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Mobile health app's and Patient Portals</w:t>
            </w:r>
          </w:p>
        </w:tc>
        <w:tc>
          <w:tcPr>
            <w:tcW w:w="5444" w:type="dxa"/>
            <w:noWrap/>
            <w:hideMark/>
          </w:tcPr>
          <w:p w14:paraId="18EB36A5" w14:textId="1807DFB2"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Clinicians’ mobile access to electronic healthcare records, and patient access to their own electronic healthcare record.</w:t>
            </w:r>
          </w:p>
        </w:tc>
        <w:tc>
          <w:tcPr>
            <w:tcW w:w="2810" w:type="dxa"/>
            <w:noWrap/>
            <w:hideMark/>
          </w:tcPr>
          <w:p w14:paraId="129C1529" w14:textId="708E3D68"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Pharmacist-facing, medication-review app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{"citationItems":[{"id":"ITEM-1","itemData":{"DOI":"10.1155/2017/3195369","ISSN":"23146141","abstract":"We selected iOS in this study as the App operation system, Objective-C as the programming language, and Oracle as the database to develop an App to inspect controlled substances in patient care units. Using a web-enabled smartphone, pharmacist inspection can be performed on site and the inspection result can be directly recorded into HIS through the Internet, so human error of data translation can be minimized and the work efficiency and data processing can be improved. This system not only is fast and convenient compared to the conventional paperwork, but also provides data security and accuracy. In addition, there are several features to increase inspecting quality: (1) accuracy of drug appearance, (2) foolproof mechanism to avoid input errors or miss, (3) automatic data conversion without human judgments, (4) online alarm of expiry date, and (5) instant inspection result to show not meted items. This study has successfully turned paper-based medication inspection into inspection using a web-based mobile device.","author":[{"dropping-particle":"","family":"Lu","given":"Ying Hao","non-dropping-particle":"","parse-names":false,"suffix":""},{"dropping-particle":"","family":"Lee","given":"Li Yao","non-dropping-particle":"","parse-names":false,"suffix":""},{"dropping-particle":"","family":"Chen","given":"Ying Lan","non-dropping-particle":"","parse-names":false,"suffix":""},{"dropping-particle":"","family":"Cheng","given":"Hsing I.","non-dropping-particle":"","parse-names":false,"suffix":""},{"dropping-particle":"","family":"Tsai","given":"Wen Tsung","non-dropping-particle":"","parse-names":false,"suffix":""},{"dropping-particle":"","family":"Kuo","given":"Chen Chun","non-dropping-particle":"","parse-names":false,"suffix":""},{"dropping-particle":"","family":"Chen","given":"Chung Yu","non-dropping-particle":"","parse-names":false,"suffix":""},{"dropping-particle":"Bin","family":"Huang","given":"Yaw","non-dropping-particle":"","parse-names":false,"suffix":""}],"container-title":"BioMed Research International","id":"ITEM-1","issue":"December 2014","issued":{"date-parts":[["2017"]]},"title":"Developing an App by Exploiting Web-Based Mobile Technology to Inspect Controlled Substances in Patient Care Units","type":"article-journal","volume":"2017"},"uris":["http://www.mendeley.com/documents/?uuid=ea263603-8c64-4703-88f0-09c01980e538"]}],"mendeley":{"formattedCitation":"(Lu et al., 2017)","plainTextFormattedCitation":"(Lu et al., 2017)","previouslyFormattedCitation":"(Lu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(Lu et al., 2017)</w:t>
            </w:r>
            <w:r w:rsidRPr="00B27AA8">
              <w:rPr>
                <w:rFonts w:ascii="Arial" w:hAnsi="Arial" w:cs="Arial"/>
                <w:sz w:val="20"/>
                <w:szCs w:val="20"/>
              </w:rPr>
              <w:fldChar w:fldCharType="end"/>
            </w:r>
            <w:r w:rsidRPr="00B27AA8">
              <w:rPr>
                <w:rFonts w:ascii="Arial" w:hAnsi="Arial" w:cs="Arial"/>
                <w:sz w:val="20"/>
                <w:szCs w:val="20"/>
              </w:rPr>
              <w:t xml:space="preserve">; Patient portal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{"citationItems":[{"id":"ITEM-1","itemData":{"DOI":"10.2196/resprot.6355","ISSN":"1929-0748","abstract":"BACKGROUND For patients with complex care needs, engagement in disease management activities is critical. Chronic illnesses touch almost every person in the United States. The costs are real, personal, and pervasive. In response, patients often seek tools to help them manage their health. Patient portals, personal health records tethered to an electronic health record, show promise as tools that patients value and that can improve health. Although patient portals currently focus on the outpatient experience, the Ohio State University Wexner Medical Center (OSUWMC) has deployed a portal designed specifically for the inpatient experience that is connected to the ambulatory patient portal available after discharge. While this inpatient technology is in active use at only one other hospital in the United States, health care facilities are currently investing in infrastructure necessary to support large-scale deployment. Times of acute crisis such as hospitalization may increase a patient's focus on his/her health. During this time, patients may be more engaged with their care and especially interested in using tools to manage their health after discharge. Evidence shows that enhanced patient self-management can lead to better control of chronic illness. Patient portals may serve as a mechanism to facilitate increased engagement. OBJECTIVE The specific aims of our study are (1) to investigate the independent effects of providing both High Tech and High Touch interventions on patient-reported outcomes at discharge, including patients' self-efficacy for managing chronic conditions and satisfaction with care; and (2) to conduct a mixed-methods analysis to determine how providing patients with access to MyChart Bedside (MCB, High Tech) and training/education on patient portals, and MyChart Ambulatory (MCA, High Touch) will influence engagement with the patient portal and relate to longer-term outcomes. METHODS Our proposed 4-year study uses a mixed-methods research (MMR) approach to evaluate a randomized controlled trial studying the effectiveness of a High Tech intervention (MCB, the inpatient portal), and an accompanying High Touch intervention (training patients to use the portal to manage their care and conditions) in a sample of hospitalized patients with two or more chronic conditions. This study measures how access to a patient portal tailored to the inpatient stay can improve patient experience and increase patient engagement by (1) improving patients' p…","author":[{"dropping-particle":"","family":"McAlearney","given":"Ann Scheck","non-dropping-particle":"","parse-names":false,"suffix":""},{"dropping-particle":"","family":"Sieck","given":"Cynthia J","non-dropping-particle":"","parse-names":false,"suffix":""},{"dropping-particle":"","family":"Hefner","given":"Jennifer L","non-dropping-particle":"","parse-names":false,"suffix":""},{"dropping-particle":"","family":"Aldrich","given":"Alison M","non-dropping-particle":"","parse-names":false,"suffix":""},{"dropping-particle":"","family":"Walker","given":"Daniel M","non-dropping-particle":"","parse-names":false,"suffix":""},{"dropping-particle":"","family":"Rizer","given":"Milisa K","non-dropping-particle":"","parse-names":false,"suffix":""},{"dropping-particle":"","family":"Moffatt-Bruce","given":"Susan D","non-dropping-particle":"","parse-names":false,"suffix":""},{"dropping-particle":"","family":"Huerta","given":"Timothy R","non-dropping-particle":"","parse-names":false,"suffix":""}],"container-title":"JMIR Research Protocols","id":"ITEM-1","issue":"4","issued":{"date-parts":[["2016"]]},"page":"e221","title":"High Touch and High Tech (HT2) Proposal: Transforming Patient Engagement Throughout the Continuum of Care by Engaging Patients with Portal Technology at the Bedside","type":"article-journal","volume":"5"},"uris":["http://www.mendeley.com/documents/?uuid=2c771017-ae0c-4159-827c-b72c55648de2"]}],"mendeley":{"formattedCitation":"(McAlearney et al., 2016)","plainTextFormattedCitation":"(McAlearney et al., 2016)","previouslyFormattedCitation":"(McAlearney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(McAlearney et al., 2016)</w:t>
            </w:r>
            <w:r w:rsidRPr="00B27AA8">
              <w:rPr>
                <w:rFonts w:ascii="Arial" w:hAnsi="Arial" w:cs="Arial"/>
                <w:sz w:val="20"/>
                <w:szCs w:val="20"/>
              </w:rPr>
              <w:fldChar w:fldCharType="end"/>
            </w:r>
          </w:p>
        </w:tc>
        <w:tc>
          <w:tcPr>
            <w:tcW w:w="3285" w:type="dxa"/>
            <w:noWrap/>
            <w:hideMark/>
          </w:tcPr>
          <w:p w14:paraId="08E488BC" w14:textId="447A99A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Gaps in mobile patient portal service to enable patient-centred 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29","ISBN":"9783030173470","author":[{"dropping-particle":"","family":"Noteboom","given":"Cherie","non-dropping-particle":"","parse-names":false,"suffix":""},{"dropping-particle":"","family":"Abdel-Rahman","given":"Mohammad","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587-602","publisher":"Springer","title":"Toward Actionable Knowledge: A Systematic Analysis of Mobile Patient Portal Use","type":"chapter"},"uris":["http://www.mendeley.com/documents/?uuid=d7dcb52d-5bc0-413b-8555-0feb49088305"]}],"mendeley":{"formattedCitation":"(Noteboom &amp; Abdel-Rahman, 2020)","plainTextFormattedCitation":"(Noteboom &amp; Abdel-Rahman, 2020)","previouslyFormattedCitation":"(Noteboom &amp; Abdel-Rahman,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(Noteboom &amp; Abdel-Rahman, 2020)</w:t>
            </w:r>
            <w:r w:rsidRPr="00B27AA8">
              <w:rPr>
                <w:rFonts w:ascii="Arial" w:hAnsi="Arial" w:cs="Arial"/>
                <w:sz w:val="20"/>
                <w:szCs w:val="20"/>
              </w:rPr>
              <w:fldChar w:fldCharType="end"/>
            </w:r>
          </w:p>
        </w:tc>
      </w:tr>
    </w:tbl>
    <w:p w14:paraId="3616C70D" w14:textId="77777777" w:rsidR="00782CC2" w:rsidRPr="00B27AA8" w:rsidRDefault="00782CC2">
      <w:pPr>
        <w:rPr>
          <w:rFonts w:ascii="Arial" w:hAnsi="Arial" w:cs="Arial"/>
          <w:sz w:val="20"/>
          <w:szCs w:val="20"/>
        </w:rPr>
      </w:pPr>
    </w:p>
    <w:sectPr w:rsidR="00782CC2" w:rsidRPr="00B27AA8" w:rsidSect="001A44B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E0FC4"/>
    <w:rsid w:val="00106D11"/>
    <w:rsid w:val="00131B5D"/>
    <w:rsid w:val="001A44B7"/>
    <w:rsid w:val="001C6DBC"/>
    <w:rsid w:val="0022282F"/>
    <w:rsid w:val="002B1538"/>
    <w:rsid w:val="002E75EA"/>
    <w:rsid w:val="003911CC"/>
    <w:rsid w:val="004D1594"/>
    <w:rsid w:val="0058573C"/>
    <w:rsid w:val="006E3405"/>
    <w:rsid w:val="006F548D"/>
    <w:rsid w:val="00730A49"/>
    <w:rsid w:val="007503BA"/>
    <w:rsid w:val="00782CC2"/>
    <w:rsid w:val="009E7AB8"/>
    <w:rsid w:val="00B27AA8"/>
    <w:rsid w:val="00BB64DA"/>
    <w:rsid w:val="00C93CB9"/>
    <w:rsid w:val="00DC0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B54A27-10A4-4611-8CAC-182A1D5EAE7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4.xml><?xml version="1.0" encoding="utf-8"?>
<ds:datastoreItem xmlns:ds="http://schemas.openxmlformats.org/officeDocument/2006/customXml" ds:itemID="{4C63BC79-EC23-4265-AEF3-ED14E5A7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19351</Words>
  <Characters>110304</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2020-04-16T11:40:00Z</dcterms:created>
  <dcterms:modified xsi:type="dcterms:W3CDTF">2020-04-16T11:40:00Z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