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67312F" w:rsidRDefault="00E971A6"/>
    <w:p w14:paraId="50B88A05" w14:textId="77777777" w:rsidR="006D4CAF" w:rsidRDefault="006D4CAF"/>
    <w:p w14:paraId="5293D175" w14:textId="4A432C38" w:rsidR="006D4CAF" w:rsidRPr="00E97300" w:rsidRDefault="00D6264E" w:rsidP="00E97300">
      <w:pPr>
        <w:jc w:val="center"/>
        <w:rPr>
          <w:sz w:val="32"/>
        </w:rPr>
      </w:pPr>
      <w:r>
        <w:rPr>
          <w:sz w:val="32"/>
        </w:rPr>
        <w:t>C</w:t>
      </w:r>
      <w:r w:rsidRPr="00D6264E">
        <w:rPr>
          <w:sz w:val="32"/>
        </w:rPr>
        <w:t>urrent perspectives on safety informatics: the patient safety challenges posed by emerging health information technologies</w:t>
      </w:r>
    </w:p>
    <w:p w14:paraId="0BD76813" w14:textId="77777777" w:rsidR="00DC3CBB" w:rsidRPr="00DC3CBB" w:rsidRDefault="00DC3CBB" w:rsidP="00DC3CBB"/>
    <w:p w14:paraId="61C049F6" w14:textId="77777777" w:rsidR="0084507D" w:rsidRDefault="0084507D" w:rsidP="00F700A2">
      <w:pPr>
        <w:pStyle w:val="Heading1"/>
      </w:pPr>
      <w:r>
        <w:t>Introduction</w:t>
      </w:r>
    </w:p>
    <w:p w14:paraId="28E250E3" w14:textId="75100954" w:rsidR="002C09D8" w:rsidRPr="00F700A2" w:rsidRDefault="003C1579" w:rsidP="003C1579">
      <w:pPr>
        <w:rPr>
          <w:color w:val="4472C4" w:themeColor="accent5"/>
        </w:rPr>
      </w:pPr>
      <w:r w:rsidRPr="00F700A2">
        <w:rPr>
          <w:color w:val="4472C4" w:themeColor="accent5"/>
        </w:rPr>
        <w:t>The purpose</w:t>
      </w:r>
      <w:r w:rsidR="005433AE" w:rsidRPr="00F700A2">
        <w:rPr>
          <w:color w:val="4472C4" w:themeColor="accent5"/>
        </w:rPr>
        <w:t>s</w:t>
      </w:r>
      <w:r w:rsidRPr="00F700A2">
        <w:rPr>
          <w:color w:val="4472C4" w:themeColor="accent5"/>
        </w:rPr>
        <w:t xml:space="preserve"> of this section </w:t>
      </w:r>
      <w:r w:rsidR="005433AE" w:rsidRPr="00F700A2">
        <w:rPr>
          <w:color w:val="4472C4" w:themeColor="accent5"/>
        </w:rPr>
        <w:t>are</w:t>
      </w:r>
      <w:r w:rsidR="001F4ED1" w:rsidRPr="00F700A2">
        <w:rPr>
          <w:color w:val="4472C4" w:themeColor="accent5"/>
        </w:rPr>
        <w:t xml:space="preserve"> to</w:t>
      </w:r>
      <w:r w:rsidRPr="00F700A2">
        <w:rPr>
          <w:color w:val="4472C4" w:themeColor="accent5"/>
        </w:rPr>
        <w:t xml:space="preserve"> introduce 1) the collaboration series, its intentions, the need for theoretical and practical foundations, and our initial positions on the matter, 2) the potential benefits of technology in healthcare </w:t>
      </w:r>
      <w:r w:rsidRPr="00F700A2">
        <w:rPr>
          <w:color w:val="4472C4" w:themeColor="accent5"/>
        </w:rPr>
        <w:fldChar w:fldCharType="begin" w:fldLock="1"/>
      </w:r>
      <w:r w:rsidR="004B6407" w:rsidRPr="00F700A2">
        <w:rPr>
          <w:color w:val="4472C4" w:themeColor="accent5"/>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&amp; Bodendorf, 2020)","plainTextFormattedCitation":"(Wickramasinghe &amp; Bodendorf, 2020)","previouslyFormattedCitation":"(Wickramasinghe &amp; Bodendorf, 2020)"},"properties":{"noteIndex":0},"schema":"https://github.com/citation-style-language/schema/raw/master/csl-citation.json"}</w:instrText>
      </w:r>
      <w:r w:rsidRPr="00F700A2">
        <w:rPr>
          <w:color w:val="4472C4" w:themeColor="accent5"/>
        </w:rPr>
        <w:fldChar w:fldCharType="separate"/>
      </w:r>
      <w:r w:rsidR="005D5021" w:rsidRPr="00F700A2">
        <w:rPr>
          <w:noProof/>
          <w:color w:val="4472C4" w:themeColor="accent5"/>
        </w:rPr>
        <w:t>(Wickramasinghe &amp; Bodendorf, 2020)</w:t>
      </w:r>
      <w:r w:rsidRPr="00F700A2">
        <w:rPr>
          <w:color w:val="4472C4" w:themeColor="accent5"/>
        </w:rPr>
        <w:fldChar w:fldCharType="end"/>
      </w:r>
      <w:r w:rsidRPr="00F700A2">
        <w:rPr>
          <w:color w:val="4472C4" w:themeColor="accent5"/>
        </w:rPr>
        <w:t>, and 3) the potential for unintended and ignored adverse consequences.</w:t>
      </w:r>
    </w:p>
    <w:p w14:paraId="0342C2C5" w14:textId="154E7D96" w:rsidR="004B6407" w:rsidRDefault="004B6407" w:rsidP="003C1579"/>
    <w:p w14:paraId="7F349491" w14:textId="6D48F1B3" w:rsidR="0060263F" w:rsidRDefault="00317D7E" w:rsidP="0060263F">
      <w:pPr>
        <w:pStyle w:val="Heading2"/>
      </w:pPr>
      <w:r>
        <w:t>*</w:t>
      </w:r>
      <w:r w:rsidR="0060263F">
        <w:t>Patient safety</w:t>
      </w:r>
    </w:p>
    <w:p w14:paraId="2C9AA66C" w14:textId="416633E0" w:rsidR="0060263F" w:rsidRDefault="0060263F" w:rsidP="0060263F">
      <w:r w:rsidRPr="0060263F">
        <w:rPr>
          <w:color w:val="FF0000"/>
        </w:rPr>
        <w:t>*Introduce patient safety</w:t>
      </w:r>
      <w:r>
        <w:rPr>
          <w:color w:val="FF0000"/>
        </w:rPr>
        <w:t xml:space="preserve"> to set the context, i.e. how is H.I.T. affecting it?</w:t>
      </w:r>
    </w:p>
    <w:p w14:paraId="1C2E5880" w14:textId="2E8FD93F" w:rsidR="0060263F" w:rsidRDefault="0060263F" w:rsidP="0060263F"/>
    <w:p w14:paraId="5F8E2199" w14:textId="74658AEB" w:rsidR="003D3C2C" w:rsidRDefault="00317D7E" w:rsidP="003D3C2C">
      <w:pPr>
        <w:pStyle w:val="Heading2"/>
      </w:pPr>
      <w:r>
        <w:t>*</w:t>
      </w:r>
      <w:r w:rsidR="003D3C2C">
        <w:t>Workshop series motivation</w:t>
      </w:r>
    </w:p>
    <w:p w14:paraId="768F4C88" w14:textId="77777777" w:rsidR="006A63CC" w:rsidRPr="006A63CC" w:rsidRDefault="006A63CC" w:rsidP="006A63CC">
      <w:r w:rsidRPr="00F700A2">
        <w:rPr>
          <w:color w:val="4472C4" w:themeColor="accent5"/>
        </w:rPr>
        <w:t xml:space="preserve">The section might read something like the following, modelled on the series of publications associated with </w:t>
      </w:r>
      <w:r w:rsidRPr="00F700A2">
        <w:rPr>
          <w:color w:val="4472C4" w:themeColor="accent5"/>
        </w:rPr>
        <w:fldChar w:fldCharType="begin" w:fldLock="1"/>
      </w:r>
      <w:r w:rsidRPr="00F700A2">
        <w:rPr>
          <w:color w:val="4472C4" w:themeColor="accent5"/>
        </w:rPr>
        <w:instrText>ADDIN CSL_CITATION {"citationItems":[{"id":"ITEM-1","itemData":{"DOI":"10.2196/jmir.7126","author":[{"dropping-particle":"","family":"Michie","given":"Susan","non-dropping-particle":"","parse-names":false,"suffix":""},{"dropping-particle":"","family":"Yardley","given":"Lucy","non-dropping-particle":"","parse-names":false,"suffix":""},{"dropping-particle":"","family":"West","given":"Robert","non-dropping-particle":"","parse-names":false,"suffix":""},{"dropping-particle":"","family":"Greaves","given":"Felix","non-dropping-particle":"","parse-names":false,"suffix":""}],"container-title":"Journal of Medical Internet Research","id":"ITEM-1","issued":{"date-parts":[["2017"]]},"title":"Developing and Evaluating Digital Interventions to Promote Behavior Change in Health and Health Care: Recommendations Resulting From an International Workshop Corresponding Author :","type":"article-journal","volume":"19"},"uris":["http://www.mendeley.com/documents/?uuid=1e2b0c56-d8ff-4a38-9cdd-ec93a499b36d"]}],"mendeley":{"formattedCitation":"(Michie et al., 2017)","manualFormatting":"Michie et al., (2017)","plainTextFormattedCitation":"(Michie et al., 2017)","previouslyFormattedCitation":"(Michie et al., 2017)"},"properties":{"noteIndex":0},"schema":"https://github.com/citation-style-language/schema/raw/master/csl-citation.json"}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Michie et al., (2017)</w:t>
      </w:r>
      <w:r w:rsidRPr="00F700A2">
        <w:rPr>
          <w:color w:val="4472C4" w:themeColor="accent5"/>
        </w:rPr>
        <w:fldChar w:fldCharType="end"/>
      </w:r>
      <w:r w:rsidRPr="00F700A2">
        <w:rPr>
          <w:color w:val="4472C4" w:themeColor="accent5"/>
        </w:rPr>
        <w:t>:</w:t>
      </w:r>
    </w:p>
    <w:p w14:paraId="60F010FA" w14:textId="3117AECB" w:rsidR="003D3C2C" w:rsidRDefault="003D3C2C" w:rsidP="003D3C2C">
      <w:r>
        <w:t xml:space="preserve">A </w:t>
      </w:r>
      <w:r w:rsidRPr="00AA44BF">
        <w:t>national</w:t>
      </w:r>
      <w:r>
        <w:t>,</w:t>
      </w:r>
      <w:r w:rsidRPr="00AA44BF">
        <w:t xml:space="preserve"> expert</w:t>
      </w:r>
      <w:r>
        <w:t xml:space="preserve">, consensus-building collaboration was begun in April 2020 to </w:t>
      </w:r>
      <w:r w:rsidRPr="00284512">
        <w:t>provide a robust academic appraisal of the evidence base and subject-matter expertise</w:t>
      </w:r>
      <w:r>
        <w:t xml:space="preserve"> relating to novel patient-safety challenges of new and emerging health information technologies. The collaboration was the first in a series led</w:t>
      </w:r>
      <w:r w:rsidRPr="00AA44BF">
        <w:t xml:space="preserve"> by the </w:t>
      </w:r>
      <w:r>
        <w:t>National Institute</w:t>
      </w:r>
      <w:r w:rsidRPr="00AA44BF">
        <w:t xml:space="preserve"> </w:t>
      </w:r>
      <w:r>
        <w:t>for Health Research Patient Safety Translational Research Centres from both Yorkshire and Humber, and Greater Manchester, UK; the proposal for the workshop is available at &lt;</w:t>
      </w:r>
      <w:r w:rsidRPr="00BA5A47">
        <w:rPr>
          <w:i/>
        </w:rPr>
        <w:t xml:space="preserve">link to GitHub </w:t>
      </w:r>
      <w:r>
        <w:rPr>
          <w:i/>
        </w:rPr>
        <w:t>source</w:t>
      </w:r>
      <w:r>
        <w:t>&gt;.</w:t>
      </w:r>
      <w:r w:rsidRPr="005C22CE">
        <w:t xml:space="preserve"> </w:t>
      </w:r>
      <w:r w:rsidRPr="00AA44BF">
        <w:t xml:space="preserve">The primary </w:t>
      </w:r>
      <w:r>
        <w:t xml:space="preserve">planned </w:t>
      </w:r>
      <w:r w:rsidRPr="00AA44BF">
        <w:t>deliverable from th</w:t>
      </w:r>
      <w:r>
        <w:t>e</w:t>
      </w:r>
      <w:r w:rsidRPr="00AA44BF">
        <w:t xml:space="preserve"> </w:t>
      </w:r>
      <w:r>
        <w:t>collaboration</w:t>
      </w:r>
      <w:r w:rsidRPr="00AA44BF">
        <w:t xml:space="preserve"> </w:t>
      </w:r>
      <w:r>
        <w:t xml:space="preserve">series </w:t>
      </w:r>
      <w:r w:rsidRPr="00AA44BF">
        <w:t>was</w:t>
      </w:r>
      <w:r>
        <w:t xml:space="preserve"> a set of publications that begin to define the </w:t>
      </w:r>
      <w:r w:rsidRPr="00284512">
        <w:t>field of safety informatics and serve</w:t>
      </w:r>
      <w:r>
        <w:t>s</w:t>
      </w:r>
      <w:r w:rsidRPr="00284512">
        <w:t xml:space="preserve"> as a platform for future research and development</w:t>
      </w:r>
      <w:r>
        <w:t xml:space="preserve">. </w:t>
      </w:r>
    </w:p>
    <w:p w14:paraId="496FCBF3" w14:textId="77777777" w:rsidR="003D3C2C" w:rsidRDefault="003D3C2C" w:rsidP="003D3C2C"/>
    <w:p w14:paraId="717A1DC8" w14:textId="77777777" w:rsidR="003D3C2C" w:rsidRPr="003D3C2C" w:rsidRDefault="003D3C2C" w:rsidP="003D3C2C"/>
    <w:p w14:paraId="45C8FACF" w14:textId="039EBB46" w:rsidR="00AB3439" w:rsidRDefault="00317D7E" w:rsidP="002B4E34">
      <w:pPr>
        <w:pStyle w:val="Heading2"/>
      </w:pPr>
      <w:r>
        <w:t>*</w:t>
      </w:r>
      <w:r w:rsidR="002B4E34">
        <w:t>History of informatics</w:t>
      </w:r>
    </w:p>
    <w:p w14:paraId="6E8AD147" w14:textId="60EBF40A" w:rsidR="002B4E34" w:rsidRDefault="002B4E34" w:rsidP="00E377E5">
      <w:r>
        <w:t xml:space="preserve">Karl Steinbuch is said to have coined the term </w:t>
      </w:r>
      <w:r>
        <w:rPr>
          <w:i/>
        </w:rPr>
        <w:t>informatik</w:t>
      </w:r>
      <w:r>
        <w:t xml:space="preserve"> in </w:t>
      </w:r>
      <w:r w:rsidR="004B6407">
        <w:t xml:space="preserve">1957 </w:t>
      </w:r>
      <w:r w:rsidR="004B6407">
        <w:fldChar w:fldCharType="begin" w:fldLock="1"/>
      </w:r>
      <w:r w:rsidR="004B6407">
        <w:instrText>ADDIN CSL_CITATION {"citationItems":[{"id":"ITEM-1","itemData":{"author":[{"dropping-particle":"","family":"Steinbuch","given":"Karl","non-dropping-particle":"","parse-names":false,"suffix":""}],"container-title":"SEG-Nachrichten","id":"ITEM-1","issued":{"date-parts":[["1957"]]},"title":"Informatik: Automatische Informationsverarbeitung","type":"article-journal","volume":"4"},"uris":["http://www.mendeley.com/documents/?uuid=3094b5a8-040b-4902-9159-db507ac705e2"]}],"mendeley":{"formattedCitation":"(Steinbuch, 1957)","plainTextFormattedCitation":"(Steinbuch, 1957)","previouslyFormattedCitation":"(Steinbuch, 1957)"},"properties":{"noteIndex":0},"schema":"https://github.com/citation-style-language/schema/raw/master/csl-citation.json"}</w:instrText>
      </w:r>
      <w:r w:rsidR="004B6407">
        <w:fldChar w:fldCharType="separate"/>
      </w:r>
      <w:r w:rsidR="004B6407" w:rsidRPr="004B6407">
        <w:rPr>
          <w:noProof/>
        </w:rPr>
        <w:t>(Steinbuch, 1957)</w:t>
      </w:r>
      <w:r w:rsidR="004B6407">
        <w:fldChar w:fldCharType="end"/>
      </w:r>
      <w:r w:rsidR="004B6407">
        <w:t xml:space="preserve"> and it now functions as the German term for ‘computer science’ </w:t>
      </w:r>
      <w:r w:rsidR="004B6407">
        <w:fldChar w:fldCharType="begin" w:fldLock="1"/>
      </w:r>
      <w:r w:rsidR="00E377E5">
        <w:instrText>ADDIN CSL_CITATION {"citationItems":[{"id":"ITEM-1","itemData":{"author":[{"dropping-particle":"","family":"Widrow","given":"Bernard","non-dropping-particle":"","parse-names":false,"suffix":""},{"dropping-particle":"","family":"Hartenstein","given":"Reiner","non-dropping-particle":"","parse-names":false,"suffix":""},{"dropping-particle":"","family":"Hecht-Nielsen","given":"Robert","non-dropping-particle":"","parse-names":false,"suffix":""}],"container-title":"IEEE Computational Intelligence Society","id":"ITEM-1","issued":{"date-parts":[["2005"]]},"title":"Eulogy: Karl Steinbuch 1917-2005","type":"article-journal","volume":"5"},"uris":["http://www.mendeley.com/documents/?uuid=68654778-e194-4e46-9329-3b4ccdc7c849"]}],"mendeley":{"formattedCitation":"(Widrow et al., 2005)","plainTextFormattedCitation":"(Widrow et al., 2005)","previouslyFormattedCitation":"(Widrow et al., 2005)"},"properties":{"noteIndex":0},"schema":"https://github.com/citation-style-language/schema/raw/master/csl-citation.json"}</w:instrText>
      </w:r>
      <w:r w:rsidR="004B6407">
        <w:fldChar w:fldCharType="separate"/>
      </w:r>
      <w:r w:rsidR="004B6407" w:rsidRPr="004B6407">
        <w:rPr>
          <w:noProof/>
        </w:rPr>
        <w:t>(Widrow et al., 2005)</w:t>
      </w:r>
      <w:r w:rsidR="004B6407">
        <w:fldChar w:fldCharType="end"/>
      </w:r>
      <w:r w:rsidR="004B6407">
        <w:t xml:space="preserve">. The anglicised term </w:t>
      </w:r>
      <w:r w:rsidR="004B6407">
        <w:rPr>
          <w:i/>
        </w:rPr>
        <w:t>informatics</w:t>
      </w:r>
      <w:r w:rsidR="004B6407">
        <w:t xml:space="preserve"> has come to </w:t>
      </w:r>
      <w:r w:rsidR="00A85774">
        <w:t>refer to interdisciplinary study of information and its environment</w:t>
      </w:r>
      <w:r w:rsidR="00A85774">
        <w:rPr>
          <w:i/>
        </w:rPr>
        <w:t>;</w:t>
      </w:r>
      <w:r w:rsidR="00A85774">
        <w:t xml:space="preserve"> how it is represented, stored,</w:t>
      </w:r>
      <w:r w:rsidR="00A85774" w:rsidRPr="00A85774">
        <w:t xml:space="preserve"> </w:t>
      </w:r>
      <w:r w:rsidR="00A85774">
        <w:t xml:space="preserve">searched and </w:t>
      </w:r>
      <w:r w:rsidR="00A85774" w:rsidRPr="00A85774">
        <w:t>suppl</w:t>
      </w:r>
      <w:r w:rsidR="00A85774">
        <w:t>ied</w:t>
      </w:r>
      <w:r w:rsidR="00A85774" w:rsidRPr="00A85774">
        <w:t xml:space="preserve"> </w:t>
      </w:r>
      <w:r w:rsidR="00A85774">
        <w:fldChar w:fldCharType="begin" w:fldLock="1"/>
      </w:r>
      <w:r w:rsidR="00E971A6">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id":"ITEM-2","itemData":{"author":[{"dropping-particle":"","family":"Gammack","given":"John","non-dropping-particle":"","parse-names":false,"suffix":""},{"dropping-particle":"","family":"Hobbs","given":"Valarie","non-dropping-particle":"","parse-names":false,"suffix":""},{"dropping-particle":"","family":"Pigott","given":"Diarmuid","non-dropping-particle":"","parse-names":false,"suffix":""}],"id":"ITEM-2","issued":{"date-parts":[["2011"]]},"publisher":"Cengage Learning","title":"The Book of Informatics","type":"book"},"uris":["http://www.mendeley.com/documents/?uuid=cb76bd0b-17ef-472f-a523-8a52531dcd02"]}],"mendeley":{"formattedCitation":"(Gammack et al., 2011; Stock &amp; Stock, 2013)","plainTextFormattedCitation":"(Gammack et al., 2011; Stock &amp; Stock, 2013)","previouslyFormattedCitation":"(Gammack et al., 2011; Stock &amp; Stock, 2013)"},"properties":{"noteIndex":0},"schema":"https://github.com/citation-style-language/schema/raw/master/csl-citation.json"}</w:instrText>
      </w:r>
      <w:r w:rsidR="00A85774">
        <w:fldChar w:fldCharType="separate"/>
      </w:r>
      <w:r w:rsidR="00CB61D2" w:rsidRPr="00CB61D2">
        <w:rPr>
          <w:noProof/>
        </w:rPr>
        <w:t>(Gammack et al., 2011; Stock &amp; Stock, 2013)</w:t>
      </w:r>
      <w:r w:rsidR="00A85774">
        <w:fldChar w:fldCharType="end"/>
      </w:r>
      <w:r w:rsidR="00A85774">
        <w:t>. Many subfields of informatics have been demarcate</w:t>
      </w:r>
      <w:r w:rsidR="00E377E5">
        <w:t>d with m</w:t>
      </w:r>
      <w:r w:rsidR="00A85774">
        <w:t xml:space="preserve">edical informatics </w:t>
      </w:r>
      <w:r w:rsidR="003F4D89">
        <w:t>being</w:t>
      </w:r>
      <w:r w:rsidR="00A85774">
        <w:t xml:space="preserve"> one of the first </w:t>
      </w:r>
      <w:r w:rsidR="00E377E5">
        <w:fldChar w:fldCharType="begin" w:fldLock="1"/>
      </w:r>
      <w:r w:rsidR="00E947B2">
        <w:instrText>ADDIN CSL_CITATION {"citationItems":[{"id":"ITEM-1","itemData":{"DOI":"10.3414/ME9117","ISSN":"00261270","abstract":"Objectives: To clarify challenges and research topics for informatics in health and to describe new approaches for interdisciplinary collaboration and education. Methods: Research challenges and possible solutions were elaborated by scientists of two universities using an interdisciplinary approach, in a series of meetings over several months. Results and Conclusion: In order to translate scientific results from bench to bedside and further into an evidence-based and efficient health system, intensive collaboration is needed between experts from medicine, biology, informatics, engineering, public health, as well as social and economic sciences. Research challenges can be attributed to four areas: bioinformatics and systems biology, biomedical engineering and informatics, health informatics and individual healthcare, and public health informatics. In order to bridge existing gaps between different disciplines and cultures, we suggest focusing on interdisciplinary education, taking an integrative approach and starting interdisciplinary practice at early stages of education. © 2008 Schattauer GmbH.","author":[{"dropping-particle":"","family":"Kuhn","given":"Klaus A.","non-dropping-particle":"","parse-names":false,"suffix":""},{"dropping-particle":"","family":"Knoll","given":"A.","non-dropping-particle":"","parse-names":false,"suffix":""},{"dropping-particle":"","family":"Mewes","given":"H. W.","non-dropping-particle":"","parse-names":false,"suffix":""},{"dropping-particle":"","family":"Schwaiger","given":"M.","non-dropping-particle":"","parse-names":false,"suffix":""},{"dropping-particle":"","family":"Bode","given":"A.","non-dropping-particle":"","parse-names":false,"suffix":""},{"dropping-particle":"","family":"Broy","given":"M.","non-dropping-particle":"","parse-names":false,"suffix":""},{"dropping-particle":"","family":"Daniel","given":"H.","non-dropping-particle":"","parse-names":false,"suffix":""},{"dropping-particle":"","family":"Feussner","given":"H.","non-dropping-particle":"","parse-names":false,"suffix":""},{"dropping-particle":"","family":"Gradinger","given":"R.","non-dropping-particle":"","parse-names":false,"suffix":""},{"dropping-particle":"","family":"Hauner","given":"H.","non-dropping-particle":"","parse-names":false,"suffix":""},{"dropping-particle":"","family":"Höfler","given":"H.","non-dropping-particle":"","parse-names":false,"suffix":""},{"dropping-particle":"","family":"Holzmann","given":"B.","non-dropping-particle":"","parse-names":false,"suffix":""},{"dropping-particle":"","family":"Horsch","given":"A.","non-dropping-particle":"","parse-names":false,"suffix":""},{"dropping-particle":"","family":"Kemper","given":"A.","non-dropping-particle":"","parse-names":false,"suffix":""},{"dropping-particle":"","family":"Krcmar","given":"H.","non-dropping-particle":"","parse-names":false,"suffix":""},{"dropping-particle":"","family":"Kochs","given":"E. F.","non-dropping-particle":"","parse-names":false,"suffix":""},{"dropping-particle":"","family":"Lange","given":"R.","non-dropping-particle":"","parse-names":false,"suffix":""},{"dropping-particle":"","family":"Leidl","given":"R.","non-dropping-particle":"","parse-names":false,"suffix":""},{"dropping-particle":"","family":"Mansmann","given":"U.","non-dropping-particle":"","parse-names":false,"suffix":""},{"dropping-particle":"","family":"Mayr","given":"E. W.","non-dropping-particle":"","parse-names":false,"suffix":""},{"dropping-particle":"","family":"Meitinger","given":"T.","non-dropping-particle":"","parse-names":false,"suffix":""},{"dropping-particle":"","family":"Molls","given":"M.","non-dropping-particle":"","parse-names":false,"suffix":""},{"dropping-particle":"","family":"Navab","given":"N.","non-dropping-particle":"","parse-names":false,"suffix":""},{"dropping-particle":"","family":"Nüsslin","given":"F.","non-dropping-particle":"","parse-names":false,"suffix":""},{"dropping-particle":"","family":"Peschel","given":"C.","non-dropping-particle":"","parse-names":false,"suffix":""},{"dropping-particle":"","family":"Reiser","given":"M.","non-dropping-particle":"","parse-names":false,"suffix":""},{"dropping-particle":"","family":"Ring","given":"J.","non-dropping-particle":"","parse-names":false,"suffix":""},{"dropping-particle":"","family":"Rummeny","given":"E. J.","non-dropping-particle":"","parse-names":false,"suffix":""},{"dropping-particle":"","family":"Schlichter","given":"J.","non-dropping-particle":"","parse-names":false,"suffix":""},{"dropping-particle":"","family":"Schmid","given":"R.","non-dropping-particle":"","parse-names":false,"suffix":""},{"dropping-particle":"","family":"Wichmann","given":"H. E.","non-dropping-particle":"","parse-names":false,"suffix":""},{"dropping-particle":"","family":"Ziegler","given":"S.","non-dropping-particle":"","parse-names":false,"suffix":""}],"container-title":"Methods of Information in Medicine","id":"ITEM-1","issue":"4","issued":{"date-parts":[["2008"]]},"page":"283-295","title":"Informatics and Medicine - From Molecules to Populations","type":"article-journal","volume":"47"},"uris":["http://www.mendeley.com/documents/?uuid=1f89be83-7f27-465d-8612-3c369f4a0a09"]}],"mendeley":{"formattedCitation":"(Kuhn et al., 2008)","plainTextFormattedCitation":"(Kuhn et al., 2008)","previouslyFormattedCitation":"(Kuhn et al., 2008)"},"properties":{"noteIndex":0},"schema":"https://github.com/citation-style-language/schema/raw/master/csl-citation.json"}</w:instrText>
      </w:r>
      <w:r w:rsidR="00E377E5">
        <w:fldChar w:fldCharType="separate"/>
      </w:r>
      <w:r w:rsidR="00E377E5" w:rsidRPr="00E377E5">
        <w:rPr>
          <w:noProof/>
        </w:rPr>
        <w:t>(Kuhn et al., 2008)</w:t>
      </w:r>
      <w:r w:rsidR="00E377E5">
        <w:fldChar w:fldCharType="end"/>
      </w:r>
      <w:r w:rsidR="00E377E5">
        <w:t>. Biomedical</w:t>
      </w:r>
      <w:r w:rsidR="00E947B2">
        <w:t xml:space="preserve"> </w:t>
      </w:r>
      <w:r w:rsidR="00E947B2">
        <w:fldChar w:fldCharType="begin" w:fldLock="1"/>
      </w:r>
      <w:r w:rsidR="002555AF">
        <w:instrText>ADDIN CSL_CITATION {"citationItems":[{"id":"ITEM-1","itemData":{"edition":"4th","editor":[{"dropping-particle":"","family":"Shortliffe","given":"Edward H.","non-dropping-particle":"","parse-names":false,"suffix":""},{"dropping-particle":"","family":"Cimino","given":"James J","non-dropping-particle":"","parse-names":false,"suffix":""}],"id":"ITEM-1","issued":{"date-parts":[["2013"]]},"publisher":"Springer","publisher-place":"New York","title":"Biomedical Informatics: Computer applications in healthcare and biomedicine","type":"book"},"uris":["http://www.mendeley.com/documents/?uuid=12496a07-4af6-49b8-9b85-154217d99043"]}],"mendeley":{"formattedCitation":"(Shortliffe &amp; Cimino, 2013)","plainTextFormattedCitation":"(Shortliffe &amp; Cimino, 2013)","previouslyFormattedCitation":"(Shortliffe &amp; Cimino, 2013)"},"properties":{"noteIndex":0},"schema":"https://github.com/citation-style-language/schema/raw/master/csl-citation.json"}</w:instrText>
      </w:r>
      <w:r w:rsidR="00E947B2">
        <w:fldChar w:fldCharType="separate"/>
      </w:r>
      <w:r w:rsidR="00E947B2" w:rsidRPr="00E947B2">
        <w:rPr>
          <w:noProof/>
        </w:rPr>
        <w:t>(Shortliffe &amp; Cimino, 2013)</w:t>
      </w:r>
      <w:r w:rsidR="00E947B2">
        <w:fldChar w:fldCharType="end"/>
      </w:r>
      <w:r w:rsidR="00E377E5">
        <w:t>, nursing</w:t>
      </w:r>
      <w:r w:rsidR="002555AF">
        <w:t xml:space="preserve"> </w:t>
      </w:r>
      <w:r w:rsidR="002555AF">
        <w:fldChar w:fldCharType="begin" w:fldLock="1"/>
      </w:r>
      <w:r w:rsidR="002555AF">
        <w:instrText>ADDIN CSL_CITATION {"citationItems":[{"id":"ITEM-1","itemData":{"author":[{"dropping-particle":"","family":"McCormick","given":"Kathleen","non-dropping-particle":"","parse-names":false,"suffix":""},{"dropping-particle":"","family":"Saba","given":"Virginia","non-dropping-particle":"","parse-names":false,"suffix":""}],"edition":"6th","id":"ITEM-1","issued":{"date-parts":[["2015"]]},"publisher":"McGraw-Hill Education","title":"Essentials of nursing informatics","type":"book"},"uris":["http://www.mendeley.com/documents/?uuid=1b1ca058-7869-472e-81db-74c62026670b"]}],"mendeley":{"formattedCitation":"(McCormick &amp; Saba, 2015)","plainTextFormattedCitation":"(McCormick &amp; Saba, 2015)","previouslyFormattedCitation":"(McCormick &amp; Saba, 2015)"},"properties":{"noteIndex":0},"schema":"https://github.com/citation-style-language/schema/raw/master/csl-citation.json"}</w:instrText>
      </w:r>
      <w:r w:rsidR="002555AF">
        <w:fldChar w:fldCharType="separate"/>
      </w:r>
      <w:r w:rsidR="002555AF" w:rsidRPr="002555AF">
        <w:rPr>
          <w:noProof/>
        </w:rPr>
        <w:t>(McCormick &amp; Saba, 2015)</w:t>
      </w:r>
      <w:r w:rsidR="002555AF">
        <w:fldChar w:fldCharType="end"/>
      </w:r>
      <w:r w:rsidR="00E377E5">
        <w:t>, clinical</w:t>
      </w:r>
      <w:r w:rsidR="00F33529">
        <w:t xml:space="preserve"> and clinical-research </w:t>
      </w:r>
      <w:r w:rsidR="00F33529">
        <w:fldChar w:fldCharType="begin" w:fldLock="1"/>
      </w:r>
      <w:r w:rsidR="0094634B">
        <w:instrText>ADDIN CSL_CITATION {"citationItems":[{"id":"ITEM-1","itemData":{"author":[{"dropping-particle":"","family":"Degoulet","given":"Patrice","non-dropping-particle":"","parse-names":false,"suffix":""},{"dropping-particle":"","family":"Fieschi","given":"Marius","non-dropping-particle":"","parse-names":false,"suffix":""}],"id":"ITEM-1","issued":{"date-parts":[["2012"]]},"publisher":"Springer","publisher-place":"New York","title":"Introduction to clinical informatics","type":"book"},"uris":["http://www.mendeley.com/documents/?uuid=3bb9f8dc-e609-4a2c-a63d-e7a945184683"]},{"id":"ITEM-2","itemData":{"edition":"2nd","editor":[{"dropping-particle":"","family":"Richesson","given":"Rachel L.","non-dropping-particle":"","parse-names":false,"suffix":""},{"dropping-particle":"","family":"Andrews","given":"James E.","non-dropping-particle":"","parse-names":false,"suffix":""}],"id":"ITEM-2","issued":{"date-parts":[["2019"]]},"publisher":"Springer","title":"Clinical research informatics","type":"book"},"uris":["http://www.mendeley.com/documents/?uuid=97a6528e-1fa4-4720-8827-82a568b4db7a"]}],"mendeley":{"formattedCitation":"(Degoulet &amp; Fieschi, 2012; Richesson &amp; Andrews, 2019)","plainTextFormattedCitation":"(Degoulet &amp; Fieschi, 2012; Richesson &amp; Andrews, 2019)","previouslyFormattedCitation":"(Degoulet &amp; Fieschi, 2012; Richesson &amp; Andrews, 2019)"},"properties":{"noteIndex":0},"schema":"https://github.com/citation-style-language/schema/raw/master/csl-citation.json"}</w:instrText>
      </w:r>
      <w:r w:rsidR="00F33529">
        <w:fldChar w:fldCharType="separate"/>
      </w:r>
      <w:r w:rsidR="00F33529" w:rsidRPr="00F33529">
        <w:rPr>
          <w:noProof/>
        </w:rPr>
        <w:t>(Degoulet &amp; Fieschi, 2012; Richesson &amp; Andrews, 2019)</w:t>
      </w:r>
      <w:r w:rsidR="00F33529">
        <w:fldChar w:fldCharType="end"/>
      </w:r>
      <w:r w:rsidR="00E377E5">
        <w:t>, public-health</w:t>
      </w:r>
      <w:r w:rsidR="002555AF">
        <w:t xml:space="preserve"> </w:t>
      </w:r>
      <w:r w:rsidR="002555AF">
        <w:fldChar w:fldCharType="begin" w:fldLock="1"/>
      </w:r>
      <w:r w:rsidR="00F33529">
        <w:instrText>ADDIN CSL_CITATION {"citationItems":[{"id":"ITEM-1","itemData":{"edition":"2nd","editor":[{"dropping-particle":"","family":"Magnusson","given":"J.A.","non-dropping-particle":"","parse-names":false,"suffix":""},{"dropping-particle":"","family":"Fu Jr.","given":"Paul C.","non-dropping-particle":"","parse-names":false,"suffix":""}],"id":"ITEM-1","issued":{"date-parts":[["2013"]]},"publisher":"Springer","publisher-place":"London","title":"Public health informatics and information systems","type":"book"},"uris":["http://www.mendeley.com/documents/?uuid=4ca1503d-8810-416b-99ee-cda7a2b93a79"]}],"mendeley":{"formattedCitation":"(Magnusson &amp; Fu Jr., 2013)","plainTextFormattedCitation":"(Magnusson &amp; Fu Jr., 2013)","previouslyFormattedCitation":"(Magnusson &amp; Fu Jr., 2013)"},"properties":{"noteIndex":0},"schema":"https://github.com/citation-style-language/schema/raw/master/csl-citation.json"}</w:instrText>
      </w:r>
      <w:r w:rsidR="002555AF">
        <w:fldChar w:fldCharType="separate"/>
      </w:r>
      <w:r w:rsidR="002555AF" w:rsidRPr="002555AF">
        <w:rPr>
          <w:noProof/>
        </w:rPr>
        <w:t>(Magnusson &amp; Fu Jr., 2013)</w:t>
      </w:r>
      <w:r w:rsidR="002555AF">
        <w:fldChar w:fldCharType="end"/>
      </w:r>
      <w:r w:rsidR="00E377E5">
        <w:t xml:space="preserve">, </w:t>
      </w:r>
      <w:r w:rsidR="003F4D89">
        <w:t xml:space="preserve">and </w:t>
      </w:r>
      <w:r w:rsidR="00E377E5">
        <w:t>bio</w:t>
      </w:r>
      <w:r w:rsidR="0094634B">
        <w:t xml:space="preserve">informatics </w:t>
      </w:r>
      <w:r w:rsidR="0094634B">
        <w:fldChar w:fldCharType="begin" w:fldLock="1"/>
      </w:r>
      <w:r w:rsidR="0094634B">
        <w:instrText>ADDIN CSL_CITATION {"citationItems":[{"id":"ITEM-1","itemData":{"DOI":"10.1007/s10439-006-9105-9","ISBN":"0471383902","ISSN":"0090-6964","edition":"2nd","editor":[{"dropping-particle":"","family":"Baxevanis","given":"Andreas D.","non-dropping-particle":"","parse-names":false,"suffix":""},{"dropping-particle":"","family":"Ouellette","given":"B.F. Francis","non-dropping-particle":"","parse-names":false,"suffix":""}],"id":"ITEM-1","issued":{"date-parts":[["2020"]]},"publisher":"Wiley-Interscience","title":"Bioinformatics: A Practical Guide to the Analysis of Genes and Proteins","type":"book"},"uris":["http://www.mendeley.com/documents/?uuid=ac5c7255-7393-417a-b98a-4dfdaf47becd"]}],"mendeley":{"formattedCitation":"(Baxevanis &amp; Ouellette, 2020)","plainTextFormattedCitation":"(Baxevanis &amp; Ouellette, 2020)","previouslyFormattedCitation":"(Baxevanis &amp; Ouellette, 2020)"},"properties":{"noteIndex":0},"schema":"https://github.com/citation-style-language/schema/raw/master/csl-citation.json"}</w:instrText>
      </w:r>
      <w:r w:rsidR="0094634B">
        <w:fldChar w:fldCharType="separate"/>
      </w:r>
      <w:r w:rsidR="0094634B" w:rsidRPr="0094634B">
        <w:rPr>
          <w:noProof/>
        </w:rPr>
        <w:t>(Baxevanis &amp; Ouellette, 2020)</w:t>
      </w:r>
      <w:r w:rsidR="0094634B">
        <w:fldChar w:fldCharType="end"/>
      </w:r>
      <w:r w:rsidR="00E377E5">
        <w:t xml:space="preserve"> are but a few of the </w:t>
      </w:r>
      <w:r w:rsidR="00CB61D2">
        <w:t xml:space="preserve">further </w:t>
      </w:r>
      <w:r w:rsidR="00E377E5">
        <w:t>subfields recognised by t</w:t>
      </w:r>
      <w:r w:rsidR="002555AF">
        <w:t xml:space="preserve">he International </w:t>
      </w:r>
      <w:r w:rsidR="00E377E5">
        <w:t xml:space="preserve">Medical Informatics Association </w:t>
      </w:r>
      <w:r w:rsidR="0094634B">
        <w:fldChar w:fldCharType="begin" w:fldLock="1"/>
      </w:r>
      <w:r w:rsidR="00CB61D2">
        <w:instrText>ADDIN CSL_CITATION {"citationItems":[{"id":"ITEM-1","itemData":{"author":[{"dropping-particle":"","family":"IMIA","given":"","non-dropping-particle":"","parse-names":false,"suffix":""}],"id":"ITEM-1","issued":{"date-parts":[["2020"]]},"title":"International Medical Informatics Association","type":"article"},"uris":["http://www.mendeley.com/documents/?uuid=e089cfd1-334d-4e3a-876a-b477037bdaca"]}],"mendeley":{"formattedCitation":"(IMIA, 2020)","plainTextFormattedCitation":"(IMIA, 2020)","previouslyFormattedCitation":"(IMIA, 2020)"},"properties":{"noteIndex":0},"schema":"https://github.com/citation-style-language/schema/raw/master/csl-citation.json"}</w:instrText>
      </w:r>
      <w:r w:rsidR="0094634B">
        <w:fldChar w:fldCharType="separate"/>
      </w:r>
      <w:r w:rsidR="0094634B" w:rsidRPr="0094634B">
        <w:rPr>
          <w:noProof/>
        </w:rPr>
        <w:t>(IMIA, 2020)</w:t>
      </w:r>
      <w:r w:rsidR="0094634B">
        <w:fldChar w:fldCharType="end"/>
      </w:r>
      <w:r w:rsidR="00E377E5">
        <w:t>, where they use principles from information science to address particular needs.</w:t>
      </w:r>
    </w:p>
    <w:p w14:paraId="2031972A" w14:textId="67A76175" w:rsidR="00AB2605" w:rsidRPr="00AB2605" w:rsidRDefault="00AB2605" w:rsidP="00E377E5">
      <w:pPr>
        <w:rPr>
          <w:color w:val="FF0000"/>
        </w:rPr>
      </w:pPr>
      <w:r>
        <w:rPr>
          <w:color w:val="FF0000"/>
        </w:rPr>
        <w:lastRenderedPageBreak/>
        <w:t xml:space="preserve">*Need </w:t>
      </w:r>
      <w:r w:rsidR="00D70CDB">
        <w:rPr>
          <w:color w:val="FF0000"/>
        </w:rPr>
        <w:t>s</w:t>
      </w:r>
      <w:r>
        <w:rPr>
          <w:color w:val="FF0000"/>
        </w:rPr>
        <w:t>eg</w:t>
      </w:r>
      <w:r w:rsidR="00D70CDB">
        <w:rPr>
          <w:color w:val="FF0000"/>
        </w:rPr>
        <w:t>ue</w:t>
      </w:r>
      <w:r>
        <w:rPr>
          <w:color w:val="FF0000"/>
        </w:rPr>
        <w:t xml:space="preserve"> from ‘History of…’ to ‘Safety infor</w:t>
      </w:r>
      <w:r w:rsidR="00D70CDB">
        <w:rPr>
          <w:color w:val="FF0000"/>
        </w:rPr>
        <w:t>matics</w:t>
      </w:r>
      <w:r>
        <w:rPr>
          <w:color w:val="FF0000"/>
        </w:rPr>
        <w:t>’*</w:t>
      </w:r>
    </w:p>
    <w:p w14:paraId="72FAFF09" w14:textId="77777777" w:rsidR="00AB2605" w:rsidRDefault="00AB2605" w:rsidP="00E377E5"/>
    <w:p w14:paraId="27EF88A0" w14:textId="33A4D1E4" w:rsidR="00AB2605" w:rsidRDefault="00AB2605" w:rsidP="00AB2605">
      <w:pPr>
        <w:pStyle w:val="Heading2"/>
      </w:pPr>
      <w:r>
        <w:t>Safety informatics</w:t>
      </w:r>
    </w:p>
    <w:p w14:paraId="7057D037" w14:textId="13EE9019" w:rsidR="00F700A2" w:rsidRDefault="00004E11" w:rsidP="00F90BA4">
      <w:pPr>
        <w:rPr>
          <w:color w:val="FF0000"/>
        </w:rPr>
      </w:pPr>
      <w:r w:rsidRPr="00004E11">
        <w:rPr>
          <w:color w:val="FF0000"/>
        </w:rPr>
        <w:t>*</w:t>
      </w:r>
      <w:r w:rsidR="00F700A2">
        <w:rPr>
          <w:color w:val="FF0000"/>
        </w:rPr>
        <w:t>What is safety informatics and why do we need it?*</w:t>
      </w:r>
    </w:p>
    <w:p w14:paraId="421ACB53" w14:textId="4A952C64" w:rsidR="003D3C2C" w:rsidRDefault="003D3C2C" w:rsidP="00F90BA4">
      <w:pPr>
        <w:rPr>
          <w:color w:val="FF0000"/>
        </w:rPr>
      </w:pPr>
      <w:r>
        <w:rPr>
          <w:color w:val="FF0000"/>
        </w:rPr>
        <w:t>*Add OJ graphic about S</w:t>
      </w:r>
      <w:r w:rsidR="006A63CC">
        <w:rPr>
          <w:color w:val="FF0000"/>
        </w:rPr>
        <w:t xml:space="preserve">afety </w:t>
      </w:r>
      <w:r>
        <w:rPr>
          <w:color w:val="FF0000"/>
        </w:rPr>
        <w:t>I</w:t>
      </w:r>
      <w:r w:rsidR="006A63CC">
        <w:rPr>
          <w:color w:val="FF0000"/>
        </w:rPr>
        <w:t>nformatics, i.e. intersection of patient safety and digital technology (perhaps we should use the three-circle graphic that the DI devised during strategy discussion, i.e. intersection of safety science, health service delivery, and information technology)</w:t>
      </w:r>
      <w:r>
        <w:rPr>
          <w:color w:val="FF0000"/>
        </w:rPr>
        <w:t>*</w:t>
      </w:r>
    </w:p>
    <w:p w14:paraId="50A98F4E" w14:textId="436E0F90" w:rsidR="00004E11" w:rsidRDefault="00F700A2" w:rsidP="00F90BA4">
      <w:r>
        <w:rPr>
          <w:color w:val="FF0000"/>
        </w:rPr>
        <w:t>*</w:t>
      </w:r>
      <w:r w:rsidR="00004E11" w:rsidRPr="00004E11">
        <w:rPr>
          <w:color w:val="FF0000"/>
        </w:rPr>
        <w:t>Niels Peek (UoM) to lead on this section*</w:t>
      </w:r>
    </w:p>
    <w:p w14:paraId="5AAE73AB" w14:textId="75F84630" w:rsidR="00F90BA4" w:rsidRPr="00BC410C" w:rsidRDefault="00F90BA4" w:rsidP="00F90BA4">
      <w:pPr>
        <w:rPr>
          <w:i/>
        </w:rPr>
      </w:pPr>
      <w:r>
        <w:t>The International Medical Informatics Association (IMIA) working group on ‘Health Informatics for Patient Safety’ consider their role as “</w:t>
      </w:r>
      <w:r w:rsidRPr="00BC410C">
        <w:t>[</w:t>
      </w:r>
      <w:r>
        <w:t>promoting</w:t>
      </w:r>
      <w:r w:rsidRPr="00BC410C">
        <w:t>]</w:t>
      </w:r>
      <w:r>
        <w:t xml:space="preserve"> </w:t>
      </w:r>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Pr="00BC410C">
        <w:rPr>
          <w:noProof/>
        </w:rPr>
        <w:t>(IMIA WG7, 2018)</w:t>
      </w:r>
      <w:r>
        <w:fldChar w:fldCharType="end"/>
      </w:r>
      <w:r>
        <w:t>.</w:t>
      </w:r>
    </w:p>
    <w:p w14:paraId="40F431C9" w14:textId="3006BA08" w:rsidR="00E947B2" w:rsidRDefault="00E947B2" w:rsidP="00E377E5"/>
    <w:p w14:paraId="0CF08F6B" w14:textId="61B0ED80" w:rsidR="003D3C2C" w:rsidRPr="003D3C2C" w:rsidRDefault="003D3C2C" w:rsidP="003D3C2C"/>
    <w:p w14:paraId="2AA45DB1" w14:textId="096B95C7" w:rsidR="002B4E34" w:rsidRDefault="003D3C2C" w:rsidP="003D3C2C">
      <w:pPr>
        <w:pStyle w:val="Heading1"/>
      </w:pPr>
      <w:r>
        <w:t>Background</w:t>
      </w:r>
    </w:p>
    <w:p w14:paraId="75CD1221" w14:textId="190B942D" w:rsidR="003D3C2C" w:rsidRDefault="003D3C2C" w:rsidP="003D3C2C">
      <w:pPr>
        <w:rPr>
          <w:color w:val="4472C4" w:themeColor="accent5"/>
        </w:rPr>
      </w:pPr>
      <w:r w:rsidRPr="003D3C2C">
        <w:rPr>
          <w:color w:val="4472C4" w:themeColor="accent5"/>
        </w:rPr>
        <w:t>The purpose of this section is to provide an informal review of the literature to see what it tells us about the challenges posed by health information technology</w:t>
      </w:r>
      <w:r w:rsidR="005B1194">
        <w:rPr>
          <w:color w:val="4472C4" w:themeColor="accent5"/>
        </w:rPr>
        <w:t xml:space="preserve"> </w:t>
      </w:r>
      <w:r w:rsidRPr="00F700A2">
        <w:rPr>
          <w:color w:val="4472C4" w:themeColor="accent5"/>
        </w:rPr>
        <w:fldChar w:fldCharType="begin" w:fldLock="1"/>
      </w:r>
      <w:r w:rsidR="005B1194">
        <w:rPr>
          <w:color w:val="4472C4" w:themeColor="accent5"/>
        </w:rP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Impact","type":"article-journal"},"uris":["http://www.mendeley.com/documents/?uuid=ec964fa5-0ed0-447b-8a68-770fcd4b0d8c"]}],"mendeley":{"formattedCitation":"(Gómez-González et al., 2020; Kostkova, 2015)","manualFormatting":"(e.g. Gómez-González et al., 2020; Kostkova, 2015)","plainTextFormattedCitation":"(Gómez-González et al., 2020; Kostkova, 2015)","previouslyFormattedCitation":"(Gómez-González et al., 2020; Kostkova, 2015)"},"properties":{"noteIndex":0},"schema":"https://github.com/citation-style-language/schema/raw/master/csl-citation.json"}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w:t>
      </w:r>
      <w:r w:rsidR="005B1194">
        <w:rPr>
          <w:noProof/>
          <w:color w:val="4472C4" w:themeColor="accent5"/>
        </w:rPr>
        <w:t xml:space="preserve">e.g. </w:t>
      </w:r>
      <w:r w:rsidRPr="00F700A2">
        <w:rPr>
          <w:noProof/>
          <w:color w:val="4472C4" w:themeColor="accent5"/>
        </w:rPr>
        <w:t>Gómez-González et al., 2020; Kostkova, 2015)</w:t>
      </w:r>
      <w:r w:rsidRPr="00F700A2">
        <w:rPr>
          <w:color w:val="4472C4" w:themeColor="accent5"/>
        </w:rPr>
        <w:fldChar w:fldCharType="end"/>
      </w:r>
      <w:r w:rsidRPr="00F700A2">
        <w:rPr>
          <w:color w:val="4472C4" w:themeColor="accent5"/>
        </w:rPr>
        <w:t>.</w:t>
      </w:r>
      <w:r w:rsidRPr="003D3C2C">
        <w:rPr>
          <w:color w:val="4472C4" w:themeColor="accent5"/>
        </w:rPr>
        <w:t xml:space="preserve"> </w:t>
      </w:r>
      <w:r w:rsidRPr="00F700A2">
        <w:rPr>
          <w:color w:val="4472C4" w:themeColor="accent5"/>
        </w:rPr>
        <w:t xml:space="preserve">The purpose of </w:t>
      </w:r>
      <w:r w:rsidR="006A63CC">
        <w:rPr>
          <w:color w:val="4472C4" w:themeColor="accent5"/>
        </w:rPr>
        <w:t>the</w:t>
      </w:r>
      <w:r w:rsidRPr="00F700A2">
        <w:rPr>
          <w:color w:val="4472C4" w:themeColor="accent5"/>
        </w:rPr>
        <w:t xml:space="preserve"> </w:t>
      </w:r>
      <w:r w:rsidR="006A63CC">
        <w:rPr>
          <w:color w:val="4472C4" w:themeColor="accent5"/>
        </w:rPr>
        <w:t>subsections are</w:t>
      </w:r>
      <w:r w:rsidRPr="00F700A2">
        <w:rPr>
          <w:color w:val="4472C4" w:themeColor="accent5"/>
        </w:rPr>
        <w:t xml:space="preserve">  to briefly discuss some contextual challenges that continue to exist prior to the widespread use of the new and emerging technologies described above. The set of challenges described below will be chosen based on their potential to interact with the novel challenges.</w:t>
      </w:r>
      <w:r w:rsidR="006A63CC">
        <w:rPr>
          <w:color w:val="4472C4" w:themeColor="accent5"/>
        </w:rPr>
        <w:t xml:space="preserve"> </w:t>
      </w:r>
    </w:p>
    <w:p w14:paraId="573D76A5" w14:textId="77777777" w:rsidR="003D3C2C" w:rsidRDefault="003D3C2C" w:rsidP="003D3C2C">
      <w:r w:rsidRPr="00004E11">
        <w:rPr>
          <w:color w:val="FF0000"/>
        </w:rPr>
        <w:t>*Ciarán McInerney (UoL) to lead on this section</w:t>
      </w:r>
      <w:r>
        <w:rPr>
          <w:color w:val="FF0000"/>
        </w:rPr>
        <w:t xml:space="preserve"> and its subsections</w:t>
      </w:r>
      <w:r w:rsidRPr="00004E11">
        <w:rPr>
          <w:color w:val="FF0000"/>
        </w:rPr>
        <w:t>*</w:t>
      </w:r>
    </w:p>
    <w:p w14:paraId="6BFD7F1E" w14:textId="77777777" w:rsidR="003D3C2C" w:rsidRPr="00F700A2" w:rsidRDefault="003D3C2C" w:rsidP="003D3C2C">
      <w:pPr>
        <w:rPr>
          <w:color w:val="4472C4" w:themeColor="accent5"/>
        </w:rPr>
      </w:pPr>
    </w:p>
    <w:p w14:paraId="7702804E" w14:textId="77777777" w:rsidR="003D3C2C" w:rsidRDefault="003D3C2C" w:rsidP="003D3C2C"/>
    <w:p w14:paraId="36012B72" w14:textId="638D74EA" w:rsidR="003D3C2C" w:rsidRDefault="00317D7E" w:rsidP="00317D7E">
      <w:pPr>
        <w:pStyle w:val="Heading2"/>
      </w:pPr>
      <w:r>
        <w:t>*</w:t>
      </w:r>
      <w:r w:rsidR="003D3C2C">
        <w:t>Interoperability</w:t>
      </w:r>
    </w:p>
    <w:p w14:paraId="65EC78AC" w14:textId="77777777" w:rsidR="003D3C2C" w:rsidRDefault="003D3C2C" w:rsidP="003D3C2C">
      <w:pPr>
        <w:rPr>
          <w:color w:val="4472C4" w:themeColor="accent5"/>
        </w:rPr>
      </w:pPr>
      <w:r w:rsidRPr="00F700A2">
        <w:rPr>
          <w:color w:val="4472C4" w:themeColor="accent5"/>
        </w:rPr>
        <w:t xml:space="preserve">The purpose of this subsection is to explain the problem of interoperability as it relates to health information technologies. We will argue that interoperability is the responsibility of policymakers, technology leaders and industry implementers, as suggested by </w:t>
      </w:r>
      <w:r w:rsidRPr="00F700A2">
        <w:rPr>
          <w:color w:val="4472C4" w:themeColor="accent5"/>
        </w:rPr>
        <w:fldChar w:fldCharType="begin" w:fldLock="1"/>
      </w:r>
      <w:r w:rsidRPr="00F700A2">
        <w:rPr>
          <w:color w:val="4472C4" w:themeColor="accent5"/>
        </w:rPr>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&amp; Grieve, 2016)","plainTextFormattedCitation":"(Benson &amp; Grieve, 2016)","previouslyFormattedCitation":"(Benson &amp; Grieve, 2016)"},"properties":{"noteIndex":0},"schema":"https://github.com/citation-style-language/schema/raw/master/csl-citation.json"}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(Benson &amp; Grieve, 2016)</w:t>
      </w:r>
      <w:r w:rsidRPr="00F700A2">
        <w:rPr>
          <w:color w:val="4472C4" w:themeColor="accent5"/>
        </w:rPr>
        <w:fldChar w:fldCharType="end"/>
      </w:r>
      <w:r w:rsidRPr="00F700A2">
        <w:rPr>
          <w:color w:val="4472C4" w:themeColor="accent5"/>
        </w:rPr>
        <w:t>.</w:t>
      </w:r>
    </w:p>
    <w:p w14:paraId="3BDE4A88" w14:textId="77777777" w:rsidR="003D3C2C" w:rsidRPr="00F700A2" w:rsidRDefault="003D3C2C" w:rsidP="003D3C2C">
      <w:pPr>
        <w:rPr>
          <w:color w:val="4472C4" w:themeColor="accent5"/>
        </w:rPr>
      </w:pPr>
      <w:r w:rsidRPr="00004E11">
        <w:rPr>
          <w:color w:val="FF0000"/>
        </w:rPr>
        <w:t xml:space="preserve">*Ciarán McInerney (UoL) to lead on this </w:t>
      </w:r>
      <w:r>
        <w:rPr>
          <w:color w:val="FF0000"/>
        </w:rPr>
        <w:t>subsection</w:t>
      </w:r>
      <w:r w:rsidRPr="00004E11">
        <w:rPr>
          <w:color w:val="FF0000"/>
        </w:rPr>
        <w:t>*</w:t>
      </w:r>
    </w:p>
    <w:p w14:paraId="59DE1A66" w14:textId="4B48D199" w:rsidR="003D3C2C" w:rsidRDefault="00E971A6" w:rsidP="003D3C2C">
      <w:r>
        <w:t>*</w:t>
      </w:r>
      <w:r>
        <w:fldChar w:fldCharType="begin" w:fldLock="1"/>
      </w:r>
      <w:r>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et al., 2019)","plainTextFormattedCitation":"(Yaqoob et al., 2019)"},"properties":{"noteIndex":0},"schema":"https://github.com/citation-style-language/schema/raw/master/csl-citation.json"}</w:instrText>
      </w:r>
      <w:r>
        <w:fldChar w:fldCharType="separate"/>
      </w:r>
      <w:r w:rsidRPr="00E971A6">
        <w:rPr>
          <w:noProof/>
        </w:rPr>
        <w:t>(Yaqoob et al., 2019)</w:t>
      </w:r>
      <w:r>
        <w:fldChar w:fldCharType="end"/>
      </w:r>
      <w:r>
        <w:t xml:space="preserve"> </w:t>
      </w:r>
      <w:bookmarkStart w:id="0" w:name="_GoBack"/>
      <w:bookmarkEnd w:id="0"/>
      <w:r>
        <w:t>provide a lengthy report on the security and regulatory vulnerabilities associated with networked medical devices.</w:t>
      </w:r>
    </w:p>
    <w:p w14:paraId="19EA9043" w14:textId="77777777" w:rsidR="00E971A6" w:rsidRDefault="00E971A6" w:rsidP="003D3C2C"/>
    <w:p w14:paraId="38A79079" w14:textId="1BDFEF08" w:rsidR="003D3C2C" w:rsidRDefault="00317D7E" w:rsidP="00317D7E">
      <w:pPr>
        <w:pStyle w:val="Heading2"/>
      </w:pPr>
      <w:r>
        <w:t>*</w:t>
      </w:r>
      <w:r w:rsidR="003D3C2C">
        <w:t>No testing before implementation</w:t>
      </w:r>
    </w:p>
    <w:p w14:paraId="0F5E4E7F" w14:textId="77777777" w:rsidR="003D3C2C" w:rsidRDefault="003D3C2C" w:rsidP="003D3C2C">
      <w:pPr>
        <w:rPr>
          <w:color w:val="4472C4" w:themeColor="accent5"/>
        </w:rPr>
      </w:pPr>
      <w:r w:rsidRPr="00F700A2">
        <w:rPr>
          <w:color w:val="4472C4" w:themeColor="accent5"/>
        </w:rPr>
        <w:t xml:space="preserve">The purpose of this subsection is to highlight the lack of testing that precedes implementation of health information technologies and the consequences of such oversight. We will link our presentation with the large contribution of health information technologies by commercial providers, about whose testing we are unaware due to the opacity of IP. </w:t>
      </w:r>
    </w:p>
    <w:p w14:paraId="2FF61E20" w14:textId="77777777" w:rsidR="003D3C2C" w:rsidRPr="00F700A2" w:rsidRDefault="003D3C2C" w:rsidP="003D3C2C">
      <w:pPr>
        <w:rPr>
          <w:color w:val="4472C4" w:themeColor="accent5"/>
        </w:rPr>
      </w:pPr>
      <w:r w:rsidRPr="00004E11">
        <w:rPr>
          <w:color w:val="FF0000"/>
        </w:rPr>
        <w:lastRenderedPageBreak/>
        <w:t xml:space="preserve">*Ciarán McInerney (UoL) to lead on this </w:t>
      </w:r>
      <w:r>
        <w:rPr>
          <w:color w:val="FF0000"/>
        </w:rPr>
        <w:t>subsection</w:t>
      </w:r>
      <w:r w:rsidRPr="00004E11">
        <w:rPr>
          <w:color w:val="FF0000"/>
        </w:rPr>
        <w:t>*</w:t>
      </w:r>
    </w:p>
    <w:p w14:paraId="0FEE901D" w14:textId="77777777" w:rsidR="003D3C2C" w:rsidRPr="0084507D" w:rsidRDefault="003D3C2C" w:rsidP="003D3C2C"/>
    <w:p w14:paraId="4E1B5DE2" w14:textId="63645A0F" w:rsidR="003D3C2C" w:rsidRDefault="00317D7E" w:rsidP="00317D7E">
      <w:pPr>
        <w:pStyle w:val="Heading2"/>
      </w:pPr>
      <w:r>
        <w:t>*</w:t>
      </w:r>
      <w:r w:rsidR="003D3C2C">
        <w:t>Digital inequality</w:t>
      </w:r>
    </w:p>
    <w:p w14:paraId="0AED8D88" w14:textId="7216AF3E" w:rsidR="003D3C2C" w:rsidRDefault="003D3C2C" w:rsidP="003D3C2C">
      <w:r w:rsidRPr="00F700A2">
        <w:rPr>
          <w:color w:val="4472C4" w:themeColor="accent5"/>
        </w:rPr>
        <w:t>The purpose of this subsection is to highlight that new and incr</w:t>
      </w:r>
      <w:r w:rsidR="006A63CC">
        <w:rPr>
          <w:color w:val="4472C4" w:themeColor="accent5"/>
        </w:rPr>
        <w:t>easingly-</w:t>
      </w:r>
      <w:r w:rsidRPr="00F700A2">
        <w:rPr>
          <w:color w:val="4472C4" w:themeColor="accent5"/>
        </w:rPr>
        <w:t xml:space="preserve">complex health information technologies are not likely to be equally affordable nor available for all </w:t>
      </w:r>
      <w:r w:rsidRPr="00F700A2">
        <w:rPr>
          <w:color w:val="4472C4" w:themeColor="accent5"/>
        </w:rPr>
        <w:fldChar w:fldCharType="begin" w:fldLock="1"/>
      </w:r>
      <w:r w:rsidRPr="00F700A2">
        <w:rPr>
          <w:color w:val="4472C4" w:themeColor="accent5"/>
        </w:rPr>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paradigm","type":"article-journal","volume":"2"},"uris":["http://www.mendeley.com/documents/?uuid=6adeb88a-46df-4394-918b-076c3e901b49"]}],"mendeley":{"formattedCitation":"(Banerjee, 2019; Lupton, 2017; McAuley, 2014; Robinson et al., 2015)","plainTextFormattedCitation":"(Banerjee, 2019; Lupton, 2017; McAuley, 2014; Robinson et al., 2015)","previouslyFormattedCitation":"(Banerjee, 2019; Lupton, 2017; McAuley, 2014; Robinson et al., 2015)"},"properties":{"noteIndex":0},"schema":"https://github.com/citation-style-language/schema/raw/master/csl-citation.json"}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(Banerjee, 2019; Lupton, 2017; McAuley, 2014; Robinson et al., 2015)</w:t>
      </w:r>
      <w:r w:rsidRPr="00F700A2">
        <w:rPr>
          <w:color w:val="4472C4" w:themeColor="accent5"/>
        </w:rPr>
        <w:fldChar w:fldCharType="end"/>
      </w:r>
      <w:r>
        <w:t>.</w:t>
      </w:r>
    </w:p>
    <w:p w14:paraId="565B597F" w14:textId="77777777" w:rsidR="003D3C2C" w:rsidRDefault="003D3C2C" w:rsidP="003D3C2C">
      <w:r w:rsidRPr="00004E11">
        <w:rPr>
          <w:color w:val="FF0000"/>
        </w:rPr>
        <w:t xml:space="preserve">*Ciarán McInerney (UoL) to lead on this </w:t>
      </w:r>
      <w:r>
        <w:rPr>
          <w:color w:val="FF0000"/>
        </w:rPr>
        <w:t>subsection</w:t>
      </w:r>
      <w:r w:rsidRPr="00004E11">
        <w:rPr>
          <w:color w:val="FF0000"/>
        </w:rPr>
        <w:t>*</w:t>
      </w:r>
    </w:p>
    <w:p w14:paraId="098534BB" w14:textId="77777777" w:rsidR="003D3C2C" w:rsidRDefault="003D3C2C" w:rsidP="003D3C2C"/>
    <w:p w14:paraId="5644AA5F" w14:textId="6EC89B7E" w:rsidR="003D3C2C" w:rsidRDefault="00317D7E" w:rsidP="00317D7E">
      <w:pPr>
        <w:pStyle w:val="Heading2"/>
      </w:pPr>
      <w:r>
        <w:t>*</w:t>
      </w:r>
      <w:r w:rsidR="003D3C2C">
        <w:t>Transient relevance of statistical models</w:t>
      </w:r>
    </w:p>
    <w:p w14:paraId="2348E072" w14:textId="77777777" w:rsidR="003D3C2C" w:rsidRDefault="003D3C2C" w:rsidP="003D3C2C">
      <w:pPr>
        <w:rPr>
          <w:color w:val="4472C4" w:themeColor="accent5"/>
        </w:rPr>
      </w:pPr>
      <w:r w:rsidRPr="00F700A2">
        <w:rPr>
          <w:color w:val="4472C4" w:themeColor="accent5"/>
        </w:rPr>
        <w:t xml:space="preserve">The purpose of this subsection is to highlight the problem that static, pre-learned models are out of data very quickly – immediately so, if historic data are already unrepresentative of the current state of affairs </w:t>
      </w:r>
      <w:r w:rsidRPr="00F700A2">
        <w:rPr>
          <w:color w:val="4472C4" w:themeColor="accent5"/>
        </w:rPr>
        <w:fldChar w:fldCharType="begin" w:fldLock="1"/>
      </w:r>
      <w:r w:rsidRPr="00F700A2">
        <w:rPr>
          <w:color w:val="4472C4" w:themeColor="accent5"/>
        </w:rPr>
        <w:instrText>ADDIN CSL_CITATION {"citationItems":[{"id":"ITEM-1","itemData":{"DOI":"10.1093/ejcts/ezs584","ISSN":"10107940","abstract":"Objectives: Progressive loss of calibration of the original EuroSCORE models has necessitated the introduction of the EuroSCORE II model. Poor model calibration has important implications for clinical decision-making and risk adjustment of governance analyses. The objective of this study was to explore the reasons for the calibration drift of the logistic EuroSCORE. Methods: Data from the Society for Cardiothoracic Surgery in Great Britain and Ireland database were analysed for procedures performed at all National Health Service and some private hospitals in England and Wales between April 2001 and March 2011. The primary outcome was in-hospital mortality. EuroSCORE risk factors, overall model calibration and discrimination were assessed over time. Results: A total of 317 292 procedures were included. Over the study period, mean age at surgery increased from 64.6 to 67.2 years. The proportion of procedures that were isolated coronary artery bypass grafts decreased from 67.5 to 51.2%. In-hospital mortality fell from 4.1 to 2.8%, but the mean logistic EuroSCORE increased from 5.6 to 7.6%. The logistic EuroSCORE remained a good discriminant throughout the study period (area under the receiver-operating characteristic curve between 0.79 and 0.85), but calibration (observedto-expected mortality ratio) fell from 0.76 to 0.37. Inadequate adjustment for decreasing baseline risk affected calibration considerably. Discussions: Patient risk factors and case-mix in adult cardiac surgery change dynamically over time. Models like the EuroSCORE that are developed using a 'snapshot' of data in time do not account for this and can subsequently lose calibration. It is therefore important to regularly revalidate clinical prediction models. © The Author 2012. Published by Oxford University Press on behalf of the European Association for Cardio-Thoracic Surgery. All rights reserved.","author":[{"dropping-particle":"","family":"Hickey","given":"Graeme L.","non-dropping-particle":"","parse-names":false,"suffix":""},{"dropping-particle":"","family":"Grant","given":"Stuart W.","non-dropping-particle":"","parse-names":false,"suffix":""},{"dropping-particle":"","family":"Murphy","given":"Gavin J.","non-dropping-particle":"","parse-names":false,"suffix":""},{"dropping-particle":"","family":"Bhabra","given":"Moninder","non-dropping-particle":"","parse-names":false,"suffix":""},{"dropping-particle":"","family":"Pagano","given":"Domenico","non-dropping-particle":"","parse-names":false,"suffix":""},{"dropping-particle":"","family":"McAllister","given":"Katherine","non-dropping-particle":"","parse-names":false,"suffix":""},{"dropping-particle":"","family":"Buchan","given":"Iain","non-dropping-particle":"","parse-names":false,"suffix":""},{"dropping-particle":"","family":"Bridgewater","given":"Ben","non-dropping-particle":"","parse-names":false,"suffix":""}],"container-title":"European Journal of Cardio-thoracic Surgery","id":"ITEM-1","issue":"6","issued":{"date-parts":[["2013"]]},"page":"1146-1152","title":"Dynamic trends in cardiac surgery: Why the logistic euroscore is no longer suitable for contemporary cardiac surgery and implications for future risk models","type":"article-journal","volume":"43"},"uris":["http://www.mendeley.com/documents/?uuid=d791c6e1-841d-4124-b3d2-39668bb64d54"]},{"id":"ITEM-2","itemData":{"DOI":"10.1161/CIRCOUTCOMES.111.000012","ISSN":"19417713","abstract":"Background-The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surgery","type":"article-journal","volume":"6"},"uris":["http://www.mendeley.com/documents/?uuid=d9d9cc3f-3960-4206-8469-e61e4594d41a"]},{"id":"ITEM-3","itemData":{"DOI":"10.1186/s41512-018-0045-2","ISSN":"2397-7523","abstract":"Disease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Research","id":"ITEM-3","issue":"1","issued":{"date-parts":[["2018"]]},"page":"1-9","publisher":"Diagnostic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challenges","type":"article-journal","volume":"2"},"uris":["http://www.mendeley.com/documents/?uuid=5f177760-32d1-4342-8db9-b9dd93883188"]}],"mendeley":{"formattedCitation":"(Hickey, Grant, Caiado, et al., 2013; Hickey, Grant, Murphy, et al., 2013; Jenkins et al., 2018)","plainTextFormattedCitation":"(Hickey, Grant, Caiado, et al., 2013; Hickey, Grant, Murphy, et al., 2013; Jenkins et al., 2018)","previouslyFormattedCitation":"(Hickey, Grant, Caiado, et al., 2013; Hickey, Grant, Murphy, et al., 2013; Jenkins et al., 2018)"},"properties":{"noteIndex":0},"schema":"https://github.com/citation-style-language/schema/raw/master/csl-citation.json"}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(Hickey, Grant, Caiado, et al., 2013; Hickey, Grant, Murphy, et al., 2013; Jenkins et al., 2018)</w:t>
      </w:r>
      <w:r w:rsidRPr="00F700A2">
        <w:rPr>
          <w:color w:val="4472C4" w:themeColor="accent5"/>
        </w:rPr>
        <w:fldChar w:fldCharType="end"/>
      </w:r>
    </w:p>
    <w:p w14:paraId="3DD73867" w14:textId="59E9574A" w:rsidR="003D3C2C" w:rsidRPr="00F700A2" w:rsidRDefault="003D3C2C" w:rsidP="003D3C2C">
      <w:pPr>
        <w:rPr>
          <w:color w:val="4472C4" w:themeColor="accent5"/>
        </w:rPr>
      </w:pPr>
      <w:r w:rsidRPr="00004E11">
        <w:rPr>
          <w:color w:val="FF0000"/>
        </w:rPr>
        <w:t xml:space="preserve">*Ciarán McInerney (UoL) to lead on this </w:t>
      </w:r>
      <w:r>
        <w:rPr>
          <w:color w:val="FF0000"/>
        </w:rPr>
        <w:t>subsection</w:t>
      </w:r>
      <w:r w:rsidR="006A63CC">
        <w:rPr>
          <w:color w:val="FF0000"/>
        </w:rPr>
        <w:t xml:space="preserve"> with David Jenkins (UoM)</w:t>
      </w:r>
      <w:r w:rsidRPr="00004E11">
        <w:rPr>
          <w:color w:val="FF0000"/>
        </w:rPr>
        <w:t>*</w:t>
      </w:r>
    </w:p>
    <w:p w14:paraId="049B89BC" w14:textId="77777777" w:rsidR="003D3C2C" w:rsidRDefault="003D3C2C" w:rsidP="003D3C2C"/>
    <w:p w14:paraId="5DFF9B41" w14:textId="44F6CBF8" w:rsidR="003D3C2C" w:rsidRDefault="00317D7E" w:rsidP="00317D7E">
      <w:pPr>
        <w:pStyle w:val="Heading2"/>
      </w:pPr>
      <w:r>
        <w:t>*</w:t>
      </w:r>
      <w:r w:rsidR="003D3C2C">
        <w:t>Aging population</w:t>
      </w:r>
    </w:p>
    <w:p w14:paraId="31F40207" w14:textId="77777777" w:rsidR="003D3C2C" w:rsidRDefault="003D3C2C" w:rsidP="003D3C2C">
      <w:pPr>
        <w:rPr>
          <w:color w:val="4472C4" w:themeColor="accent5"/>
        </w:rPr>
      </w:pPr>
      <w:r w:rsidRPr="00F700A2">
        <w:rPr>
          <w:color w:val="4472C4" w:themeColor="accent5"/>
        </w:rPr>
        <w:t xml:space="preserve">The purpose of this subsection is to present the contextual challenge of an aging population and how it relates to the challenges presented so far. We will present examples of technological solutions proposed to address aging populations </w:t>
      </w:r>
      <w:r w:rsidRPr="00F700A2">
        <w:rPr>
          <w:color w:val="4472C4" w:themeColor="accent5"/>
        </w:rPr>
        <w:fldChar w:fldCharType="begin" w:fldLock="1"/>
      </w:r>
      <w:r w:rsidRPr="00F700A2">
        <w:rPr>
          <w:color w:val="4472C4" w:themeColor="accent5"/>
        </w:rPr>
        <w:instrText>ADDIN CSL_CITATION {"citationItems":[{"id":"ITEM-1","itemData":{"DOI":"10.1007/978-981-13-3693-5","ISBN":"978-981-13-3692-8","editor":[{"dropping-particle":"","family":"Neves","given":"Barbara Barbosa","non-dropping-particle":"","parse-names":false,"suffix":""},{"dropping-particle":"","family":"Vetere","given":"Frank","non-dropping-particle":"","parse-names":false,"suffix":""}],"id":"ITEM-1","issued":{"date-parts":[["2019"]]},"publisher":"Springer","title":"Aging and Digital Technology: Designing and evaluating emerging technologies for older adults","type":"book"},"uris":["http://www.mendeley.com/documents/?uuid=57efade1-eb55-4cfd-8871-2551d5bbd693"]},{"id":"ITEM-2","itemData":{"DOI":"10.1177/1471301217733649","ISSN":"17412684","abstract":"Health and social care provision needs to change in order to meet the needs of an increase in the number of people living with dementia. Environmental design, technology and assistive devices have the potential to complement care, help address some of the challenges presented by this growing need and impact on the lived experience of this vulnerable population. This systematic review was undertaken to identify the research on the use of electronic assistive technology within long-term residential care settings. A total of 3229 papers published from the inception of each of the databases up until May 2016 were retrieved from searches in four major databases. Sixty-one were identified to be included in the review. The inclusion criteria were: original peer reviewed journals; an electronic assistive technology intervention; with residents or tenants living with dementia or their family or paid caregivers; in supported living environments or residential care. The data extracted from the included studies focused on the methodology, technology, outcomes and the role of people living with dementia within the research. Overall, an extensive variety of technical interventions were found, with a broad range of methodological heterogeneity to explore their effect. Additionally, wide-spanning outcomes to support the potential of technology solutions and the challenges presented by such intervention were found.","author":[{"dropping-particle":"","family":"Daly Lynn","given":"Jean","non-dropping-particle":"","parse-names":false,"suffix":""},{"dropping-particle":"","family":"Rondón-Sulbarán","given":"Janeet","non-dropping-particle":"","parse-names":false,"suffix":""},{"dropping-particle":"","family":"Quinn","given":"Eamon","non-dropping-particle":"","parse-names":false,"suffix":""},{"dropping-particle":"","family":"Ryan","given":"Assumpta","non-dropping-particle":"","parse-names":false,"suffix":""},{"dropping-particle":"","family":"McCormack","given":"Brendan","non-dropping-particle":"","parse-names":false,"suffix":""},{"dropping-particle":"","family":"Martin","given":"Suzanne","non-dropping-particle":"","parse-names":false,"suffix":""}],"container-title":"Dementia","id":"ITEM-2","issue":"7-8","issued":{"date-parts":[["2019"]]},"page":"2371-2435","title":"A systematic review of electronic assistive technology within supporting living environments for people with dementia","type":"article-journal","volume":"18"},"uris":["http://www.mendeley.com/documents/?uuid=0ed167c5-8296-4797-8be5-01f7f75f9445"]}],"mendeley":{"formattedCitation":"(Daly Lynn et al., 2019; Neves &amp; Vetere, 2019)","plainTextFormattedCitation":"(Daly Lynn et al., 2019; Neves &amp; Vetere, 2019)","previouslyFormattedCitation":"(Daly Lynn et al., 2019; Neves &amp; Vetere, 2019)"},"properties":{"noteIndex":0},"schema":"https://github.com/citation-style-language/schema/raw/master/csl-citation.json"}</w:instrText>
      </w:r>
      <w:r w:rsidRPr="00F700A2">
        <w:rPr>
          <w:color w:val="4472C4" w:themeColor="accent5"/>
        </w:rPr>
        <w:fldChar w:fldCharType="separate"/>
      </w:r>
      <w:r w:rsidRPr="00F700A2">
        <w:rPr>
          <w:noProof/>
          <w:color w:val="4472C4" w:themeColor="accent5"/>
        </w:rPr>
        <w:t>(Daly Lynn et al., 2019; Neves &amp; Vetere, 2019)</w:t>
      </w:r>
      <w:r w:rsidRPr="00F700A2">
        <w:rPr>
          <w:color w:val="4472C4" w:themeColor="accent5"/>
        </w:rPr>
        <w:fldChar w:fldCharType="end"/>
      </w:r>
      <w:r w:rsidRPr="00F700A2">
        <w:rPr>
          <w:color w:val="4472C4" w:themeColor="accent5"/>
        </w:rPr>
        <w:t xml:space="preserve"> and </w:t>
      </w:r>
      <w:r w:rsidRPr="00D70CDB">
        <w:rPr>
          <w:color w:val="4472C4" w:themeColor="accent5"/>
        </w:rPr>
        <w:t xml:space="preserve">critically discuss motivations and consequences </w:t>
      </w:r>
      <w:r w:rsidRPr="00D70CDB">
        <w:rPr>
          <w:color w:val="4472C4" w:themeColor="accent5"/>
        </w:rPr>
        <w:fldChar w:fldCharType="begin" w:fldLock="1"/>
      </w:r>
      <w:r w:rsidRPr="00D70CDB">
        <w:rPr>
          <w:color w:val="4472C4" w:themeColor="accent5"/>
        </w:rPr>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et al., 2018)","plainTextFormattedCitation":"(Pilotto et al., 2018)","previouslyFormattedCitation":"(Pilotto et al., 2018)"},"properties":{"noteIndex":0},"schema":"https://github.com/citation-style-language/schema/raw/master/csl-citation.json"}</w:instrText>
      </w:r>
      <w:r w:rsidRPr="00D70CDB">
        <w:rPr>
          <w:color w:val="4472C4" w:themeColor="accent5"/>
        </w:rPr>
        <w:fldChar w:fldCharType="separate"/>
      </w:r>
      <w:r w:rsidRPr="00D70CDB">
        <w:rPr>
          <w:noProof/>
          <w:color w:val="4472C4" w:themeColor="accent5"/>
        </w:rPr>
        <w:t>(Pilotto et al., 2018)</w:t>
      </w:r>
      <w:r w:rsidRPr="00D70CDB">
        <w:rPr>
          <w:color w:val="4472C4" w:themeColor="accent5"/>
        </w:rPr>
        <w:fldChar w:fldCharType="end"/>
      </w:r>
      <w:r w:rsidRPr="00D70CDB">
        <w:rPr>
          <w:color w:val="4472C4" w:themeColor="accent5"/>
        </w:rPr>
        <w:t>.</w:t>
      </w:r>
    </w:p>
    <w:p w14:paraId="5C3E1A18" w14:textId="78FE9238" w:rsidR="003D3C2C" w:rsidRPr="003D3C2C" w:rsidRDefault="003D3C2C" w:rsidP="003D3C2C">
      <w:r w:rsidRPr="00004E11">
        <w:rPr>
          <w:color w:val="FF0000"/>
        </w:rPr>
        <w:t xml:space="preserve">*Ciarán McInerney (UoL) to lead on this </w:t>
      </w:r>
      <w:r>
        <w:rPr>
          <w:color w:val="FF0000"/>
        </w:rPr>
        <w:t>subsection</w:t>
      </w:r>
      <w:r w:rsidRPr="00004E11">
        <w:rPr>
          <w:color w:val="FF0000"/>
        </w:rPr>
        <w:t>*</w:t>
      </w:r>
    </w:p>
    <w:p w14:paraId="265E847F" w14:textId="77777777" w:rsidR="00EC546B" w:rsidRDefault="00EC546B" w:rsidP="00AB3439"/>
    <w:p w14:paraId="4A4AC040" w14:textId="77777777" w:rsidR="00656305" w:rsidRDefault="00656305" w:rsidP="00F700A2">
      <w:pPr>
        <w:pStyle w:val="Heading1"/>
      </w:pPr>
      <w:r>
        <w:t>Method</w:t>
      </w:r>
    </w:p>
    <w:p w14:paraId="43BAF014" w14:textId="3844DB78" w:rsidR="001F4ED1" w:rsidRPr="00F700A2" w:rsidRDefault="00726CBE" w:rsidP="005C22CE">
      <w:pPr>
        <w:rPr>
          <w:color w:val="4472C4" w:themeColor="accent5"/>
        </w:rPr>
      </w:pPr>
      <w:r w:rsidRPr="00F700A2">
        <w:rPr>
          <w:color w:val="4472C4" w:themeColor="accent5"/>
        </w:rPr>
        <w:t xml:space="preserve">The purpose of this section is to describe the process by which this publication was produced and how it fits within the structure of </w:t>
      </w:r>
      <w:r w:rsidR="005C22CE" w:rsidRPr="00F700A2">
        <w:rPr>
          <w:color w:val="4472C4" w:themeColor="accent5"/>
        </w:rPr>
        <w:t>a</w:t>
      </w:r>
      <w:r w:rsidRPr="00F700A2">
        <w:rPr>
          <w:color w:val="4472C4" w:themeColor="accent5"/>
        </w:rPr>
        <w:t xml:space="preserve"> larger </w:t>
      </w:r>
      <w:r w:rsidR="005C22CE" w:rsidRPr="00F700A2">
        <w:rPr>
          <w:color w:val="4472C4" w:themeColor="accent5"/>
        </w:rPr>
        <w:t>collaboration</w:t>
      </w:r>
      <w:r w:rsidRPr="00F700A2">
        <w:rPr>
          <w:color w:val="4472C4" w:themeColor="accent5"/>
        </w:rPr>
        <w:t xml:space="preserve"> series.</w:t>
      </w:r>
      <w:r w:rsidR="008E287D" w:rsidRPr="00F700A2">
        <w:rPr>
          <w:color w:val="4472C4" w:themeColor="accent5"/>
        </w:rPr>
        <w:t xml:space="preserve"> </w:t>
      </w:r>
    </w:p>
    <w:p w14:paraId="30BE240E" w14:textId="63FD0DED" w:rsidR="00656305" w:rsidRDefault="005C22CE" w:rsidP="00656305">
      <w:r>
        <w:t xml:space="preserve">An initial set of new and emerging </w:t>
      </w:r>
      <w:r w:rsidR="00AA6BB1">
        <w:t>health information tech</w:t>
      </w:r>
      <w:r>
        <w:t xml:space="preserve">nologies were collated by the main author following a scoping review of the academic, commercial and grey literature relating to </w:t>
      </w:r>
      <w:r w:rsidR="00AA6BB1">
        <w:t>health information tech</w:t>
      </w:r>
      <w:r>
        <w:t xml:space="preserve">nology. </w:t>
      </w:r>
      <w:r w:rsidR="006A63CC">
        <w:t>A workshop of &lt;</w:t>
      </w:r>
      <w:r w:rsidR="006A63CC">
        <w:rPr>
          <w:i/>
        </w:rPr>
        <w:t>final count of collaborators</w:t>
      </w:r>
      <w:r w:rsidR="006A63CC">
        <w:t>&gt; collaborators</w:t>
      </w:r>
      <w:r w:rsidR="006A63CC" w:rsidRPr="00AA44BF">
        <w:t xml:space="preserve"> </w:t>
      </w:r>
      <w:r w:rsidR="006A63CC">
        <w:t>was convened who represent those who develop, evaluate and</w:t>
      </w:r>
      <w:r w:rsidR="006A63CC" w:rsidRPr="00AA44BF">
        <w:t xml:space="preserve"> use</w:t>
      </w:r>
      <w:r w:rsidR="006A63CC">
        <w:t xml:space="preserve"> health information technologies and their data</w:t>
      </w:r>
      <w:r w:rsidR="006A63CC" w:rsidRPr="00AA44BF">
        <w:t xml:space="preserve"> for both research and practical purposes. </w:t>
      </w:r>
      <w:r w:rsidR="006A63CC">
        <w:t>Collaborators</w:t>
      </w:r>
      <w:r w:rsidR="006A63CC" w:rsidRPr="00AA44BF">
        <w:t xml:space="preserve"> included</w:t>
      </w:r>
      <w:r w:rsidR="006A63CC">
        <w:t xml:space="preserve"> &lt;</w:t>
      </w:r>
      <w:r w:rsidR="006A63CC">
        <w:rPr>
          <w:i/>
        </w:rPr>
        <w:t>list of roles represented by collaborators</w:t>
      </w:r>
      <w:r w:rsidR="006A63CC">
        <w:t xml:space="preserve">&gt;. The aforementioned new and emerging technologies provided the substrate for breakout discussions with the collaborators about the patient-safety challenges that might arise from use of these technologies, alone and in conjunction with other existing, new and emerging technologies. The suggested challenges were then sorted into classes of challenges for succinct presentation in this publication. </w:t>
      </w:r>
    </w:p>
    <w:p w14:paraId="35067DB6" w14:textId="2B32E2E3" w:rsidR="008E287D" w:rsidRDefault="008E287D" w:rsidP="00656305"/>
    <w:p w14:paraId="2320E89E" w14:textId="3C9D4586" w:rsidR="00AB3439" w:rsidRDefault="00E97300" w:rsidP="00F700A2">
      <w:pPr>
        <w:pStyle w:val="Heading1"/>
      </w:pPr>
      <w:r>
        <w:lastRenderedPageBreak/>
        <w:t xml:space="preserve">What </w:t>
      </w:r>
      <w:r w:rsidR="00656305">
        <w:t>might be</w:t>
      </w:r>
      <w:r>
        <w:t xml:space="preserve"> the new and emerging </w:t>
      </w:r>
      <w:r w:rsidR="00AA6BB1">
        <w:t>health information tech</w:t>
      </w:r>
      <w:r>
        <w:t>nologies?</w:t>
      </w:r>
    </w:p>
    <w:p w14:paraId="5EE695C5" w14:textId="756F643C" w:rsidR="00BE037C" w:rsidRDefault="00E619A1" w:rsidP="00865867">
      <w:pPr>
        <w:rPr>
          <w:color w:val="4472C4" w:themeColor="accent5"/>
        </w:rPr>
      </w:pPr>
      <w:r w:rsidRPr="00F700A2">
        <w:rPr>
          <w:color w:val="4472C4" w:themeColor="accent5"/>
        </w:rPr>
        <w:t xml:space="preserve">The purpose of this section is to </w:t>
      </w:r>
      <w:r w:rsidR="00004E11" w:rsidRPr="00F700A2">
        <w:rPr>
          <w:color w:val="4472C4" w:themeColor="accent5"/>
        </w:rPr>
        <w:t xml:space="preserve">briefly </w:t>
      </w:r>
      <w:r w:rsidR="00FD1560">
        <w:rPr>
          <w:color w:val="4472C4" w:themeColor="accent5"/>
        </w:rPr>
        <w:t xml:space="preserve">and generally </w:t>
      </w:r>
      <w:r w:rsidRPr="00F700A2">
        <w:rPr>
          <w:color w:val="4472C4" w:themeColor="accent5"/>
        </w:rPr>
        <w:t xml:space="preserve">describe </w:t>
      </w:r>
      <w:r w:rsidR="00004E11" w:rsidRPr="00F700A2">
        <w:rPr>
          <w:color w:val="4472C4" w:themeColor="accent5"/>
        </w:rPr>
        <w:t xml:space="preserve">characteristics of </w:t>
      </w:r>
      <w:r w:rsidRPr="00F700A2">
        <w:rPr>
          <w:color w:val="4472C4" w:themeColor="accent5"/>
        </w:rPr>
        <w:t xml:space="preserve">new and emerging </w:t>
      </w:r>
      <w:r w:rsidR="00AA6BB1" w:rsidRPr="00F700A2">
        <w:rPr>
          <w:color w:val="4472C4" w:themeColor="accent5"/>
        </w:rPr>
        <w:t>health information tech</w:t>
      </w:r>
      <w:r w:rsidRPr="00F700A2">
        <w:rPr>
          <w:color w:val="4472C4" w:themeColor="accent5"/>
        </w:rPr>
        <w:t xml:space="preserve">nologies. </w:t>
      </w:r>
    </w:p>
    <w:p w14:paraId="728E20DB" w14:textId="77777777" w:rsidR="00A20FF2" w:rsidRPr="00F700A2" w:rsidRDefault="00A20FF2" w:rsidP="00865867">
      <w:pPr>
        <w:rPr>
          <w:color w:val="4472C4" w:themeColor="accent5"/>
        </w:rPr>
      </w:pPr>
    </w:p>
    <w:p w14:paraId="5169DDF0" w14:textId="48A4B1B7" w:rsidR="00A20FF2" w:rsidRPr="00A20FF2" w:rsidRDefault="00317D7E" w:rsidP="00A20FF2">
      <w:pPr>
        <w:pStyle w:val="Heading2"/>
      </w:pPr>
      <w:r>
        <w:t>*</w:t>
      </w:r>
      <w:r w:rsidR="00A20FF2">
        <w:t>What is</w:t>
      </w:r>
      <w:r>
        <w:t xml:space="preserve"> meant by</w:t>
      </w:r>
      <w:r w:rsidR="00A20FF2">
        <w:t xml:space="preserve"> “new” and “emerging”?</w:t>
      </w:r>
    </w:p>
    <w:p w14:paraId="05993626" w14:textId="76797C59" w:rsidR="00317D7E" w:rsidRDefault="00004E11" w:rsidP="00317D7E">
      <w:r>
        <w:rPr>
          <w:color w:val="FF0000"/>
        </w:rPr>
        <w:t>*</w:t>
      </w:r>
      <w:r w:rsidR="00A20FF2">
        <w:rPr>
          <w:color w:val="FF0000"/>
        </w:rPr>
        <w:t xml:space="preserve">Introduce our framework for defining what “new” and “emerging” means. </w:t>
      </w:r>
      <w:r w:rsidR="00317D7E">
        <w:rPr>
          <w:color w:val="FF0000"/>
        </w:rPr>
        <w:t xml:space="preserve">We might choose to use </w:t>
      </w:r>
      <w:r w:rsidR="00A20FF2">
        <w:rPr>
          <w:color w:val="FF0000"/>
        </w:rPr>
        <w:t xml:space="preserve">Levitt’s </w:t>
      </w:r>
      <w:r w:rsidR="00317D7E">
        <w:rPr>
          <w:color w:val="FF0000"/>
        </w:rPr>
        <w:t xml:space="preserve">diamond and the following framework: </w:t>
      </w:r>
      <w:r w:rsidR="00317D7E" w:rsidRPr="00317D7E">
        <w:rPr>
          <w:color w:val="FF0000"/>
        </w:rPr>
        <w:t xml:space="preserve">Existing </w:t>
      </w:r>
      <w:r w:rsidR="00317D7E">
        <w:rPr>
          <w:color w:val="FF0000"/>
        </w:rPr>
        <w:t>=</w:t>
      </w:r>
      <w:r w:rsidR="00317D7E" w:rsidRPr="00317D7E">
        <w:rPr>
          <w:color w:val="FF0000"/>
        </w:rPr>
        <w:t xml:space="preserve"> Many people have used it</w:t>
      </w:r>
      <w:r w:rsidR="00317D7E">
        <w:rPr>
          <w:color w:val="FF0000"/>
        </w:rPr>
        <w:t xml:space="preserve">; Emerging = </w:t>
      </w:r>
      <w:r w:rsidR="00317D7E" w:rsidRPr="00317D7E">
        <w:rPr>
          <w:color w:val="FF0000"/>
        </w:rPr>
        <w:t>Many people haven’t used it</w:t>
      </w:r>
      <w:r w:rsidR="00317D7E">
        <w:rPr>
          <w:color w:val="FF0000"/>
        </w:rPr>
        <w:t xml:space="preserve">; </w:t>
      </w:r>
      <w:r w:rsidR="00317D7E" w:rsidRPr="00317D7E">
        <w:rPr>
          <w:color w:val="FF0000"/>
        </w:rPr>
        <w:t xml:space="preserve">New </w:t>
      </w:r>
      <w:r w:rsidR="00317D7E">
        <w:rPr>
          <w:color w:val="FF0000"/>
        </w:rPr>
        <w:t>=</w:t>
      </w:r>
      <w:r w:rsidR="00317D7E" w:rsidRPr="00317D7E">
        <w:rPr>
          <w:color w:val="FF0000"/>
        </w:rPr>
        <w:t xml:space="preserve"> no one has used this</w:t>
      </w:r>
      <w:r w:rsidR="00317D7E">
        <w:rPr>
          <w:color w:val="FF0000"/>
        </w:rPr>
        <w:t>.</w:t>
      </w:r>
    </w:p>
    <w:p w14:paraId="7DB071C0" w14:textId="48CBE701" w:rsidR="00A20FF2" w:rsidRDefault="00A20FF2" w:rsidP="00865867">
      <w:pPr>
        <w:rPr>
          <w:color w:val="FF0000"/>
        </w:rPr>
      </w:pPr>
    </w:p>
    <w:p w14:paraId="172EB656" w14:textId="726F3F62" w:rsidR="00A20FF2" w:rsidRPr="00A20FF2" w:rsidRDefault="00A20FF2" w:rsidP="00A20FF2">
      <w:pPr>
        <w:pStyle w:val="Heading2"/>
      </w:pPr>
      <w:r w:rsidRPr="00A20FF2">
        <w:t>Characteristics of new and emerging technologies</w:t>
      </w:r>
    </w:p>
    <w:p w14:paraId="3B6D25C5" w14:textId="0D0E60F6" w:rsidR="00004E11" w:rsidRDefault="00A20FF2" w:rsidP="00865867">
      <w:pPr>
        <w:rPr>
          <w:color w:val="FF0000"/>
        </w:rPr>
      </w:pPr>
      <w:r>
        <w:rPr>
          <w:color w:val="FF0000"/>
        </w:rPr>
        <w:t>*</w:t>
      </w:r>
      <w:r w:rsidR="00004E11">
        <w:rPr>
          <w:color w:val="FF0000"/>
        </w:rPr>
        <w:t xml:space="preserve">The table of 16 technologies can provide the substrate for the development of </w:t>
      </w:r>
      <w:r w:rsidR="00004E11" w:rsidRPr="001D63F3">
        <w:rPr>
          <w:color w:val="FF0000"/>
          <w:u w:val="single"/>
        </w:rPr>
        <w:t>characteristics of new and emerging H.I.T.</w:t>
      </w:r>
      <w:r w:rsidR="00004E11">
        <w:rPr>
          <w:color w:val="FF0000"/>
        </w:rPr>
        <w:t>, which will provide context for discussion of possible challenges.</w:t>
      </w:r>
    </w:p>
    <w:p w14:paraId="69B9DF2B" w14:textId="79EA3A39" w:rsidR="001D63F3" w:rsidRPr="001D63F3" w:rsidRDefault="001D63F3" w:rsidP="00865867">
      <w:pPr>
        <w:rPr>
          <w:color w:val="FF0000"/>
        </w:rPr>
      </w:pPr>
      <w:r w:rsidRPr="001D63F3">
        <w:rPr>
          <w:color w:val="FF0000"/>
        </w:rPr>
        <w:t>OJ – pace, procurement, lack of stakeholder engagement</w:t>
      </w:r>
      <w:r>
        <w:rPr>
          <w:color w:val="FF0000"/>
        </w:rPr>
        <w:t>, bleeding edge*</w:t>
      </w:r>
    </w:p>
    <w:p w14:paraId="65D46385" w14:textId="43B0B9A6" w:rsidR="00E619A1" w:rsidRPr="00E619A1" w:rsidRDefault="00E619A1" w:rsidP="00E619A1"/>
    <w:p w14:paraId="628FE09B" w14:textId="77777777" w:rsidR="00865867" w:rsidRDefault="00865867" w:rsidP="00865867"/>
    <w:p w14:paraId="44A892CB" w14:textId="1C5DB94E" w:rsidR="00E97300" w:rsidRPr="00E97300" w:rsidRDefault="00E97300" w:rsidP="00F700A2">
      <w:pPr>
        <w:pStyle w:val="Heading1"/>
      </w:pPr>
      <w:r>
        <w:t>What are the c</w:t>
      </w:r>
      <w:r w:rsidR="001F4ED1">
        <w:t xml:space="preserve">hallenges associated with the new and </w:t>
      </w:r>
      <w:r>
        <w:t xml:space="preserve">emerging </w:t>
      </w:r>
      <w:r w:rsidR="00176F47">
        <w:t xml:space="preserve">health information </w:t>
      </w:r>
      <w:r>
        <w:t>technologies</w:t>
      </w:r>
      <w:r w:rsidR="00F044CF">
        <w:t>?</w:t>
      </w:r>
    </w:p>
    <w:p w14:paraId="334E81A4" w14:textId="337DD5E8" w:rsidR="001D63F3" w:rsidRPr="00D70CDB" w:rsidRDefault="00471B5D" w:rsidP="001D63F3">
      <w:r w:rsidRPr="00F700A2">
        <w:rPr>
          <w:color w:val="4472C4" w:themeColor="accent5"/>
        </w:rPr>
        <w:t>The purpose of this section is to describe the output of the discussions within the collaborative regarding the novel challenges posed by the new and emerging technologies listed above.</w:t>
      </w:r>
      <w:r w:rsidR="006F40D7">
        <w:rPr>
          <w:color w:val="4472C4" w:themeColor="accent5"/>
        </w:rPr>
        <w:t xml:space="preserve"> We will then discuss the patient-safety implications of these challenges.</w:t>
      </w:r>
    </w:p>
    <w:p w14:paraId="1DC0B331" w14:textId="1C7CF10A" w:rsidR="00660F62" w:rsidRDefault="00660F62" w:rsidP="00660F62">
      <w:pPr>
        <w:rPr>
          <w:color w:val="FF0000"/>
        </w:rPr>
      </w:pPr>
      <w:r w:rsidRPr="00660F62">
        <w:rPr>
          <w:color w:val="FF0000"/>
        </w:rPr>
        <w:t>*Outputs from the short, initial workshop</w:t>
      </w:r>
      <w:r>
        <w:rPr>
          <w:color w:val="FF0000"/>
        </w:rPr>
        <w:t>:</w:t>
      </w:r>
    </w:p>
    <w:p w14:paraId="0037D05F" w14:textId="07C37A31" w:rsidR="00660F62" w:rsidRDefault="00660F62" w:rsidP="00660F62">
      <w:pPr>
        <w:pStyle w:val="ListParagraph"/>
        <w:numPr>
          <w:ilvl w:val="0"/>
          <w:numId w:val="6"/>
        </w:numPr>
        <w:rPr>
          <w:color w:val="FF0000"/>
        </w:rPr>
      </w:pPr>
      <w:r>
        <w:rPr>
          <w:color w:val="FF0000"/>
        </w:rPr>
        <w:t>It is difficult to conceptualise safety issues for digital technology in comparison to physical technology.</w:t>
      </w:r>
    </w:p>
    <w:p w14:paraId="713350FC" w14:textId="508FD74B" w:rsidR="00DB7CE8" w:rsidRDefault="00DB7CE8" w:rsidP="00660F62">
      <w:pPr>
        <w:pStyle w:val="ListParagraph"/>
        <w:numPr>
          <w:ilvl w:val="0"/>
          <w:numId w:val="6"/>
        </w:numPr>
        <w:rPr>
          <w:color w:val="FF0000"/>
        </w:rPr>
      </w:pPr>
      <w:r>
        <w:rPr>
          <w:color w:val="FF0000"/>
        </w:rPr>
        <w:t>Solutionism: The idea that every solution has a technical fix (as opposed to cultural, social, political, emotional, etc.)</w:t>
      </w:r>
    </w:p>
    <w:p w14:paraId="39432CB1" w14:textId="70D8093A" w:rsidR="00DB7CE8" w:rsidRDefault="00DB7CE8" w:rsidP="00DB7CE8">
      <w:pPr>
        <w:pStyle w:val="ListParagraph"/>
        <w:numPr>
          <w:ilvl w:val="1"/>
          <w:numId w:val="6"/>
        </w:numPr>
        <w:rPr>
          <w:color w:val="FF0000"/>
        </w:rPr>
      </w:pPr>
      <w:r>
        <w:rPr>
          <w:color w:val="FF0000"/>
        </w:rPr>
        <w:t>Do we have any non-CompSci contacts who study social/relational dynamics?</w:t>
      </w:r>
    </w:p>
    <w:p w14:paraId="2AE6F8AC" w14:textId="223C3C20" w:rsidR="00DB7CE8" w:rsidRDefault="00DB7CE8" w:rsidP="00DB7CE8">
      <w:pPr>
        <w:pStyle w:val="ListParagraph"/>
        <w:numPr>
          <w:ilvl w:val="1"/>
          <w:numId w:val="6"/>
        </w:numPr>
        <w:rPr>
          <w:color w:val="FF0000"/>
        </w:rPr>
      </w:pPr>
      <w:r>
        <w:rPr>
          <w:color w:val="FF0000"/>
        </w:rPr>
        <w:t>Connect with Centre for Decision Research for insight into how people approach problems in healthcare.</w:t>
      </w:r>
    </w:p>
    <w:p w14:paraId="7BDB6A45" w14:textId="33E2BE4C" w:rsidR="00DB7CE8" w:rsidRDefault="00DB7CE8" w:rsidP="00DB7CE8">
      <w:pPr>
        <w:pStyle w:val="ListParagraph"/>
        <w:numPr>
          <w:ilvl w:val="1"/>
          <w:numId w:val="6"/>
        </w:numPr>
        <w:rPr>
          <w:color w:val="FF0000"/>
        </w:rPr>
      </w:pPr>
      <w:r>
        <w:rPr>
          <w:color w:val="FF0000"/>
        </w:rPr>
        <w:t>Connect with Rebecca Lawton about the psychology of Patient Safety, given who she is and given she is module leader on a module called “Psychology of Patient Safety”.</w:t>
      </w:r>
    </w:p>
    <w:p w14:paraId="44506C2F" w14:textId="6E6A86D5" w:rsidR="00660F62" w:rsidRDefault="00DB7CE8" w:rsidP="00660F62">
      <w:pPr>
        <w:pStyle w:val="ListParagraph"/>
        <w:numPr>
          <w:ilvl w:val="0"/>
          <w:numId w:val="6"/>
        </w:numPr>
        <w:rPr>
          <w:color w:val="FF0000"/>
        </w:rPr>
      </w:pPr>
      <w:r>
        <w:rPr>
          <w:color w:val="FF0000"/>
        </w:rPr>
        <w:t>As it becomes easier to collect more data, how do we correctly incorporate and interpret it?</w:t>
      </w:r>
    </w:p>
    <w:p w14:paraId="251AE8E6" w14:textId="69868C4A" w:rsidR="00660F62" w:rsidRDefault="00660F62" w:rsidP="00660F62">
      <w:pPr>
        <w:pStyle w:val="ListParagraph"/>
        <w:numPr>
          <w:ilvl w:val="0"/>
          <w:numId w:val="6"/>
        </w:numPr>
        <w:rPr>
          <w:color w:val="FF0000"/>
        </w:rPr>
      </w:pPr>
      <w:r>
        <w:rPr>
          <w:color w:val="FF0000"/>
        </w:rPr>
        <w:t>How will novel challenges interact with existing challenges?</w:t>
      </w:r>
    </w:p>
    <w:p w14:paraId="69C0E153" w14:textId="1E1324F8" w:rsidR="00F700A2" w:rsidRDefault="00F700A2" w:rsidP="00F700A2">
      <w:pPr>
        <w:pStyle w:val="ListParagraph"/>
        <w:numPr>
          <w:ilvl w:val="1"/>
          <w:numId w:val="6"/>
        </w:numPr>
        <w:rPr>
          <w:color w:val="FF0000"/>
        </w:rPr>
      </w:pPr>
      <w:r>
        <w:rPr>
          <w:color w:val="FF0000"/>
        </w:rPr>
        <w:t>Digital inequality: will the characteristics of new and emerging technologies contribute to a new class of digital inequality?</w:t>
      </w:r>
    </w:p>
    <w:p w14:paraId="104C9867" w14:textId="5F7E0234" w:rsidR="00F700A2" w:rsidRDefault="00F700A2" w:rsidP="00660F62">
      <w:pPr>
        <w:pStyle w:val="ListParagraph"/>
        <w:numPr>
          <w:ilvl w:val="0"/>
          <w:numId w:val="6"/>
        </w:numPr>
        <w:rPr>
          <w:color w:val="FF0000"/>
        </w:rPr>
      </w:pPr>
      <w:r>
        <w:rPr>
          <w:color w:val="FF0000"/>
        </w:rPr>
        <w:t>Regulations are still reactive rather proactive, so the gap between what is done and its regulation will accelerate as innovation accelerates.</w:t>
      </w:r>
    </w:p>
    <w:p w14:paraId="00276301" w14:textId="1CA4A911" w:rsidR="00F700A2" w:rsidRDefault="00F700A2" w:rsidP="00F700A2">
      <w:pPr>
        <w:pStyle w:val="ListParagraph"/>
        <w:numPr>
          <w:ilvl w:val="1"/>
          <w:numId w:val="6"/>
        </w:numPr>
        <w:rPr>
          <w:color w:val="FF0000"/>
        </w:rPr>
      </w:pPr>
      <w:r>
        <w:rPr>
          <w:color w:val="FF0000"/>
        </w:rPr>
        <w:t>Connected issue about necessity for gatekeepers for ubiquitous H.I.T.</w:t>
      </w:r>
    </w:p>
    <w:p w14:paraId="468A3A81" w14:textId="2DE2BB7B" w:rsidR="00F700A2" w:rsidRPr="00F700A2" w:rsidRDefault="00F700A2" w:rsidP="00F700A2">
      <w:pPr>
        <w:pStyle w:val="ListParagraph"/>
        <w:numPr>
          <w:ilvl w:val="0"/>
          <w:numId w:val="6"/>
        </w:numPr>
        <w:rPr>
          <w:color w:val="FF0000"/>
        </w:rPr>
      </w:pPr>
      <w:r w:rsidRPr="00F700A2">
        <w:rPr>
          <w:color w:val="FF0000"/>
        </w:rPr>
        <w:lastRenderedPageBreak/>
        <w:t>Technologies still being viewed in isolation rather than as a system</w:t>
      </w:r>
      <w:r>
        <w:rPr>
          <w:color w:val="FF0000"/>
        </w:rPr>
        <w:t xml:space="preserve">. </w:t>
      </w:r>
      <w:r w:rsidRPr="00F700A2">
        <w:rPr>
          <w:color w:val="FF0000"/>
        </w:rPr>
        <w:t>This applies to both technological innovation but also safety reviews of technologies.</w:t>
      </w:r>
    </w:p>
    <w:p w14:paraId="14DF9653" w14:textId="2653D03F" w:rsidR="00F700A2" w:rsidRPr="00660F62" w:rsidRDefault="00F700A2" w:rsidP="00660F62">
      <w:pPr>
        <w:pStyle w:val="ListParagraph"/>
        <w:numPr>
          <w:ilvl w:val="0"/>
          <w:numId w:val="6"/>
        </w:numPr>
        <w:rPr>
          <w:color w:val="FF0000"/>
        </w:rPr>
      </w:pPr>
      <w:r>
        <w:rPr>
          <w:color w:val="FF0000"/>
        </w:rPr>
        <w:t xml:space="preserve">Trust: Who are we entrusting with </w:t>
      </w:r>
      <w:r>
        <w:rPr>
          <w:i/>
          <w:color w:val="FF0000"/>
        </w:rPr>
        <w:t>more</w:t>
      </w:r>
      <w:r>
        <w:rPr>
          <w:color w:val="FF0000"/>
        </w:rPr>
        <w:t xml:space="preserve"> of our data </w:t>
      </w:r>
      <w:r>
        <w:rPr>
          <w:i/>
          <w:color w:val="FF0000"/>
        </w:rPr>
        <w:t>faster</w:t>
      </w:r>
      <w:r>
        <w:rPr>
          <w:color w:val="FF0000"/>
        </w:rPr>
        <w:t xml:space="preserve"> and </w:t>
      </w:r>
      <w:r>
        <w:rPr>
          <w:i/>
          <w:color w:val="FF0000"/>
        </w:rPr>
        <w:t>more often</w:t>
      </w:r>
      <w:r>
        <w:rPr>
          <w:color w:val="FF0000"/>
        </w:rPr>
        <w:t>?</w:t>
      </w:r>
    </w:p>
    <w:p w14:paraId="7370E673" w14:textId="5CFCC34B" w:rsidR="00660F62" w:rsidRDefault="00660F62" w:rsidP="00660F62">
      <w:pPr>
        <w:rPr>
          <w:color w:val="FF0000"/>
        </w:rPr>
      </w:pPr>
      <w:r w:rsidRPr="00660F62">
        <w:rPr>
          <w:color w:val="FF0000"/>
        </w:rPr>
        <w:t>*</w:t>
      </w:r>
    </w:p>
    <w:p w14:paraId="67DCED09" w14:textId="52BEAD4F" w:rsidR="00F700A2" w:rsidRDefault="00F700A2" w:rsidP="00660F62">
      <w:pPr>
        <w:rPr>
          <w:color w:val="FF0000"/>
        </w:rPr>
      </w:pPr>
      <w:r w:rsidRPr="00F700A2">
        <w:rPr>
          <w:color w:val="FF0000"/>
        </w:rPr>
        <w:t>*I suggest a thematic map of challenges that connect them in a network graphic*</w:t>
      </w:r>
    </w:p>
    <w:p w14:paraId="780B9214" w14:textId="7E94727B" w:rsidR="00A20FF2" w:rsidRDefault="00A20FF2" w:rsidP="00660F62"/>
    <w:p w14:paraId="1FF8E64D" w14:textId="0424DAFA" w:rsidR="00A20FF2" w:rsidRPr="00660F62" w:rsidRDefault="00A20FF2" w:rsidP="00A20FF2">
      <w:pPr>
        <w:pStyle w:val="Heading2"/>
      </w:pPr>
      <w:r>
        <w:t>Patient-safety implications</w:t>
      </w:r>
    </w:p>
    <w:p w14:paraId="397CD73C" w14:textId="1DCCF559" w:rsidR="00EC546B" w:rsidRDefault="00FD1560" w:rsidP="00970743">
      <w:pPr>
        <w:rPr>
          <w:color w:val="FF0000"/>
        </w:rPr>
      </w:pPr>
      <w:r w:rsidRPr="00FD1560">
        <w:rPr>
          <w:color w:val="4472C4" w:themeColor="accent5"/>
        </w:rPr>
        <w:t>The purpose of this section is to present the patient-safety implications of the classes of patient-safety challenges outlined in the previous section.</w:t>
      </w:r>
      <w:r>
        <w:rPr>
          <w:color w:val="FF0000"/>
        </w:rPr>
        <w:t xml:space="preserve"> </w:t>
      </w:r>
    </w:p>
    <w:p w14:paraId="4180AD56" w14:textId="77777777" w:rsidR="00FD1560" w:rsidRPr="002D033C" w:rsidRDefault="00FD1560" w:rsidP="00970743">
      <w:pPr>
        <w:rPr>
          <w:color w:val="FF0000"/>
        </w:rPr>
      </w:pPr>
    </w:p>
    <w:p w14:paraId="5457B14C" w14:textId="01C5F5E6" w:rsidR="00E97300" w:rsidRPr="00F700A2" w:rsidRDefault="00EC0EB1" w:rsidP="00F700A2">
      <w:pPr>
        <w:pStyle w:val="Heading1"/>
      </w:pPr>
      <w:r>
        <w:t xml:space="preserve">Addressing </w:t>
      </w:r>
      <w:r w:rsidR="002D033C">
        <w:t xml:space="preserve">patient-safety </w:t>
      </w:r>
      <w:r>
        <w:t>challen</w:t>
      </w:r>
      <w:r w:rsidR="002D033C">
        <w:t>g</w:t>
      </w:r>
      <w:r>
        <w:t>es</w:t>
      </w:r>
    </w:p>
    <w:p w14:paraId="1CCB8F93" w14:textId="6D6893F7" w:rsidR="00B05D6C" w:rsidRPr="00F700A2" w:rsidRDefault="00B05D6C" w:rsidP="00EC0EB1">
      <w:pPr>
        <w:rPr>
          <w:color w:val="4472C4" w:themeColor="accent5"/>
        </w:rPr>
      </w:pPr>
      <w:r w:rsidRPr="00F700A2">
        <w:rPr>
          <w:color w:val="4472C4" w:themeColor="accent5"/>
        </w:rPr>
        <w:t xml:space="preserve">The purpose of this section is to present </w:t>
      </w:r>
      <w:r w:rsidR="00FD1560">
        <w:rPr>
          <w:color w:val="4472C4" w:themeColor="accent5"/>
        </w:rPr>
        <w:t xml:space="preserve">techniques, </w:t>
      </w:r>
      <w:r w:rsidR="00EC0EB1">
        <w:rPr>
          <w:color w:val="4472C4" w:themeColor="accent5"/>
        </w:rPr>
        <w:t>theories, approach</w:t>
      </w:r>
      <w:r w:rsidR="009E6042">
        <w:rPr>
          <w:color w:val="4472C4" w:themeColor="accent5"/>
        </w:rPr>
        <w:t>es</w:t>
      </w:r>
      <w:r w:rsidR="00EC0EB1">
        <w:rPr>
          <w:color w:val="4472C4" w:themeColor="accent5"/>
        </w:rPr>
        <w:t xml:space="preserve"> and frameworks that can help to address the</w:t>
      </w:r>
      <w:r w:rsidRPr="00F700A2">
        <w:rPr>
          <w:color w:val="4472C4" w:themeColor="accent5"/>
        </w:rPr>
        <w:t xml:space="preserve"> </w:t>
      </w:r>
      <w:r w:rsidR="002D033C">
        <w:rPr>
          <w:color w:val="4472C4" w:themeColor="accent5"/>
        </w:rPr>
        <w:t>patient-safety</w:t>
      </w:r>
      <w:r w:rsidRPr="00F700A2">
        <w:rPr>
          <w:color w:val="4472C4" w:themeColor="accent5"/>
        </w:rPr>
        <w:t xml:space="preserve"> challenges identified by the collaborative.</w:t>
      </w:r>
    </w:p>
    <w:p w14:paraId="448C8414" w14:textId="77777777" w:rsidR="00B05D6C" w:rsidRPr="00B05D6C" w:rsidRDefault="00B05D6C" w:rsidP="00B05D6C"/>
    <w:p w14:paraId="43399131" w14:textId="4F854331" w:rsidR="00E97300" w:rsidRDefault="00E97300" w:rsidP="00284465">
      <w:pPr>
        <w:pStyle w:val="Heading2"/>
      </w:pPr>
      <w:r>
        <w:t>Safety cases</w:t>
      </w:r>
    </w:p>
    <w:p w14:paraId="699F4F55" w14:textId="77777777" w:rsidR="00004E11" w:rsidRDefault="00004E11" w:rsidP="00004E11">
      <w:pPr>
        <w:rPr>
          <w:color w:val="FF0000"/>
        </w:rPr>
      </w:pPr>
      <w:r w:rsidRPr="00F13924">
        <w:rPr>
          <w:color w:val="FF0000"/>
        </w:rPr>
        <w:t>*</w:t>
      </w:r>
      <w:r>
        <w:rPr>
          <w:color w:val="FF0000"/>
        </w:rPr>
        <w:t>Ibrahim Habli (UoY) to lead on this section*</w:t>
      </w:r>
    </w:p>
    <w:p w14:paraId="68C76253" w14:textId="38D183FA" w:rsidR="00851E30" w:rsidRPr="00F700A2" w:rsidRDefault="00B05D6C" w:rsidP="00004E11">
      <w:pPr>
        <w:rPr>
          <w:color w:val="4472C4" w:themeColor="accent5"/>
        </w:rPr>
      </w:pPr>
      <w:r w:rsidRPr="00F700A2">
        <w:rPr>
          <w:color w:val="4472C4" w:themeColor="accent5"/>
        </w:rPr>
        <w:t xml:space="preserve">The purpose of this subsection is to present the concept of a safety case </w:t>
      </w:r>
      <w:r w:rsidR="00851E30" w:rsidRPr="00F700A2">
        <w:rPr>
          <w:color w:val="4472C4" w:themeColor="accent5"/>
        </w:rPr>
        <w:fldChar w:fldCharType="begin" w:fldLock="1"/>
      </w:r>
      <w:r w:rsidR="000B2D7E" w:rsidRPr="00F700A2">
        <w:rPr>
          <w:color w:val="4472C4" w:themeColor="accent5"/>
        </w:rPr>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IT","type":"article-journal"},"uris":["http://www.mendeley.com/documents/?uuid=59fdd809-f427-4878-92a0-70d45092df1a"]},{"id":"ITEM-3","itemData":{"DOI":"10.1109/ICSE.2015.199","ISBN":"9781479919345","ISSN":"02705257","abstract":"We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Engineering","id":"ITEM-3","issue":"2","issued":{"date-parts":[["2015"]]},"page":"587-590","publisher":"IEEE","title":"Dynamic Safety Cases for Through-Life Safety Assurance","type":"article-journal","volume":"2"},"uris":["http://www.mendeley.com/documents/?uuid=6ff2da79-68fe-4811-a2a4-486735acf399"]},{"id":"ITEM-4","itemData":{"DOI":"10.1016/j.ress.2015.03.033","ISSN":"09518320","abstract":"There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Safety","id":"ITEM-4","issued":{"date-parts":[["2015"]]},"page":"200-207","publisher":"Elsevier","title":"The development of safety cases for healthcare services: Practical experiences, opportunities and challenges","type":"article-journal","volume":"140"},"uris":["http://www.mendeley.com/documents/?uuid=e5cba41f-0989-433d-9270-ba17c483ebf6"]},{"id":"ITEM-5","itemData":{"DOI":"10.1177/1460458219852789","ISSN":"17412811","PMID":"31165661","abstract":"Health Information Technology is now widely promoted as a means for improving patient safety. The technology could also, under certain conditions, pose hazards to patient safety. However, current definitions of hazards are generic and hard to interpret, particularly for large Health Information Technology in complex socio-technical settings, that is, involving interacting clinical, organisational and technological factors. In this article, we develop a new conceptualisation for the notion of hazards and implement this conceptualisation in a tool-supported methodology called the Safety Modelling, Assurance and Reporting Toolset (SMART). Safety Modelling, Assurance and Reporting Toolset aims to support clinicians and engineers in performing hazard identification and risk analysis and producing a safety case for Health Information Technology. Through a pilot study, we used and examined Safety Modelling, Assurance and Reporting Toolset for developing a safety case for electronic prescribing in three acute hospitals. Our results demonstrate the ability of Safety Modelling, Assurance and Reporting Toolset to ensure that the safety evidence is generated based on explicit traceability between the clinical models and Health Information Technology functionality. They also highlight challenges concerning identifying hazards in a consistent way, with clear impact on patient safety in order to facilitate clinically meaningful risk analysis.","author":[{"dropping-particle":"","family":"Habli","given":"Ibrahim","non-dropping-particle":"","parse-names":false,"suffix":""},{"dropping-particle":"","family":"Jia","given":"Yan","non-dropping-particle":"","parse-names":false,"suffix":""},{"dropping-particle":"","family":"White","given":"Sean","non-dropping-particle":"","parse-names":false,"suffix":""},{"dropping-particle":"","family":"Gabriel","given":"George","non-dropping-particle":"","parse-names":false,"suffix":""},{"dropping-particle":"","family":"Lawton","given":"Tom","non-dropping-particle":"","parse-names":false,"suffix":""},{"dropping-particle":"","family":"Sujan","given":"Mark","non-dropping-particle":"","parse-names":false,"suffix":""},{"dropping-particle":"","family":"Tomsett","given":"Clive","non-dropping-particle":"","parse-names":false,"suffix":""}],"container-title":"Health Informatics Journal","id":"ITEM-5","issued":{"date-parts":[["2019"]]},"title":"Development and piloting of a software tool to facilitate proactive hazard and risk analysis of Health Information Technology","type":"article-journal","volume":"5"},"uris":["http://www.mendeley.com/documents/?uuid=8f8bc3bb-d69d-413f-9768-8580a1efb64f"]},{"id":"ITEM-6","itemData":{"DOI":"10.1177/1460458212462079","author":[{"dropping-particle":"","family":"Sujan","given":"Mark A.","non-dropping-particle":"","parse-names":false,"suffix":""},{"dropping-particle":"","family":"Koornneef","given":"Floor","non-dropping-particle":"","parse-names":false,"suffix":""},{"dropping-particle":"","family":"Chozos","given":"Nick","non-dropping-particle":"","parse-names":false,"suffix":""},{"dropping-particle":"","family":"Pozzi","given":"Simone","non-dropping-particle":"","parse-names":false,"suffix":""},{"dropping-particle":"","family":"Kelly","given":"Tim","non-dropping-particle":"","parse-names":false,"suffix":""}],"container-title":"Health Informatics Journal","id":"ITEM-6","issue":"3","issued":{"date-parts":[["2013"]]},"page":"165-182","title":"Safety cases for medical devices and health information technology: Involving health-care organisations in the assurance of safety","type":"article-journal","volume":"19"},"uris":["http://www.mendeley.com/documents/?uuid=bacc3ca6-2605-457e-947f-46e524455e18"]},{"id":"ITEM-7","itemData":{"DOI":"10.1016/j.ssci.2015.12.021","ISSN":"18791042","abstract":"Healthcare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Science","id":"ITEM-7","issued":{"date-parts":[["2016"]]},"page":"181-189","publisher":"Elsevier Ltd","title":"Should healthcare providers do safety cases? Lessons from a cross-industry review of safety case practices","type":"article-journal","volume":"84"},"uris":["http://www.mendeley.com/documents/?uuid=86855dd1-8bb0-466e-bb10-7d2b47504eca"]}],"mendeley":{"formattedCitation":"(Denney et al., 2015; Despotou et al., 2012; Flood &amp; Habli, 2011; Habli et al., 2019; Sujan et al., 2016, 2013, 2015)","plainTextFormattedCitation":"(Denney et al., 2015; Despotou et al., 2012; Flood &amp; Habli, 2011; Habli et al., 2019; Sujan et al., 2016, 2013, 2015)","previouslyFormattedCitation":"(Denney et al., 2015; Despotou et al., 2012; Flood &amp; Habli, 2011; Habli et al., 2019; Sujan et al., 2016, 2013, 2015)"},"properties":{"noteIndex":0},"schema":"https://github.com/citation-style-language/schema/raw/master/csl-citation.json"}</w:instrText>
      </w:r>
      <w:r w:rsidR="00851E30" w:rsidRPr="00F700A2">
        <w:rPr>
          <w:color w:val="4472C4" w:themeColor="accent5"/>
        </w:rPr>
        <w:fldChar w:fldCharType="separate"/>
      </w:r>
      <w:r w:rsidR="00851E30" w:rsidRPr="00F700A2">
        <w:rPr>
          <w:noProof/>
          <w:color w:val="4472C4" w:themeColor="accent5"/>
        </w:rPr>
        <w:t>(Denney et al., 2015; Despotou et al., 2012; Flood &amp; Habli, 2011; Habli et al., 2019; Sujan et al., 2016, 2013, 2015)</w:t>
      </w:r>
      <w:r w:rsidR="00851E30" w:rsidRPr="00F700A2">
        <w:rPr>
          <w:color w:val="4472C4" w:themeColor="accent5"/>
        </w:rPr>
        <w:fldChar w:fldCharType="end"/>
      </w:r>
      <w:r w:rsidRPr="00F700A2">
        <w:rPr>
          <w:color w:val="4472C4" w:themeColor="accent5"/>
        </w:rPr>
        <w:t>.</w:t>
      </w:r>
    </w:p>
    <w:p w14:paraId="4874E2A4" w14:textId="14114E15" w:rsidR="00F13924" w:rsidRPr="00F13924" w:rsidRDefault="00F13924" w:rsidP="00F044CF">
      <w:pPr>
        <w:rPr>
          <w:color w:val="FF0000"/>
        </w:rPr>
      </w:pPr>
    </w:p>
    <w:p w14:paraId="4413FA18" w14:textId="77777777" w:rsidR="00E97300" w:rsidRDefault="00E97300" w:rsidP="00E97300"/>
    <w:p w14:paraId="4D6E52CB" w14:textId="5B247389" w:rsidR="00E97300" w:rsidRDefault="00E97300" w:rsidP="00284465">
      <w:pPr>
        <w:pStyle w:val="Heading2"/>
      </w:pPr>
      <w:r>
        <w:t>Design standards / charter</w:t>
      </w:r>
    </w:p>
    <w:p w14:paraId="61AFA88D" w14:textId="65C0C277" w:rsidR="00B23B5B" w:rsidRPr="00F700A2" w:rsidRDefault="00B05D6C" w:rsidP="00B05D6C">
      <w:pPr>
        <w:rPr>
          <w:color w:val="4472C4" w:themeColor="accent5"/>
        </w:rPr>
      </w:pPr>
      <w:r w:rsidRPr="00F700A2">
        <w:rPr>
          <w:color w:val="4472C4" w:themeColor="accent5"/>
        </w:rPr>
        <w:t xml:space="preserve">The purpose of this subsection is to present efforts to develop design standards for </w:t>
      </w:r>
      <w:r w:rsidR="00AA6BB1" w:rsidRPr="00F700A2">
        <w:rPr>
          <w:color w:val="4472C4" w:themeColor="accent5"/>
        </w:rPr>
        <w:t>health information tech</w:t>
      </w:r>
      <w:r w:rsidRPr="00F700A2">
        <w:rPr>
          <w:color w:val="4472C4" w:themeColor="accent5"/>
        </w:rPr>
        <w:t>nology</w:t>
      </w:r>
      <w:r w:rsidR="00D55A92" w:rsidRPr="00F700A2">
        <w:rPr>
          <w:color w:val="4472C4" w:themeColor="accent5"/>
        </w:rPr>
        <w:t xml:space="preserve"> </w:t>
      </w:r>
      <w:r w:rsidR="00D55A92" w:rsidRPr="00F700A2">
        <w:rPr>
          <w:color w:val="4472C4" w:themeColor="accent5"/>
        </w:rPr>
        <w:fldChar w:fldCharType="begin" w:fldLock="1"/>
      </w:r>
      <w:r w:rsidR="00021296" w:rsidRPr="00F700A2">
        <w:rPr>
          <w:color w:val="4472C4" w:themeColor="accent5"/>
        </w:rPr>
        <w:instrText>ADDIN CSL_CITATION {"citationItems":[{"id":"ITEM-1","itemData":{"author":[{"dropping-particle":"","family":"Masum","given":"Hassan","non-dropping-particle":"","parse-names":false,"suffix":""},{"dropping-particle":"","family":"Lackman","given":"Rebecca","non-dropping-particle":"","parse-names":false,"suffix":""},{"dropping-particle":"","family":"Bartleson","given":"Karen","non-dropping-particle":"","parse-names":false,"suffix":""}],"container-title":"Globalization and Health","id":"ITEM-1","issue":"49","issued":{"date-parts":[["2013"]]},"title":"Developing global health technology standards: what can other industries teach us?","type":"article-journal","volume":"9"},"uris":["http://www.mendeley.com/documents/?uuid=74ac3f68-d244-4e6c-aa52-b553d073d345"]},{"id":"ITEM-2","itemData":{"DOI":"10.3233/978-1-61499-808-2-127","ISBN":"9781614998082","abstract":"Clinical Decision Support Systems (CDSS) can have positive effects on quality of care measures, yet have not gained widespread traction in healthcare. This study sought to determine and evaluate barriers and facilitators to CDSS implementation and distribution. Based on 768 systems identified in a literature review we conducted semi-structured telephone interviews with 54 system developers in 16 countries. Qualitative analysis led to the identification of 66 key factors influencing implementation. Central issues evolved around CDSS properties, quality and integration, as well as usability, user related factors, internal marketing, resource issues and collaborations with emphasis partly on topics differing from existing research. Additionally, evidence pointed to regional differences regarding implementation hurdles. Recent regulatory requirements were deemed less of a barrier to system adoption than expected, even though lacking expertise in this area was surprisingly common among interview partners","author":[{"dropping-particle":"","family":"Kux","given":"Benjamin R","non-dropping-particle":"","parse-names":false,"suffix":""},{"dropping-particle":"","family":"Majeed","given":"Raphael W","non-dropping-particle":"","parse-names":false,"suffix":""}],"container-title":"Studies in Health Technology and Informatics","id":"ITEM-2","issued":{"date-parts":[["2017"]]},"page":"127-131","title":"Factors Influencing the Implementation and Distribution of Clinical Decision Support Systems (CDSS)","type":"article-journal","volume":"243"},"uris":["http://www.mendeley.com/documents/?uuid=6780e238-4860-4a1e-b551-50982e2578f3"]},{"id":"ITEM-3","itemData":{"DOI":"10.1136/bmjqs-2019-009484","author":[{"dropping-particle":"","family":"Macrae","given":"Carl","non-dropping-particle":"","parse-names":false,"suffix":""}],"container-title":"BMJ Qual Saf","id":"ITEM-3","issued":{"date-parts":[["2019"]]},"page":"495-498","title":"Governing the safety of artificial intelligence in healthcare","type":"article-journal","volume":"28"},"uris":["http://www.mendeley.com/documents/?uuid=03f4e3b8-d271-4aac-a72b-48f8782bb709"]}],"mendeley":{"formattedCitation":"(Kux &amp; Majeed, 2017; Macrae, 2019; Masum et al., 2013)","plainTextFormattedCitation":"(Kux &amp; Majeed, 2017; Macrae, 2019; Masum et al., 2013)","previouslyFormattedCitation":"(Kux &amp; Majeed, 2017; Macrae, 2019; Masum et al., 2013)"},"properties":{"noteIndex":0},"schema":"https://github.com/citation-style-language/schema/raw/master/csl-citation.json"}</w:instrText>
      </w:r>
      <w:r w:rsidR="00D55A92" w:rsidRPr="00F700A2">
        <w:rPr>
          <w:color w:val="4472C4" w:themeColor="accent5"/>
        </w:rPr>
        <w:fldChar w:fldCharType="separate"/>
      </w:r>
      <w:r w:rsidR="00021296" w:rsidRPr="00F700A2">
        <w:rPr>
          <w:noProof/>
          <w:color w:val="4472C4" w:themeColor="accent5"/>
        </w:rPr>
        <w:t>(Kux &amp; Majeed, 2017; Macrae, 2019; Masum et al., 2013)</w:t>
      </w:r>
      <w:r w:rsidR="00D55A92" w:rsidRPr="00F700A2">
        <w:rPr>
          <w:color w:val="4472C4" w:themeColor="accent5"/>
        </w:rPr>
        <w:fldChar w:fldCharType="end"/>
      </w:r>
      <w:r w:rsidR="00021296" w:rsidRPr="00F700A2">
        <w:rPr>
          <w:color w:val="4472C4" w:themeColor="accent5"/>
        </w:rPr>
        <w:t xml:space="preserve">, e.g. </w:t>
      </w:r>
      <w:r w:rsidR="00B23B5B" w:rsidRPr="00F700A2">
        <w:rPr>
          <w:color w:val="4472C4" w:themeColor="accent5"/>
        </w:rPr>
        <w:t xml:space="preserve">learning from Business Intelligence and sociotechnical theories </w:t>
      </w:r>
      <w:r w:rsidR="00B23B5B" w:rsidRPr="00F700A2">
        <w:rPr>
          <w:color w:val="4472C4" w:themeColor="accent5"/>
        </w:rPr>
        <w:fldChar w:fldCharType="begin" w:fldLock="1"/>
      </w:r>
      <w:r w:rsidR="009D445B" w:rsidRPr="00F700A2">
        <w:rPr>
          <w:color w:val="4472C4" w:themeColor="accent5"/>
        </w:rPr>
        <w:instrText>ADDIN CSL_CITATION {"citationItems":[{"id":"ITEM-1","itemData":{"DOI":"10.1007/978-3-030-17347-0_11","ISBN":"9783030173470","author":[{"dropping-particle":"","family":"Moghimi","given":"Hoda","non-dropping-particle":"","parse-names":false,"suffix":""},{"dropping-particle":"","family":"Wickramasinghe","given":"Nilmini","non-dropping-particle":"","parse-names":false,"suffix":""},{"dropping-particle":"","family":"Adya","given":"Monica","non-dropping-particle":"","parse-names":false,"suffix":""}],"id":"ITEM-1","issued":{"date-parts":[["2020"]]},"number-of-pages":"225-257","title":"Intelligent Risk Detection in Health Care: Integrating Social and Technical Factors to Manage Health Outcomes","type":"book"},"uris":["http://www.mendeley.com/documents/?uuid=89978aac-d734-4300-9a2e-5a2f4361638a"]}],"mendeley":{"formattedCitation":"(Moghimi et al., 2020)","plainTextFormattedCitation":"(Moghimi et al., 2020)","previouslyFormattedCitation":"(Moghimi et al., 2020)"},"properties":{"noteIndex":0},"schema":"https://github.com/citation-style-language/schema/raw/master/csl-citation.json"}</w:instrText>
      </w:r>
      <w:r w:rsidR="00B23B5B" w:rsidRPr="00F700A2">
        <w:rPr>
          <w:color w:val="4472C4" w:themeColor="accent5"/>
        </w:rPr>
        <w:fldChar w:fldCharType="separate"/>
      </w:r>
      <w:r w:rsidR="003D5C61" w:rsidRPr="00F700A2">
        <w:rPr>
          <w:noProof/>
          <w:color w:val="4472C4" w:themeColor="accent5"/>
        </w:rPr>
        <w:t>(Moghimi et al., 2020)</w:t>
      </w:r>
      <w:r w:rsidR="00B23B5B" w:rsidRPr="00F700A2">
        <w:rPr>
          <w:color w:val="4472C4" w:themeColor="accent5"/>
        </w:rPr>
        <w:fldChar w:fldCharType="end"/>
      </w:r>
      <w:r w:rsidR="00021296" w:rsidRPr="00F700A2">
        <w:rPr>
          <w:color w:val="4472C4" w:themeColor="accent5"/>
        </w:rPr>
        <w:t xml:space="preserve">, </w:t>
      </w:r>
      <w:r w:rsidR="00021296" w:rsidRPr="00F700A2">
        <w:rPr>
          <w:rStyle w:val="normaltextrun"/>
          <w:rFonts w:ascii="Calibri" w:hAnsi="Calibri" w:cs="Calibri"/>
          <w:color w:val="4472C4" w:themeColor="accent5"/>
        </w:rPr>
        <w:t xml:space="preserve">Clinical Decision Support Consortia </w:t>
      </w:r>
      <w:r w:rsidR="00021296" w:rsidRPr="00F700A2">
        <w:rPr>
          <w:rStyle w:val="normaltextrun"/>
          <w:rFonts w:ascii="Calibri" w:hAnsi="Calibri" w:cs="Calibri"/>
          <w:color w:val="4472C4" w:themeColor="accent5"/>
        </w:rPr>
        <w:fldChar w:fldCharType="begin" w:fldLock="1"/>
      </w:r>
      <w:r w:rsidR="00021296" w:rsidRPr="00F700A2">
        <w:rPr>
          <w:rStyle w:val="normaltextrun"/>
          <w:rFonts w:ascii="Calibri" w:hAnsi="Calibri" w:cs="Calibri"/>
          <w:color w:val="4472C4" w:themeColor="accent5"/>
        </w:rPr>
        <w:instrText>ADDIN CSL_CITATION {"citationItems":[{"id":"ITEM-1","itemData":{"DOI":"10.1136/jamia.2009.002030","author":[{"dropping-particle":"","family":"Wright","given":"Adam","non-dropping-particle":"","parse-names":false,"suffix":""},{"dropping-particle":"","family":"Sittig","given":"Dean F.","non-dropping-particle":"","parse-names":false,"suffix":""},{"dropping-particle":"","family":"Ash","given":"Joan S.","non-dropping-particle":"","parse-names":false,"suffix":""},{"dropping-particle":"","family":"Bates","given":"David W.","non-dropping-particle":"","parse-names":false,"suffix":""},{"dropping-particle":"","family":"Feblowitz","given":"Joshua","non-dropping-particle":"","parse-names":false,"suffix":""},{"dropping-particle":"","family":"Fraser","given":"Greg","non-dropping-particle":"","parse-names":false,"suffix":""},{"dropping-particle":"","family":"Maviglia","given":"Saverio M","non-dropping-particle":"","parse-names":false,"suffix":""},{"dropping-particle":"","family":"Mcmullen","given":"Carmit","non-dropping-particle":"","parse-names":false,"suffix":""},{"dropping-particle":"","family":"Nichol","given":"W Paul","non-dropping-particle":"","parse-names":false,"suffix":""},{"dropping-particle":"","family":"Pang","given":"Justine E","non-dropping-particle":"","parse-names":false,"suffix":""},{"dropping-particle":"","family":"Starmer","given":"Jack","non-dropping-particle":"","parse-names":false,"suffix":""},{"dropping-particle":"","family":"Middleton","given":"Blackford","non-dropping-particle":"","parse-names":false,"suffix":""}],"container-title":"J Am Med Inform Assoc 2011;18:187e194.","id":"ITEM-1","issued":{"date-parts":[["2011"]]},"page":"187-194","title":"Governance for clinical decision support: case studies and recommended practices from leading institutions","type":"article-journal","volume":"18"},"uris":["http://www.mendeley.com/documents/?uuid=71e63067-e229-4fab-b9e0-b90d2483fed1"]}],"mendeley":{"formattedCitation":"(Wright et al., 2011)","plainTextFormattedCitation":"(Wright et al., 2011)","previouslyFormattedCitation":"(Wright et al., 2011)"},"properties":{"noteIndex":0},"schema":"https://github.com/citation-style-language/schema/raw/master/csl-citation.json"}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(Wright et al., 2011)</w:t>
      </w:r>
      <w:r w:rsidR="00021296" w:rsidRPr="00F700A2">
        <w:rPr>
          <w:rStyle w:val="normaltextrun"/>
          <w:rFonts w:ascii="Calibri" w:hAnsi="Calibri" w:cs="Calibri"/>
          <w:color w:val="4472C4" w:themeColor="accent5"/>
        </w:rPr>
        <w:fldChar w:fldCharType="end"/>
      </w:r>
      <w:r w:rsidR="00021296" w:rsidRPr="00F700A2">
        <w:rPr>
          <w:rStyle w:val="normaltextrun"/>
          <w:rFonts w:ascii="Calibri" w:hAnsi="Calibri" w:cs="Calibri"/>
          <w:color w:val="4472C4" w:themeColor="accent5"/>
        </w:rPr>
        <w:t xml:space="preserve">, and preceding scale-up with a scoping review of international, national, and relevant local guidelines </w:t>
      </w:r>
      <w:r w:rsidR="00021296" w:rsidRPr="00F700A2">
        <w:rPr>
          <w:rStyle w:val="normaltextrun"/>
          <w:rFonts w:ascii="Calibri" w:hAnsi="Calibri" w:cs="Calibri"/>
          <w:color w:val="4472C4" w:themeColor="accent5"/>
        </w:rPr>
        <w:fldChar w:fldCharType="begin" w:fldLock="1"/>
      </w:r>
      <w:r w:rsidR="008A0035" w:rsidRPr="00F700A2">
        <w:rPr>
          <w:rStyle w:val="normaltextrun"/>
          <w:rFonts w:ascii="Calibri" w:hAnsi="Calibri" w:cs="Calibri"/>
          <w:color w:val="4472C4" w:themeColor="accent5"/>
        </w:rPr>
        <w:instrText>ADDIN CSL_CITATION {"citationItems":[{"id":"ITEM-1","itemData":{"DOI":"10.2196/10813","author":[{"dropping-particle":"","family":"Furlong","given":"Eileen","non-dropping-particle":"","parse-names":false,"suffix":""},{"dropping-particle":"","family":"Darley","given":"Andrew","non-dropping-particle":"","parse-names":false,"suffix":""},{"dropping-particle":"","family":"Fox","given":"Patricia","non-dropping-particle":"","parse-names":false,"suffix":""},{"dropping-particle":"","family":"et al.","given":"","non-dropping-particle":"","parse-names":false,"suffix":""}],"container-title":"JMIR Cancer","id":"ITEM-1","issue":"1","issued":{"date-parts":[["2019"]]},"page":"e10813","title":"Adaptation and Implementation of a Mobile Phone–Based Remote Symptom Monitoring System for People With Cancer in Europe","type":"article-journal","volume":"5"},"uris":["http://www.mendeley.com/documents/?uuid=5598cec4-aff0-4f55-b22e-94c4a48a0d2d"]}],"mendeley":{"formattedCitation":"(Furlong et al., 2019)","plainTextFormattedCitation":"(Furlong et al., 2019)","previouslyFormattedCitation":"(Furlong et al., 2019)"},"properties":{"noteIndex":0},"schema":"https://github.com/citation-style-language/schema/raw/master/csl-citation.json"}</w:instrText>
      </w:r>
      <w:r w:rsidR="00021296" w:rsidRPr="00F700A2">
        <w:rPr>
          <w:rStyle w:val="normaltextrun"/>
          <w:rFonts w:ascii="Calibri" w:hAnsi="Calibri" w:cs="Calibri"/>
          <w:color w:val="4472C4" w:themeColor="accent5"/>
        </w:rPr>
        <w:fldChar w:fldCharType="separate"/>
      </w:r>
      <w:r w:rsidR="00021296" w:rsidRPr="00F700A2">
        <w:rPr>
          <w:rStyle w:val="normaltextrun"/>
          <w:rFonts w:ascii="Calibri" w:hAnsi="Calibri" w:cs="Calibri"/>
          <w:noProof/>
          <w:color w:val="4472C4" w:themeColor="accent5"/>
        </w:rPr>
        <w:t>(Furlong et al., 2019)</w:t>
      </w:r>
      <w:r w:rsidR="00021296" w:rsidRPr="00F700A2">
        <w:rPr>
          <w:rStyle w:val="normaltextrun"/>
          <w:rFonts w:ascii="Calibri" w:hAnsi="Calibri" w:cs="Calibri"/>
          <w:color w:val="4472C4" w:themeColor="accent5"/>
        </w:rPr>
        <w:fldChar w:fldCharType="end"/>
      </w:r>
      <w:r w:rsidRPr="00F700A2">
        <w:rPr>
          <w:color w:val="4472C4" w:themeColor="accent5"/>
        </w:rPr>
        <w:t>.</w:t>
      </w:r>
    </w:p>
    <w:p w14:paraId="2AE2199E" w14:textId="77777777" w:rsidR="00D55A92" w:rsidRDefault="00D55A92" w:rsidP="00E97300"/>
    <w:p w14:paraId="3EFD878F" w14:textId="79B25F40" w:rsidR="00D43272" w:rsidRDefault="00D43272" w:rsidP="00284465">
      <w:pPr>
        <w:pStyle w:val="Heading2"/>
      </w:pPr>
      <w:r>
        <w:t>Interoperability</w:t>
      </w:r>
      <w:r w:rsidR="003C1579">
        <w:t xml:space="preserve"> solutions</w:t>
      </w:r>
    </w:p>
    <w:p w14:paraId="65E617F1" w14:textId="43DE650E" w:rsidR="00E97300" w:rsidRDefault="00B05D6C" w:rsidP="00B05D6C">
      <w:r w:rsidRPr="00F700A2">
        <w:rPr>
          <w:color w:val="4472C4" w:themeColor="accent5"/>
        </w:rPr>
        <w:t xml:space="preserve">The purpose of this subsection is to present efforts made to improve the interoperability of </w:t>
      </w:r>
      <w:r w:rsidR="00AA6BB1" w:rsidRPr="00F700A2">
        <w:rPr>
          <w:color w:val="4472C4" w:themeColor="accent5"/>
        </w:rPr>
        <w:t>health information tech</w:t>
      </w:r>
      <w:r w:rsidRPr="00F700A2">
        <w:rPr>
          <w:color w:val="4472C4" w:themeColor="accent5"/>
        </w:rPr>
        <w:t>nologies and health information technology systems.</w:t>
      </w:r>
    </w:p>
    <w:p w14:paraId="76DAAF92" w14:textId="425A35F2" w:rsidR="00745D0A" w:rsidRDefault="00745D0A" w:rsidP="00E97300"/>
    <w:p w14:paraId="1ABCE160" w14:textId="3D052651" w:rsidR="00810D0C" w:rsidRDefault="00810D0C" w:rsidP="00810D0C">
      <w:pPr>
        <w:pStyle w:val="Heading2"/>
      </w:pPr>
      <w:r>
        <w:t>Dynamic and causal modelling</w:t>
      </w:r>
    </w:p>
    <w:p w14:paraId="4072C906" w14:textId="77777777" w:rsidR="00004E11" w:rsidRDefault="00004E11" w:rsidP="00004E11">
      <w:r w:rsidRPr="00004E11">
        <w:rPr>
          <w:color w:val="FF0000"/>
        </w:rPr>
        <w:t>*David Jenkins (UoM) to lead on this section*</w:t>
      </w:r>
    </w:p>
    <w:p w14:paraId="4D6CEE62" w14:textId="10030CEC" w:rsidR="00810D0C" w:rsidRPr="00F700A2" w:rsidRDefault="00004E11" w:rsidP="00004E11">
      <w:pPr>
        <w:rPr>
          <w:color w:val="4472C4" w:themeColor="accent5"/>
        </w:rPr>
      </w:pPr>
      <w:r w:rsidRPr="00F700A2">
        <w:rPr>
          <w:color w:val="4472C4" w:themeColor="accent5"/>
        </w:rPr>
        <w:t xml:space="preserve"> </w:t>
      </w:r>
      <w:r w:rsidR="00810D0C" w:rsidRPr="00F700A2">
        <w:rPr>
          <w:color w:val="4472C4" w:themeColor="accent5"/>
        </w:rPr>
        <w:t>The purpose of this section is to summarise progress made to tackle the problem of transient relevance of statistical models, making special reference to dynamic and causal modelling solutions</w:t>
      </w:r>
      <w:r w:rsidR="008A0035" w:rsidRPr="00F700A2">
        <w:rPr>
          <w:color w:val="4472C4" w:themeColor="accent5"/>
        </w:rPr>
        <w:t xml:space="preserve"> </w:t>
      </w:r>
      <w:r w:rsidR="008A0035" w:rsidRPr="00F700A2">
        <w:rPr>
          <w:color w:val="4472C4" w:themeColor="accent5"/>
        </w:rPr>
        <w:fldChar w:fldCharType="begin" w:fldLock="1"/>
      </w:r>
      <w:r w:rsidR="001F4ED1" w:rsidRPr="00F700A2">
        <w:rPr>
          <w:color w:val="4472C4" w:themeColor="accent5"/>
        </w:rPr>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models","type":"article-journal","volume":"27"},"uris":["http://www.mendeley.com/documents/?uuid=db90f3dc-1d9f-4198-897b-19a67160790e"]},{"id":"ITEM-2","itemData":{"DOI":"10.1161/CIRCOUTCOMES.111.000012","ISSN":"19417713","abstract":"Background-The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Outcomes","id":"ITEM-2","issue":"6","issued":{"date-parts":[["2013"]]},"page":"649-658","title":"Dynamic prediction modeling approaches for cardiac surgery","type":"article-journal","volume":"6"},"uris":["http://www.mendeley.com/documents/?uuid=7f1fdbc7-b623-4c0d-b3b3-a8272776b389"]},{"id":"ITEM-3","itemData":{"DOI":"10.1002/sim.6860.A","ISBN":"0277-6715","abstract":"Dynamic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Medicine","id":"ITEM-3","issue":"13","issued":{"date-parts":[["2016"]]},"page":"2167-2182","title":"A two-stage approach for dynamic prediction of time-to-event distributions","type":"article-journal","volume":"35"},"uris":["http://www.mendeley.com/documents/?uuid=73cc8330-affc-4ba1-a55d-1c39c2d46f75"]},{"id":"ITEM-4","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Association","id":"ITEM-4","issue":"12","issued":{"date-parts":[["2019"]]},"page":"1675-1676","title":"Explicit causal reasoning is needed to prevent prognostic models being victims of their own success","type":"article-journal","volume":"26"},"uris":["http://www.mendeley.com/documents/?uuid=89ca11e4-e838-4fa8-bfc4-b1493b7f3253"]},{"id":"ITEM-5","itemData":{"DOI":"10.1002/sim.7913","ISSN":"10970258","abstract":"Clinical prediction models (CPMs) can inform decision making about treatment initiation, which requires predicted risks assuming no treatment is given. However, this is challenging since CPMs are usually derived using data sets where patients received treatment, often initiated postbaseline as “treatment drop-ins.” This study proposes the use of marginal structural models (MSMs) to adjust for treatment drop-in. We illustrate the use of MSMs in the CPM framework through simulation studies that represent randomized controlled trials and real-world observational data and the example of statin initiation for cardiovascular disease prevention. The simulations include a binary treatment and a covariate, each recorded at two timepoints and having a prognostic effect on a binary outcome. The bias in predicted risk was examined in a model ignoring treatment, a model fitted on treatment-naïve patients (at baseline), a model including baseline treatment, and the MSM. In all simulation scenarios, all models except the MSM underestimated the risk of outcome given absence of treatment. These results were supported in the statin initiation example, which showed that ignoring statin initiation postbaseline resulted in models that significantly underestimated the risk of a cardiovascular disease event occurring within 10 years. Consequently, CPMs that do not acknowledge treatment drop-in can lead to underallocation of treatment. In conclusion, when developing CPMs to predict treatment-naïve risk, researchers should consider using MSMs to adjust for treatment drop-in, and also seek to exploit the ability of MSMs to allow estimation of individual treatment effects.","author":[{"dropping-particle":"","family":"Sperrin","given":"Matthew","non-dropping-particle":"","parse-names":false,"suffix":""},{"dropping-particle":"","family":"Martin","given":"Glen P.","non-dropping-particle":"","parse-names":false,"suffix":""},{"dropping-particle":"","family":"Pate","given":"Alexander","non-dropping-particle":"","parse-names":false,"suffix":""},{"dropping-particle":"","family":"Staa","given":"Tjeerd","non-dropping-particle":"Van","parse-names":false,"suffix":""},{"dropping-particle":"","family":"Peek","given":"Niels","non-dropping-particle":"","parse-names":false,"suffix":""},{"dropping-particle":"","family":"Buchan","given":"Iain","non-dropping-particle":"","parse-names":false,"suffix":""}],"container-title":"Statistics in Medicine","id":"ITEM-5","issue":"28","issued":{"date-parts":[["2018"]]},"page":"4142-4154","title":"Using marginal structural models to adjust for treatment drop-in when developing clinical prediction models","type":"article-journal","volume":"37"},"uris":["http://www.mendeley.com/documents/?uuid=52450dd0-0f99-41ee-adf8-7dc242cab719"]}],"mendeley":{"formattedCitation":"(Hickey, Grant, Caiado, et al., 2013; Huang et al., 2016; Sperrin et al., 2019, 2018; Su et al., 2018)","plainTextFormattedCitation":"(Hickey, Grant, Caiado, et al., 2013; Huang et al., 2016; Sperrin et al., 2019, 2018; Su et al., 2018)","previouslyFormattedCitation":"(Hickey, Grant, Caiado, et al., 2013; Huang et al., 2016; Sperrin et al., 2019, 2018; Su et al., 2018)"},"properties":{"noteIndex":0},"schema":"https://github.com/citation-style-language/schema/raw/master/csl-citation.json"}</w:instrText>
      </w:r>
      <w:r w:rsidR="008A0035" w:rsidRPr="00F700A2">
        <w:rPr>
          <w:color w:val="4472C4" w:themeColor="accent5"/>
        </w:rPr>
        <w:fldChar w:fldCharType="separate"/>
      </w:r>
      <w:r w:rsidR="00440844" w:rsidRPr="00F700A2">
        <w:rPr>
          <w:noProof/>
          <w:color w:val="4472C4" w:themeColor="accent5"/>
        </w:rPr>
        <w:t>(Hickey, Grant, Caiado, et al., 2013; Huang et al., 2016; Sperrin et al., 2019, 2018; Su et al., 2018)</w:t>
      </w:r>
      <w:r w:rsidR="008A0035" w:rsidRPr="00F700A2">
        <w:rPr>
          <w:color w:val="4472C4" w:themeColor="accent5"/>
        </w:rPr>
        <w:fldChar w:fldCharType="end"/>
      </w:r>
      <w:r w:rsidR="00810D0C" w:rsidRPr="00F700A2">
        <w:rPr>
          <w:color w:val="4472C4" w:themeColor="accent5"/>
        </w:rPr>
        <w:t>.</w:t>
      </w:r>
    </w:p>
    <w:p w14:paraId="6013784C" w14:textId="77777777" w:rsidR="00004E11" w:rsidRPr="00810D0C" w:rsidRDefault="00004E11" w:rsidP="00004E11"/>
    <w:p w14:paraId="3E8E62A2" w14:textId="1AD0E97B" w:rsidR="00745D0A" w:rsidRDefault="00745D0A" w:rsidP="00745D0A">
      <w:pPr>
        <w:pStyle w:val="Heading2"/>
      </w:pPr>
      <w:r>
        <w:t>M</w:t>
      </w:r>
      <w:r w:rsidR="003C1579">
        <w:t xml:space="preserve">achine </w:t>
      </w:r>
      <w:r>
        <w:t>L</w:t>
      </w:r>
      <w:r w:rsidR="003C1579">
        <w:t>earning</w:t>
      </w:r>
      <w:r>
        <w:t xml:space="preserve"> for data quality</w:t>
      </w:r>
    </w:p>
    <w:p w14:paraId="776ABE95" w14:textId="0EE63B86" w:rsidR="00745D0A" w:rsidRPr="00F700A2" w:rsidRDefault="00B05D6C" w:rsidP="00B05D6C">
      <w:pPr>
        <w:rPr>
          <w:color w:val="4472C4" w:themeColor="accent5"/>
        </w:rPr>
      </w:pPr>
      <w:r w:rsidRPr="00F700A2">
        <w:rPr>
          <w:color w:val="4472C4" w:themeColor="accent5"/>
        </w:rPr>
        <w:t xml:space="preserve">The purpose of this subsection is to discuss the potential for machine-learning methods to help ensure data quality, with special reference to work by </w:t>
      </w:r>
      <w:r w:rsidR="002F4F7F" w:rsidRPr="00F700A2">
        <w:rPr>
          <w:color w:val="4472C4" w:themeColor="accent5"/>
        </w:rPr>
        <w:fldChar w:fldCharType="begin" w:fldLock="1"/>
      </w:r>
      <w:r w:rsidR="005D5021" w:rsidRPr="00F700A2">
        <w:rPr>
          <w:color w:val="4472C4" w:themeColor="accent5"/>
        </w:rPr>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et al., 2020)","manualFormatting":"Sako et al. (2020)","plainTextFormattedCitation":"(Sako et al., 2020)","previouslyFormattedCitation":"(Sako et al., 2020)"},"properties":{"noteIndex":0},"schema":"https://github.com/citation-style-language/schema/raw/master/csl-citation.json"}</w:instrText>
      </w:r>
      <w:r w:rsidR="002F4F7F" w:rsidRPr="00F700A2">
        <w:rPr>
          <w:color w:val="4472C4" w:themeColor="accent5"/>
        </w:rPr>
        <w:fldChar w:fldCharType="separate"/>
      </w:r>
      <w:r w:rsidR="00B23B5B" w:rsidRPr="00F700A2">
        <w:rPr>
          <w:noProof/>
          <w:color w:val="4472C4" w:themeColor="accent5"/>
        </w:rPr>
        <w:t xml:space="preserve">Sako et al. </w:t>
      </w:r>
      <w:r w:rsidRPr="00F700A2">
        <w:rPr>
          <w:noProof/>
          <w:color w:val="4472C4" w:themeColor="accent5"/>
        </w:rPr>
        <w:t>(</w:t>
      </w:r>
      <w:r w:rsidR="00B23B5B" w:rsidRPr="00F700A2">
        <w:rPr>
          <w:noProof/>
          <w:color w:val="4472C4" w:themeColor="accent5"/>
        </w:rPr>
        <w:t>2020)</w:t>
      </w:r>
      <w:r w:rsidR="002F4F7F" w:rsidRPr="00F700A2">
        <w:rPr>
          <w:color w:val="4472C4" w:themeColor="accent5"/>
        </w:rPr>
        <w:fldChar w:fldCharType="end"/>
      </w:r>
      <w:r w:rsidRPr="00F700A2">
        <w:rPr>
          <w:color w:val="4472C4" w:themeColor="accent5"/>
        </w:rPr>
        <w:t>.</w:t>
      </w:r>
    </w:p>
    <w:p w14:paraId="31864611" w14:textId="77777777" w:rsidR="00004E11" w:rsidRDefault="00004E11" w:rsidP="00B05D6C"/>
    <w:p w14:paraId="175414E6" w14:textId="25893E99" w:rsidR="00004E11" w:rsidRDefault="00004E11" w:rsidP="00004E11">
      <w:pPr>
        <w:pStyle w:val="Heading2"/>
      </w:pPr>
      <w:r>
        <w:t>Human Factors</w:t>
      </w:r>
    </w:p>
    <w:p w14:paraId="1D333D50" w14:textId="45D7AEA4" w:rsidR="00004E11" w:rsidRDefault="00004E11" w:rsidP="00004E11">
      <w:pPr>
        <w:rPr>
          <w:color w:val="FF0000"/>
        </w:rPr>
      </w:pPr>
      <w:r w:rsidRPr="00004E11">
        <w:rPr>
          <w:color w:val="FF0000"/>
        </w:rPr>
        <w:t>*Jon Benn (UoL) to lead on this section*</w:t>
      </w:r>
    </w:p>
    <w:p w14:paraId="7E539A46" w14:textId="74AD8C9C" w:rsidR="00F700A2" w:rsidRDefault="00F700A2" w:rsidP="00004E11">
      <w:pPr>
        <w:rPr>
          <w:color w:val="4472C4" w:themeColor="accent5"/>
        </w:rPr>
      </w:pPr>
      <w:r>
        <w:rPr>
          <w:color w:val="4472C4" w:themeColor="accent5"/>
        </w:rPr>
        <w:t xml:space="preserve">The purpose of this section will be to describe </w:t>
      </w:r>
      <w:r w:rsidR="00D70CDB">
        <w:rPr>
          <w:color w:val="4472C4" w:themeColor="accent5"/>
        </w:rPr>
        <w:t xml:space="preserve">the benefits of </w:t>
      </w:r>
      <w:r>
        <w:rPr>
          <w:color w:val="4472C4" w:themeColor="accent5"/>
        </w:rPr>
        <w:t>a Human-Factors appr</w:t>
      </w:r>
      <w:r w:rsidR="00D70CDB">
        <w:rPr>
          <w:color w:val="4472C4" w:themeColor="accent5"/>
        </w:rPr>
        <w:t>oach to innovation of health</w:t>
      </w:r>
      <w:r>
        <w:rPr>
          <w:color w:val="4472C4" w:themeColor="accent5"/>
        </w:rPr>
        <w:t xml:space="preserve"> </w:t>
      </w:r>
      <w:r w:rsidR="00D70CDB">
        <w:rPr>
          <w:color w:val="4472C4" w:themeColor="accent5"/>
        </w:rPr>
        <w:t>information technologies.</w:t>
      </w:r>
    </w:p>
    <w:p w14:paraId="40F830A9" w14:textId="77777777" w:rsidR="00D70CDB" w:rsidRPr="00004E11" w:rsidRDefault="00D70CDB" w:rsidP="00004E11"/>
    <w:p w14:paraId="551E633F" w14:textId="77777777" w:rsidR="00E97300" w:rsidRDefault="00E97300" w:rsidP="00E97300"/>
    <w:p w14:paraId="09D25151" w14:textId="77777777" w:rsidR="00E97300" w:rsidRDefault="00E97300" w:rsidP="00E97300"/>
    <w:p w14:paraId="64863357" w14:textId="106AFCB8" w:rsidR="006D4CAF" w:rsidRDefault="006D4CAF" w:rsidP="00F700A2">
      <w:pPr>
        <w:pStyle w:val="Heading1"/>
      </w:pPr>
      <w:r>
        <w:t>Discussion</w:t>
      </w:r>
    </w:p>
    <w:p w14:paraId="2DDFC05A" w14:textId="4EE2C8F3" w:rsidR="00865867" w:rsidRPr="00F700A2" w:rsidRDefault="009B3EEC" w:rsidP="009B3EEC">
      <w:pPr>
        <w:rPr>
          <w:color w:val="4472C4" w:themeColor="accent5"/>
        </w:rPr>
      </w:pPr>
      <w:r w:rsidRPr="00F700A2">
        <w:rPr>
          <w:color w:val="4472C4" w:themeColor="accent5"/>
        </w:rPr>
        <w:t>The purpose of this section is to collate additional arguments raised by the collaborative that have not already been addressed in the previous sections. For example, we might choose to discuss how events like the COVID-19 pandemic might drive some technologies ahead and the consequences of such unexpected occurrences, e.g. atypical growth in r</w:t>
      </w:r>
      <w:r w:rsidR="00865867" w:rsidRPr="00F700A2">
        <w:rPr>
          <w:color w:val="4472C4" w:themeColor="accent5"/>
        </w:rPr>
        <w:t>emote monitoring</w:t>
      </w:r>
      <w:r w:rsidRPr="00F700A2">
        <w:rPr>
          <w:color w:val="4472C4" w:themeColor="accent5"/>
        </w:rPr>
        <w:t>, r</w:t>
      </w:r>
      <w:r w:rsidR="00865867" w:rsidRPr="00F700A2">
        <w:rPr>
          <w:color w:val="4472C4" w:themeColor="accent5"/>
        </w:rPr>
        <w:t>emote testing</w:t>
      </w:r>
      <w:r w:rsidRPr="00F700A2">
        <w:rPr>
          <w:color w:val="4472C4" w:themeColor="accent5"/>
        </w:rPr>
        <w:t>, r</w:t>
      </w:r>
      <w:r w:rsidR="00865867" w:rsidRPr="00F700A2">
        <w:rPr>
          <w:color w:val="4472C4" w:themeColor="accent5"/>
        </w:rPr>
        <w:t>emote imaging</w:t>
      </w:r>
      <w:r w:rsidRPr="00F700A2">
        <w:rPr>
          <w:color w:val="4472C4" w:themeColor="accent5"/>
        </w:rPr>
        <w:t>, r</w:t>
      </w:r>
      <w:r w:rsidR="00865867" w:rsidRPr="00F700A2">
        <w:rPr>
          <w:color w:val="4472C4" w:themeColor="accent5"/>
        </w:rPr>
        <w:t>obotic care</w:t>
      </w:r>
      <w:r w:rsidRPr="00F700A2">
        <w:rPr>
          <w:color w:val="4472C4" w:themeColor="accent5"/>
        </w:rPr>
        <w:t>, and p</w:t>
      </w:r>
      <w:r w:rsidR="00865867" w:rsidRPr="00F700A2">
        <w:rPr>
          <w:color w:val="4472C4" w:themeColor="accent5"/>
        </w:rPr>
        <w:t>ersonal preventive medicine</w:t>
      </w:r>
      <w:r w:rsidRPr="00F700A2">
        <w:rPr>
          <w:color w:val="4472C4" w:themeColor="accent5"/>
        </w:rPr>
        <w:t>.</w:t>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r>
        <w:t>Conclusion</w:t>
      </w:r>
    </w:p>
    <w:p w14:paraId="7E8D486A" w14:textId="7FC33CFD" w:rsidR="006D4CAF" w:rsidRPr="00F700A2" w:rsidRDefault="009B3EEC" w:rsidP="006D4CAF">
      <w:pPr>
        <w:rPr>
          <w:color w:val="4472C4" w:themeColor="accent5"/>
        </w:rPr>
      </w:pPr>
      <w:r w:rsidRPr="00F700A2">
        <w:rPr>
          <w:color w:val="4472C4" w:themeColor="accent5"/>
        </w:rPr>
        <w:t xml:space="preserve">The purposes of this section are to 1) summarise the intention of this first collaboration in the series, 2) succinctly summarise the </w:t>
      </w:r>
      <w:r w:rsidR="000C0B41">
        <w:rPr>
          <w:color w:val="4472C4" w:themeColor="accent5"/>
        </w:rPr>
        <w:t>characteristics</w:t>
      </w:r>
      <w:r w:rsidRPr="00F700A2">
        <w:rPr>
          <w:color w:val="4472C4" w:themeColor="accent5"/>
        </w:rPr>
        <w:t xml:space="preserve"> of new and emerging </w:t>
      </w:r>
      <w:r w:rsidR="00AA6BB1" w:rsidRPr="00F700A2">
        <w:rPr>
          <w:color w:val="4472C4" w:themeColor="accent5"/>
        </w:rPr>
        <w:t>health information tech</w:t>
      </w:r>
      <w:r w:rsidRPr="00F700A2">
        <w:rPr>
          <w:color w:val="4472C4" w:themeColor="accent5"/>
        </w:rPr>
        <w:t xml:space="preserve">nologies, 3) succinctly summarise the </w:t>
      </w:r>
      <w:r w:rsidR="000C0B41">
        <w:rPr>
          <w:color w:val="4472C4" w:themeColor="accent5"/>
        </w:rPr>
        <w:t>classes</w:t>
      </w:r>
      <w:r w:rsidRPr="00F700A2">
        <w:rPr>
          <w:color w:val="4472C4" w:themeColor="accent5"/>
        </w:rPr>
        <w:t xml:space="preserve"> of </w:t>
      </w:r>
      <w:r w:rsidR="000C0B41">
        <w:rPr>
          <w:color w:val="4472C4" w:themeColor="accent5"/>
        </w:rPr>
        <w:t>patient-safety</w:t>
      </w:r>
      <w:r w:rsidRPr="00F700A2">
        <w:rPr>
          <w:color w:val="4472C4" w:themeColor="accent5"/>
        </w:rPr>
        <w:t xml:space="preserve"> </w:t>
      </w:r>
      <w:r w:rsidR="000C0B41">
        <w:rPr>
          <w:color w:val="4472C4" w:themeColor="accent5"/>
        </w:rPr>
        <w:t>challenges and their safety implications</w:t>
      </w:r>
      <w:r w:rsidRPr="00F700A2">
        <w:rPr>
          <w:color w:val="4472C4" w:themeColor="accent5"/>
        </w:rPr>
        <w:t xml:space="preserve">, 4) succinctly summarise </w:t>
      </w:r>
      <w:r w:rsidR="000C0B41">
        <w:rPr>
          <w:color w:val="4472C4" w:themeColor="accent5"/>
        </w:rPr>
        <w:t>our suggested approaches to address the patient-safety challenges</w:t>
      </w:r>
      <w:r w:rsidRPr="00F700A2">
        <w:rPr>
          <w:color w:val="4472C4" w:themeColor="accent5"/>
        </w:rPr>
        <w:t xml:space="preserve">, 5) suggest the next steps required to facilitate these </w:t>
      </w:r>
      <w:r w:rsidR="000C0B41">
        <w:rPr>
          <w:color w:val="4472C4" w:themeColor="accent5"/>
        </w:rPr>
        <w:t>approaches</w:t>
      </w:r>
      <w:r w:rsidRPr="00F700A2">
        <w:rPr>
          <w:color w:val="4472C4" w:themeColor="accent5"/>
        </w:rPr>
        <w:t>, 6) foreshadow the subsequent collaboration in the series “</w:t>
      </w:r>
      <w:r w:rsidRPr="00F700A2">
        <w:rPr>
          <w:i/>
          <w:color w:val="4472C4" w:themeColor="accent5"/>
        </w:rPr>
        <w:t>The implications of contemporary safety theory (Safety-I and Safety-II) for digital innovation</w:t>
      </w:r>
      <w:r w:rsidR="00250CF3" w:rsidRPr="00F700A2">
        <w:rPr>
          <w:i/>
          <w:color w:val="4472C4" w:themeColor="accent5"/>
        </w:rPr>
        <w:t xml:space="preserve"> in healthcare</w:t>
      </w:r>
      <w:r w:rsidRPr="00F700A2">
        <w:rPr>
          <w:color w:val="4472C4" w:themeColor="accent5"/>
        </w:rPr>
        <w:t>”.</w:t>
      </w: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t>References</w:t>
      </w:r>
    </w:p>
    <w:p w14:paraId="4AED4AEB" w14:textId="73F9A556" w:rsidR="00E971A6" w:rsidRPr="00E971A6" w:rsidRDefault="000B2D7E" w:rsidP="00E971A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971A6" w:rsidRPr="00E971A6">
        <w:rPr>
          <w:rFonts w:ascii="Calibri" w:hAnsi="Calibri" w:cs="Calibri"/>
          <w:noProof/>
          <w:szCs w:val="24"/>
        </w:rPr>
        <w:t xml:space="preserve">Banerjee, A. (2019). Digital health interventions and inequalities: The case for a new paradigm. </w:t>
      </w:r>
      <w:r w:rsidR="00E971A6" w:rsidRPr="00E971A6">
        <w:rPr>
          <w:rFonts w:ascii="Calibri" w:hAnsi="Calibri" w:cs="Calibri"/>
          <w:i/>
          <w:iCs/>
          <w:noProof/>
          <w:szCs w:val="24"/>
        </w:rPr>
        <w:t>BMJ Evidence-Based Medicine</w:t>
      </w:r>
      <w:r w:rsidR="00E971A6" w:rsidRPr="00E971A6">
        <w:rPr>
          <w:rFonts w:ascii="Calibri" w:hAnsi="Calibri" w:cs="Calibri"/>
          <w:noProof/>
          <w:szCs w:val="24"/>
        </w:rPr>
        <w:t xml:space="preserve">, </w:t>
      </w:r>
      <w:r w:rsidR="00E971A6" w:rsidRPr="00E971A6">
        <w:rPr>
          <w:rFonts w:ascii="Calibri" w:hAnsi="Calibri" w:cs="Calibri"/>
          <w:i/>
          <w:iCs/>
          <w:noProof/>
          <w:szCs w:val="24"/>
        </w:rPr>
        <w:t>2</w:t>
      </w:r>
      <w:r w:rsidR="00E971A6" w:rsidRPr="00E971A6">
        <w:rPr>
          <w:rFonts w:ascii="Calibri" w:hAnsi="Calibri" w:cs="Calibri"/>
          <w:noProof/>
          <w:szCs w:val="24"/>
        </w:rPr>
        <w:t>, 2–5. https://doi.org/10.1136/bmjebm-2019-111282</w:t>
      </w:r>
    </w:p>
    <w:p w14:paraId="0C5FE7C0"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Baxevanis, A. D., &amp; Ouellette, B. F. F. (Eds.). (2020). </w:t>
      </w:r>
      <w:r w:rsidRPr="00E971A6">
        <w:rPr>
          <w:rFonts w:ascii="Calibri" w:hAnsi="Calibri" w:cs="Calibri"/>
          <w:i/>
          <w:iCs/>
          <w:noProof/>
          <w:szCs w:val="24"/>
        </w:rPr>
        <w:t>Bioinformatics: A Practical Guide to the Analysis of Genes and Proteins</w:t>
      </w:r>
      <w:r w:rsidRPr="00E971A6">
        <w:rPr>
          <w:rFonts w:ascii="Calibri" w:hAnsi="Calibri" w:cs="Calibri"/>
          <w:noProof/>
          <w:szCs w:val="24"/>
        </w:rPr>
        <w:t xml:space="preserve"> (2nd ed.). https://doi.org/10.1007/s10439-006-9105-9</w:t>
      </w:r>
    </w:p>
    <w:p w14:paraId="564A6413"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Benson, T., &amp; Grieve, G. (2016). </w:t>
      </w:r>
      <w:r w:rsidRPr="00E971A6">
        <w:rPr>
          <w:rFonts w:ascii="Calibri" w:hAnsi="Calibri" w:cs="Calibri"/>
          <w:i/>
          <w:iCs/>
          <w:noProof/>
          <w:szCs w:val="24"/>
        </w:rPr>
        <w:t>Principles of Health Interoperability: SNOMED CT, HL7 and FHIR</w:t>
      </w:r>
      <w:r w:rsidRPr="00E971A6">
        <w:rPr>
          <w:rFonts w:ascii="Calibri" w:hAnsi="Calibri" w:cs="Calibri"/>
          <w:noProof/>
          <w:szCs w:val="24"/>
        </w:rPr>
        <w:t xml:space="preserve"> (3rd ed.). Retrieved from https://s3.amazonaws.com/academia.edu.documents/62118976/Principles_of_Health_Interoperability_-_SNOMED_CT__HL7__and_FHIR20200217-30649-712nov.pdf?response-content-disposition=inline%3B filename%3DPrinciples_of_Health_Interoperability.pdf&amp;X-Amz-Algorithm=</w:t>
      </w:r>
    </w:p>
    <w:p w14:paraId="7EEE16FF"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Daly Lynn, J., Rondón-Sulbarán, J., Quinn, E., Ryan, A., McCormack, B., &amp; Martin, S. (2019). A systematic review of electronic assistive technology within supporting living environments for people with dementia. </w:t>
      </w:r>
      <w:r w:rsidRPr="00E971A6">
        <w:rPr>
          <w:rFonts w:ascii="Calibri" w:hAnsi="Calibri" w:cs="Calibri"/>
          <w:i/>
          <w:iCs/>
          <w:noProof/>
          <w:szCs w:val="24"/>
        </w:rPr>
        <w:t>Dementia</w:t>
      </w:r>
      <w:r w:rsidRPr="00E971A6">
        <w:rPr>
          <w:rFonts w:ascii="Calibri" w:hAnsi="Calibri" w:cs="Calibri"/>
          <w:noProof/>
          <w:szCs w:val="24"/>
        </w:rPr>
        <w:t xml:space="preserve">, </w:t>
      </w:r>
      <w:r w:rsidRPr="00E971A6">
        <w:rPr>
          <w:rFonts w:ascii="Calibri" w:hAnsi="Calibri" w:cs="Calibri"/>
          <w:i/>
          <w:iCs/>
          <w:noProof/>
          <w:szCs w:val="24"/>
        </w:rPr>
        <w:t>18</w:t>
      </w:r>
      <w:r w:rsidRPr="00E971A6">
        <w:rPr>
          <w:rFonts w:ascii="Calibri" w:hAnsi="Calibri" w:cs="Calibri"/>
          <w:noProof/>
          <w:szCs w:val="24"/>
        </w:rPr>
        <w:t>(7–8), 2371–2435. https://doi.org/10.1177/1471301217733649</w:t>
      </w:r>
    </w:p>
    <w:p w14:paraId="0EF53CA3"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Degoulet, P., &amp; Fieschi, M. (2012). </w:t>
      </w:r>
      <w:r w:rsidRPr="00E971A6">
        <w:rPr>
          <w:rFonts w:ascii="Calibri" w:hAnsi="Calibri" w:cs="Calibri"/>
          <w:i/>
          <w:iCs/>
          <w:noProof/>
          <w:szCs w:val="24"/>
        </w:rPr>
        <w:t>Introduction to clinical informatics</w:t>
      </w:r>
      <w:r w:rsidRPr="00E971A6">
        <w:rPr>
          <w:rFonts w:ascii="Calibri" w:hAnsi="Calibri" w:cs="Calibri"/>
          <w:noProof/>
          <w:szCs w:val="24"/>
        </w:rPr>
        <w:t>. New York: Springer.</w:t>
      </w:r>
    </w:p>
    <w:p w14:paraId="7123E066"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Denney, E., Pai, G., &amp; Habli, I. (2015). Dynamic Safety Cases for Through-Life Safety Assurance. </w:t>
      </w:r>
      <w:r w:rsidRPr="00E971A6">
        <w:rPr>
          <w:rFonts w:ascii="Calibri" w:hAnsi="Calibri" w:cs="Calibri"/>
          <w:i/>
          <w:iCs/>
          <w:noProof/>
          <w:szCs w:val="24"/>
        </w:rPr>
        <w:t>Proceedings - International Conference on Software Engineering</w:t>
      </w:r>
      <w:r w:rsidRPr="00E971A6">
        <w:rPr>
          <w:rFonts w:ascii="Calibri" w:hAnsi="Calibri" w:cs="Calibri"/>
          <w:noProof/>
          <w:szCs w:val="24"/>
        </w:rPr>
        <w:t xml:space="preserve">, </w:t>
      </w:r>
      <w:r w:rsidRPr="00E971A6">
        <w:rPr>
          <w:rFonts w:ascii="Calibri" w:hAnsi="Calibri" w:cs="Calibri"/>
          <w:i/>
          <w:iCs/>
          <w:noProof/>
          <w:szCs w:val="24"/>
        </w:rPr>
        <w:t>2</w:t>
      </w:r>
      <w:r w:rsidRPr="00E971A6">
        <w:rPr>
          <w:rFonts w:ascii="Calibri" w:hAnsi="Calibri" w:cs="Calibri"/>
          <w:noProof/>
          <w:szCs w:val="24"/>
        </w:rPr>
        <w:t>(2), 587–590. https://doi.org/10.1109/ICSE.2015.199</w:t>
      </w:r>
    </w:p>
    <w:p w14:paraId="0864A930"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Despotou, G., White, S., Kelly, T., &amp; Ryan, M. (2012). Introducing safety cases for health IT. </w:t>
      </w:r>
      <w:r w:rsidRPr="00E971A6">
        <w:rPr>
          <w:rFonts w:ascii="Calibri" w:hAnsi="Calibri" w:cs="Calibri"/>
          <w:i/>
          <w:iCs/>
          <w:noProof/>
          <w:szCs w:val="24"/>
        </w:rPr>
        <w:t>2012 4th International Workshop on Software Engineering in Health Care, SEHC 2012 - Proceedings</w:t>
      </w:r>
      <w:r w:rsidRPr="00E971A6">
        <w:rPr>
          <w:rFonts w:ascii="Calibri" w:hAnsi="Calibri" w:cs="Calibri"/>
          <w:noProof/>
          <w:szCs w:val="24"/>
        </w:rPr>
        <w:t>, 44–50. https://doi.org/10.1109/SEHC.2012.6227010</w:t>
      </w:r>
    </w:p>
    <w:p w14:paraId="18BB3AEE"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Flood, M., &amp; Habli, I. (2011). Multi-view safety cases. </w:t>
      </w:r>
      <w:r w:rsidRPr="00E971A6">
        <w:rPr>
          <w:rFonts w:ascii="Calibri" w:hAnsi="Calibri" w:cs="Calibri"/>
          <w:i/>
          <w:iCs/>
          <w:noProof/>
          <w:szCs w:val="24"/>
        </w:rPr>
        <w:t>IET Conference Publications</w:t>
      </w:r>
      <w:r w:rsidRPr="00E971A6">
        <w:rPr>
          <w:rFonts w:ascii="Calibri" w:hAnsi="Calibri" w:cs="Calibri"/>
          <w:noProof/>
          <w:szCs w:val="24"/>
        </w:rPr>
        <w:t xml:space="preserve">, </w:t>
      </w:r>
      <w:r w:rsidRPr="00E971A6">
        <w:rPr>
          <w:rFonts w:ascii="Calibri" w:hAnsi="Calibri" w:cs="Calibri"/>
          <w:i/>
          <w:iCs/>
          <w:noProof/>
          <w:szCs w:val="24"/>
        </w:rPr>
        <w:t>2011</w:t>
      </w:r>
      <w:r w:rsidRPr="00E971A6">
        <w:rPr>
          <w:rFonts w:ascii="Calibri" w:hAnsi="Calibri" w:cs="Calibri"/>
          <w:noProof/>
          <w:szCs w:val="24"/>
        </w:rPr>
        <w:t>(578 CP), 1–6. https://doi.org/10.1049/cp.2011.0260</w:t>
      </w:r>
    </w:p>
    <w:p w14:paraId="61D0818B"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Furlong, E., Darley, A., Fox, P., &amp; et al. (2019). Adaptation and Implementation of a Mobile Phone–Based Remote Symptom Monitoring System for People With Cancer in Europe. </w:t>
      </w:r>
      <w:r w:rsidRPr="00E971A6">
        <w:rPr>
          <w:rFonts w:ascii="Calibri" w:hAnsi="Calibri" w:cs="Calibri"/>
          <w:i/>
          <w:iCs/>
          <w:noProof/>
          <w:szCs w:val="24"/>
        </w:rPr>
        <w:t>JMIR Cancer</w:t>
      </w:r>
      <w:r w:rsidRPr="00E971A6">
        <w:rPr>
          <w:rFonts w:ascii="Calibri" w:hAnsi="Calibri" w:cs="Calibri"/>
          <w:noProof/>
          <w:szCs w:val="24"/>
        </w:rPr>
        <w:t xml:space="preserve">, </w:t>
      </w:r>
      <w:r w:rsidRPr="00E971A6">
        <w:rPr>
          <w:rFonts w:ascii="Calibri" w:hAnsi="Calibri" w:cs="Calibri"/>
          <w:i/>
          <w:iCs/>
          <w:noProof/>
          <w:szCs w:val="24"/>
        </w:rPr>
        <w:t>5</w:t>
      </w:r>
      <w:r w:rsidRPr="00E971A6">
        <w:rPr>
          <w:rFonts w:ascii="Calibri" w:hAnsi="Calibri" w:cs="Calibri"/>
          <w:noProof/>
          <w:szCs w:val="24"/>
        </w:rPr>
        <w:t>(1), e10813. https://doi.org/10.2196/10813</w:t>
      </w:r>
    </w:p>
    <w:p w14:paraId="17069D78"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Gammack, J., Hobbs, V., &amp; Pigott, D. (2011). </w:t>
      </w:r>
      <w:r w:rsidRPr="00E971A6">
        <w:rPr>
          <w:rFonts w:ascii="Calibri" w:hAnsi="Calibri" w:cs="Calibri"/>
          <w:i/>
          <w:iCs/>
          <w:noProof/>
          <w:szCs w:val="24"/>
        </w:rPr>
        <w:t>The Book of Informatics</w:t>
      </w:r>
      <w:r w:rsidRPr="00E971A6">
        <w:rPr>
          <w:rFonts w:ascii="Calibri" w:hAnsi="Calibri" w:cs="Calibri"/>
          <w:noProof/>
          <w:szCs w:val="24"/>
        </w:rPr>
        <w:t>. Cengage Learning.</w:t>
      </w:r>
    </w:p>
    <w:p w14:paraId="73D3D49D"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Gómez-González, E., Gomez, E., Márquez-Rivas, J., Guerrero-Claro, M., Fernández-Lizaranzu, I., Relimpio-López, M. I., … Capitán-Morales, L. (2020). Artificial intelligence in medicine and healthcare: a review and classification of current and near-future applications and their ethical and social Impact. </w:t>
      </w:r>
      <w:r w:rsidRPr="00E971A6">
        <w:rPr>
          <w:rFonts w:ascii="Calibri" w:hAnsi="Calibri" w:cs="Calibri"/>
          <w:i/>
          <w:iCs/>
          <w:noProof/>
          <w:szCs w:val="24"/>
        </w:rPr>
        <w:t>ArXiv</w:t>
      </w:r>
      <w:r w:rsidRPr="00E971A6">
        <w:rPr>
          <w:rFonts w:ascii="Calibri" w:hAnsi="Calibri" w:cs="Calibri"/>
          <w:noProof/>
          <w:szCs w:val="24"/>
        </w:rPr>
        <w:t>. Retrieved from http://arxiv.org/abs/2001.09778</w:t>
      </w:r>
    </w:p>
    <w:p w14:paraId="20908AF1"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Habli, I., Jia, Y., White, S., Gabriel, G., Lawton, T., Sujan, M., &amp; Tomsett, C. (2019). Development and piloting of a software tool to facilitate proactive hazard and risk analysis of Health Information Technology. </w:t>
      </w:r>
      <w:r w:rsidRPr="00E971A6">
        <w:rPr>
          <w:rFonts w:ascii="Calibri" w:hAnsi="Calibri" w:cs="Calibri"/>
          <w:i/>
          <w:iCs/>
          <w:noProof/>
          <w:szCs w:val="24"/>
        </w:rPr>
        <w:t>Health Informatics Journal</w:t>
      </w:r>
      <w:r w:rsidRPr="00E971A6">
        <w:rPr>
          <w:rFonts w:ascii="Calibri" w:hAnsi="Calibri" w:cs="Calibri"/>
          <w:noProof/>
          <w:szCs w:val="24"/>
        </w:rPr>
        <w:t xml:space="preserve">, </w:t>
      </w:r>
      <w:r w:rsidRPr="00E971A6">
        <w:rPr>
          <w:rFonts w:ascii="Calibri" w:hAnsi="Calibri" w:cs="Calibri"/>
          <w:i/>
          <w:iCs/>
          <w:noProof/>
          <w:szCs w:val="24"/>
        </w:rPr>
        <w:t>5</w:t>
      </w:r>
      <w:r w:rsidRPr="00E971A6">
        <w:rPr>
          <w:rFonts w:ascii="Calibri" w:hAnsi="Calibri" w:cs="Calibri"/>
          <w:noProof/>
          <w:szCs w:val="24"/>
        </w:rPr>
        <w:t>. https://doi.org/10.1177/1460458219852789</w:t>
      </w:r>
    </w:p>
    <w:p w14:paraId="642EF56C"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Hickey, G. L., Grant, S. W., Caiado, C., Kendall, S., Dunning, J., Poullis, M., … Bridgewater, B. (2013). Dynamic prediction modeling approaches for cardiac surgery. </w:t>
      </w:r>
      <w:r w:rsidRPr="00E971A6">
        <w:rPr>
          <w:rFonts w:ascii="Calibri" w:hAnsi="Calibri" w:cs="Calibri"/>
          <w:i/>
          <w:iCs/>
          <w:noProof/>
          <w:szCs w:val="24"/>
        </w:rPr>
        <w:t>Circulation: Cardiovascular Quality and Outcomes</w:t>
      </w:r>
      <w:r w:rsidRPr="00E971A6">
        <w:rPr>
          <w:rFonts w:ascii="Calibri" w:hAnsi="Calibri" w:cs="Calibri"/>
          <w:noProof/>
          <w:szCs w:val="24"/>
        </w:rPr>
        <w:t xml:space="preserve">, </w:t>
      </w:r>
      <w:r w:rsidRPr="00E971A6">
        <w:rPr>
          <w:rFonts w:ascii="Calibri" w:hAnsi="Calibri" w:cs="Calibri"/>
          <w:i/>
          <w:iCs/>
          <w:noProof/>
          <w:szCs w:val="24"/>
        </w:rPr>
        <w:t>6</w:t>
      </w:r>
      <w:r w:rsidRPr="00E971A6">
        <w:rPr>
          <w:rFonts w:ascii="Calibri" w:hAnsi="Calibri" w:cs="Calibri"/>
          <w:noProof/>
          <w:szCs w:val="24"/>
        </w:rPr>
        <w:t>(6), 649–658. https://doi.org/10.1161/CIRCOUTCOMES.111.000012</w:t>
      </w:r>
    </w:p>
    <w:p w14:paraId="788A2113"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Hickey, G. L., Grant, S. W., Murphy, G. J., Bhabra, M., Pagano, D., McAllister, K., … Bridgewater, B. (2013). Dynamic trends in cardiac surgery: Why the logistic euroscore is no longer suitable for contemporary cardiac surgery and implications for future risk models. </w:t>
      </w:r>
      <w:r w:rsidRPr="00E971A6">
        <w:rPr>
          <w:rFonts w:ascii="Calibri" w:hAnsi="Calibri" w:cs="Calibri"/>
          <w:i/>
          <w:iCs/>
          <w:noProof/>
          <w:szCs w:val="24"/>
        </w:rPr>
        <w:t>European Journal of Cardio-Thoracic Surgery</w:t>
      </w:r>
      <w:r w:rsidRPr="00E971A6">
        <w:rPr>
          <w:rFonts w:ascii="Calibri" w:hAnsi="Calibri" w:cs="Calibri"/>
          <w:noProof/>
          <w:szCs w:val="24"/>
        </w:rPr>
        <w:t xml:space="preserve">, </w:t>
      </w:r>
      <w:r w:rsidRPr="00E971A6">
        <w:rPr>
          <w:rFonts w:ascii="Calibri" w:hAnsi="Calibri" w:cs="Calibri"/>
          <w:i/>
          <w:iCs/>
          <w:noProof/>
          <w:szCs w:val="24"/>
        </w:rPr>
        <w:t>43</w:t>
      </w:r>
      <w:r w:rsidRPr="00E971A6">
        <w:rPr>
          <w:rFonts w:ascii="Calibri" w:hAnsi="Calibri" w:cs="Calibri"/>
          <w:noProof/>
          <w:szCs w:val="24"/>
        </w:rPr>
        <w:t>(6), 1146–1152. https://doi.org/10.1093/ejcts/ezs584</w:t>
      </w:r>
    </w:p>
    <w:p w14:paraId="6623C4DF"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Huang, X., Yan, F., Ning, J., Feng, Z., Choi, S., &amp; Cortes, J. (2016). A two-stage approach for dynamic prediction of time-to-event distributions. </w:t>
      </w:r>
      <w:r w:rsidRPr="00E971A6">
        <w:rPr>
          <w:rFonts w:ascii="Calibri" w:hAnsi="Calibri" w:cs="Calibri"/>
          <w:i/>
          <w:iCs/>
          <w:noProof/>
          <w:szCs w:val="24"/>
        </w:rPr>
        <w:t>Statistics in Medicine</w:t>
      </w:r>
      <w:r w:rsidRPr="00E971A6">
        <w:rPr>
          <w:rFonts w:ascii="Calibri" w:hAnsi="Calibri" w:cs="Calibri"/>
          <w:noProof/>
          <w:szCs w:val="24"/>
        </w:rPr>
        <w:t xml:space="preserve">, </w:t>
      </w:r>
      <w:r w:rsidRPr="00E971A6">
        <w:rPr>
          <w:rFonts w:ascii="Calibri" w:hAnsi="Calibri" w:cs="Calibri"/>
          <w:i/>
          <w:iCs/>
          <w:noProof/>
          <w:szCs w:val="24"/>
        </w:rPr>
        <w:t>35</w:t>
      </w:r>
      <w:r w:rsidRPr="00E971A6">
        <w:rPr>
          <w:rFonts w:ascii="Calibri" w:hAnsi="Calibri" w:cs="Calibri"/>
          <w:noProof/>
          <w:szCs w:val="24"/>
        </w:rPr>
        <w:t>(13), 2167–2182. https://doi.org/10.1002/sim.6860.A</w:t>
      </w:r>
    </w:p>
    <w:p w14:paraId="0544794E"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IMIA. (2020). </w:t>
      </w:r>
      <w:r w:rsidRPr="00E971A6">
        <w:rPr>
          <w:rFonts w:ascii="Calibri" w:hAnsi="Calibri" w:cs="Calibri"/>
          <w:i/>
          <w:iCs/>
          <w:noProof/>
          <w:szCs w:val="24"/>
        </w:rPr>
        <w:t>International Medical Informatics Association</w:t>
      </w:r>
      <w:r w:rsidRPr="00E971A6">
        <w:rPr>
          <w:rFonts w:ascii="Calibri" w:hAnsi="Calibri" w:cs="Calibri"/>
          <w:noProof/>
          <w:szCs w:val="24"/>
        </w:rPr>
        <w:t>. Retrieved from https://imia-medinfo.org</w:t>
      </w:r>
    </w:p>
    <w:p w14:paraId="2EEE5418"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IMIA WG7. (2018). </w:t>
      </w:r>
      <w:r w:rsidRPr="00E971A6">
        <w:rPr>
          <w:rFonts w:ascii="Calibri" w:hAnsi="Calibri" w:cs="Calibri"/>
          <w:i/>
          <w:iCs/>
          <w:noProof/>
          <w:szCs w:val="24"/>
        </w:rPr>
        <w:t>WG7 - IMIA Working Group on Health Informatics for Patient Safety</w:t>
      </w:r>
      <w:r w:rsidRPr="00E971A6">
        <w:rPr>
          <w:rFonts w:ascii="Calibri" w:hAnsi="Calibri" w:cs="Calibri"/>
          <w:noProof/>
          <w:szCs w:val="24"/>
        </w:rPr>
        <w:t>.</w:t>
      </w:r>
    </w:p>
    <w:p w14:paraId="081CDD63"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Jenkins, D. A., Sperrin, M., Martin, G. P., &amp; Peek, N. (2018). Dynamic models to predict health outcomes: current status and methodological challenges. </w:t>
      </w:r>
      <w:r w:rsidRPr="00E971A6">
        <w:rPr>
          <w:rFonts w:ascii="Calibri" w:hAnsi="Calibri" w:cs="Calibri"/>
          <w:i/>
          <w:iCs/>
          <w:noProof/>
          <w:szCs w:val="24"/>
        </w:rPr>
        <w:t>Diagnostic and Prognostic Research</w:t>
      </w:r>
      <w:r w:rsidRPr="00E971A6">
        <w:rPr>
          <w:rFonts w:ascii="Calibri" w:hAnsi="Calibri" w:cs="Calibri"/>
          <w:noProof/>
          <w:szCs w:val="24"/>
        </w:rPr>
        <w:t xml:space="preserve">, </w:t>
      </w:r>
      <w:r w:rsidRPr="00E971A6">
        <w:rPr>
          <w:rFonts w:ascii="Calibri" w:hAnsi="Calibri" w:cs="Calibri"/>
          <w:i/>
          <w:iCs/>
          <w:noProof/>
          <w:szCs w:val="24"/>
        </w:rPr>
        <w:t>2</w:t>
      </w:r>
      <w:r w:rsidRPr="00E971A6">
        <w:rPr>
          <w:rFonts w:ascii="Calibri" w:hAnsi="Calibri" w:cs="Calibri"/>
          <w:noProof/>
          <w:szCs w:val="24"/>
        </w:rPr>
        <w:t>(1), 1–9. https://doi.org/10.1186/s41512-018-0045-2</w:t>
      </w:r>
    </w:p>
    <w:p w14:paraId="5665C913"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Kostkova, P. (2015). Grand challenges in digital health. </w:t>
      </w:r>
      <w:r w:rsidRPr="00E971A6">
        <w:rPr>
          <w:rFonts w:ascii="Calibri" w:hAnsi="Calibri" w:cs="Calibri"/>
          <w:i/>
          <w:iCs/>
          <w:noProof/>
          <w:szCs w:val="24"/>
        </w:rPr>
        <w:t>Frontiers in Public Health</w:t>
      </w:r>
      <w:r w:rsidRPr="00E971A6">
        <w:rPr>
          <w:rFonts w:ascii="Calibri" w:hAnsi="Calibri" w:cs="Calibri"/>
          <w:noProof/>
          <w:szCs w:val="24"/>
        </w:rPr>
        <w:t xml:space="preserve">, </w:t>
      </w:r>
      <w:r w:rsidRPr="00E971A6">
        <w:rPr>
          <w:rFonts w:ascii="Calibri" w:hAnsi="Calibri" w:cs="Calibri"/>
          <w:i/>
          <w:iCs/>
          <w:noProof/>
          <w:szCs w:val="24"/>
        </w:rPr>
        <w:t>3</w:t>
      </w:r>
      <w:r w:rsidRPr="00E971A6">
        <w:rPr>
          <w:rFonts w:ascii="Calibri" w:hAnsi="Calibri" w:cs="Calibri"/>
          <w:noProof/>
          <w:szCs w:val="24"/>
        </w:rPr>
        <w:t>(134), 1–5. https://doi.org/10.3389/fpubh.2015.00134</w:t>
      </w:r>
    </w:p>
    <w:p w14:paraId="19DFBAE4"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Kuhn, K. A., Knoll, A., Mewes, H. W., Schwaiger, M., Bode, A., Broy, M., … Ziegler, S. (2008). Informatics and Medicine - From Molecules to Populations. </w:t>
      </w:r>
      <w:r w:rsidRPr="00E971A6">
        <w:rPr>
          <w:rFonts w:ascii="Calibri" w:hAnsi="Calibri" w:cs="Calibri"/>
          <w:i/>
          <w:iCs/>
          <w:noProof/>
          <w:szCs w:val="24"/>
        </w:rPr>
        <w:t>Methods of Information in Medicine</w:t>
      </w:r>
      <w:r w:rsidRPr="00E971A6">
        <w:rPr>
          <w:rFonts w:ascii="Calibri" w:hAnsi="Calibri" w:cs="Calibri"/>
          <w:noProof/>
          <w:szCs w:val="24"/>
        </w:rPr>
        <w:t xml:space="preserve">, </w:t>
      </w:r>
      <w:r w:rsidRPr="00E971A6">
        <w:rPr>
          <w:rFonts w:ascii="Calibri" w:hAnsi="Calibri" w:cs="Calibri"/>
          <w:i/>
          <w:iCs/>
          <w:noProof/>
          <w:szCs w:val="24"/>
        </w:rPr>
        <w:t>47</w:t>
      </w:r>
      <w:r w:rsidRPr="00E971A6">
        <w:rPr>
          <w:rFonts w:ascii="Calibri" w:hAnsi="Calibri" w:cs="Calibri"/>
          <w:noProof/>
          <w:szCs w:val="24"/>
        </w:rPr>
        <w:t>(4), 283–295. https://doi.org/10.3414/ME9117</w:t>
      </w:r>
    </w:p>
    <w:p w14:paraId="37118044"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Kux, B. R., &amp; Majeed, R. W. (2017). Factors Influencing the Implementation and Distribution of Clinical Decision Support Systems (CDSS). </w:t>
      </w:r>
      <w:r w:rsidRPr="00E971A6">
        <w:rPr>
          <w:rFonts w:ascii="Calibri" w:hAnsi="Calibri" w:cs="Calibri"/>
          <w:i/>
          <w:iCs/>
          <w:noProof/>
          <w:szCs w:val="24"/>
        </w:rPr>
        <w:t>Studies in Health Technology and Informatics</w:t>
      </w:r>
      <w:r w:rsidRPr="00E971A6">
        <w:rPr>
          <w:rFonts w:ascii="Calibri" w:hAnsi="Calibri" w:cs="Calibri"/>
          <w:noProof/>
          <w:szCs w:val="24"/>
        </w:rPr>
        <w:t xml:space="preserve">, </w:t>
      </w:r>
      <w:r w:rsidRPr="00E971A6">
        <w:rPr>
          <w:rFonts w:ascii="Calibri" w:hAnsi="Calibri" w:cs="Calibri"/>
          <w:i/>
          <w:iCs/>
          <w:noProof/>
          <w:szCs w:val="24"/>
        </w:rPr>
        <w:t>243</w:t>
      </w:r>
      <w:r w:rsidRPr="00E971A6">
        <w:rPr>
          <w:rFonts w:ascii="Calibri" w:hAnsi="Calibri" w:cs="Calibri"/>
          <w:noProof/>
          <w:szCs w:val="24"/>
        </w:rPr>
        <w:t>, 127–131. https://doi.org/10.3233/978-1-61499-808-2-127</w:t>
      </w:r>
    </w:p>
    <w:p w14:paraId="35727676"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Lupton, D. (2017). </w:t>
      </w:r>
      <w:r w:rsidRPr="00E971A6">
        <w:rPr>
          <w:rFonts w:ascii="Calibri" w:hAnsi="Calibri" w:cs="Calibri"/>
          <w:i/>
          <w:iCs/>
          <w:noProof/>
          <w:szCs w:val="24"/>
        </w:rPr>
        <w:t>Digital Health: Critical and Cross-Disciplinary Perspectives</w:t>
      </w:r>
      <w:r w:rsidRPr="00E971A6">
        <w:rPr>
          <w:rFonts w:ascii="Calibri" w:hAnsi="Calibri" w:cs="Calibri"/>
          <w:noProof/>
          <w:szCs w:val="24"/>
        </w:rPr>
        <w:t xml:space="preserve"> (K. Chamberlain &amp; A. Lyons, Eds.). Retrieved from https://books.google.co.uk/books?hl=en&amp;lr=&amp;id=09srDwAAQBAJ&amp;oi=fnd&amp;pg=PT8&amp;dq=Novel+challenges+of+new+and+emerging+digital+health+technologies&amp;ots=5dgCyGehlJ&amp;sig=OTsQkQj_iHtz5W12G_z5aSUt8F4&amp;redir_esc=y#v=onepage&amp;q&amp;f=false</w:t>
      </w:r>
    </w:p>
    <w:p w14:paraId="03376AD5"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Macrae, C. (2019). Governing the safety of artificial intelligence in healthcare. </w:t>
      </w:r>
      <w:r w:rsidRPr="00E971A6">
        <w:rPr>
          <w:rFonts w:ascii="Calibri" w:hAnsi="Calibri" w:cs="Calibri"/>
          <w:i/>
          <w:iCs/>
          <w:noProof/>
          <w:szCs w:val="24"/>
        </w:rPr>
        <w:t>BMJ Qual Saf</w:t>
      </w:r>
      <w:r w:rsidRPr="00E971A6">
        <w:rPr>
          <w:rFonts w:ascii="Calibri" w:hAnsi="Calibri" w:cs="Calibri"/>
          <w:noProof/>
          <w:szCs w:val="24"/>
        </w:rPr>
        <w:t xml:space="preserve">, </w:t>
      </w:r>
      <w:r w:rsidRPr="00E971A6">
        <w:rPr>
          <w:rFonts w:ascii="Calibri" w:hAnsi="Calibri" w:cs="Calibri"/>
          <w:i/>
          <w:iCs/>
          <w:noProof/>
          <w:szCs w:val="24"/>
        </w:rPr>
        <w:t>28</w:t>
      </w:r>
      <w:r w:rsidRPr="00E971A6">
        <w:rPr>
          <w:rFonts w:ascii="Calibri" w:hAnsi="Calibri" w:cs="Calibri"/>
          <w:noProof/>
          <w:szCs w:val="24"/>
        </w:rPr>
        <w:t>, 495–498. https://doi.org/10.1136/bmjqs-2019-009484</w:t>
      </w:r>
    </w:p>
    <w:p w14:paraId="000A1851"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Magnusson, J. A., &amp; Fu Jr., P. C. (Eds.). (2013). </w:t>
      </w:r>
      <w:r w:rsidRPr="00E971A6">
        <w:rPr>
          <w:rFonts w:ascii="Calibri" w:hAnsi="Calibri" w:cs="Calibri"/>
          <w:i/>
          <w:iCs/>
          <w:noProof/>
          <w:szCs w:val="24"/>
        </w:rPr>
        <w:t>Public health informatics and information systems</w:t>
      </w:r>
      <w:r w:rsidRPr="00E971A6">
        <w:rPr>
          <w:rFonts w:ascii="Calibri" w:hAnsi="Calibri" w:cs="Calibri"/>
          <w:noProof/>
          <w:szCs w:val="24"/>
        </w:rPr>
        <w:t xml:space="preserve"> (2nd ed.). London: Springer.</w:t>
      </w:r>
    </w:p>
    <w:p w14:paraId="1E5391FA"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Masum, H., Lackman, R., &amp; Bartleson, K. (2013). Developing global health technology standards: what can other industries teach us? </w:t>
      </w:r>
      <w:r w:rsidRPr="00E971A6">
        <w:rPr>
          <w:rFonts w:ascii="Calibri" w:hAnsi="Calibri" w:cs="Calibri"/>
          <w:i/>
          <w:iCs/>
          <w:noProof/>
          <w:szCs w:val="24"/>
        </w:rPr>
        <w:t>Globalization and Health</w:t>
      </w:r>
      <w:r w:rsidRPr="00E971A6">
        <w:rPr>
          <w:rFonts w:ascii="Calibri" w:hAnsi="Calibri" w:cs="Calibri"/>
          <w:noProof/>
          <w:szCs w:val="24"/>
        </w:rPr>
        <w:t xml:space="preserve">, </w:t>
      </w:r>
      <w:r w:rsidRPr="00E971A6">
        <w:rPr>
          <w:rFonts w:ascii="Calibri" w:hAnsi="Calibri" w:cs="Calibri"/>
          <w:i/>
          <w:iCs/>
          <w:noProof/>
          <w:szCs w:val="24"/>
        </w:rPr>
        <w:t>9</w:t>
      </w:r>
      <w:r w:rsidRPr="00E971A6">
        <w:rPr>
          <w:rFonts w:ascii="Calibri" w:hAnsi="Calibri" w:cs="Calibri"/>
          <w:noProof/>
          <w:szCs w:val="24"/>
        </w:rPr>
        <w:t>(49).</w:t>
      </w:r>
    </w:p>
    <w:p w14:paraId="0713F74A"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McAuley, A. (2014). Digital health interventions: Widening access or widening inequalities? </w:t>
      </w:r>
      <w:r w:rsidRPr="00E971A6">
        <w:rPr>
          <w:rFonts w:ascii="Calibri" w:hAnsi="Calibri" w:cs="Calibri"/>
          <w:i/>
          <w:iCs/>
          <w:noProof/>
          <w:szCs w:val="24"/>
        </w:rPr>
        <w:t>Public Health</w:t>
      </w:r>
      <w:r w:rsidRPr="00E971A6">
        <w:rPr>
          <w:rFonts w:ascii="Calibri" w:hAnsi="Calibri" w:cs="Calibri"/>
          <w:noProof/>
          <w:szCs w:val="24"/>
        </w:rPr>
        <w:t xml:space="preserve">, </w:t>
      </w:r>
      <w:r w:rsidRPr="00E971A6">
        <w:rPr>
          <w:rFonts w:ascii="Calibri" w:hAnsi="Calibri" w:cs="Calibri"/>
          <w:i/>
          <w:iCs/>
          <w:noProof/>
          <w:szCs w:val="24"/>
        </w:rPr>
        <w:t>128</w:t>
      </w:r>
      <w:r w:rsidRPr="00E971A6">
        <w:rPr>
          <w:rFonts w:ascii="Calibri" w:hAnsi="Calibri" w:cs="Calibri"/>
          <w:noProof/>
          <w:szCs w:val="24"/>
        </w:rPr>
        <w:t>(12), 1118–1120. https://doi.org/10.1016/j.puhe.2014.10.008</w:t>
      </w:r>
    </w:p>
    <w:p w14:paraId="240281BA"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McCormick, K., &amp; Saba, V. (2015). </w:t>
      </w:r>
      <w:r w:rsidRPr="00E971A6">
        <w:rPr>
          <w:rFonts w:ascii="Calibri" w:hAnsi="Calibri" w:cs="Calibri"/>
          <w:i/>
          <w:iCs/>
          <w:noProof/>
          <w:szCs w:val="24"/>
        </w:rPr>
        <w:t>Essentials of nursing informatics</w:t>
      </w:r>
      <w:r w:rsidRPr="00E971A6">
        <w:rPr>
          <w:rFonts w:ascii="Calibri" w:hAnsi="Calibri" w:cs="Calibri"/>
          <w:noProof/>
          <w:szCs w:val="24"/>
        </w:rPr>
        <w:t xml:space="preserve"> (6th ed.). Retrieved from https://lib.hpu.edu.vn/handle/123456789/32430</w:t>
      </w:r>
    </w:p>
    <w:p w14:paraId="0F37825F"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Michie, S., Yardley, L., West, R., &amp; Greaves, F. (2017). Developing and Evaluating Digital Interventions to Promote Behavior Change in Health and Health Care: Recommendations Resulting From an International Workshop Corresponding Author : </w:t>
      </w:r>
      <w:r w:rsidRPr="00E971A6">
        <w:rPr>
          <w:rFonts w:ascii="Calibri" w:hAnsi="Calibri" w:cs="Calibri"/>
          <w:i/>
          <w:iCs/>
          <w:noProof/>
          <w:szCs w:val="24"/>
        </w:rPr>
        <w:t>Journal of Medical Internet Research</w:t>
      </w:r>
      <w:r w:rsidRPr="00E971A6">
        <w:rPr>
          <w:rFonts w:ascii="Calibri" w:hAnsi="Calibri" w:cs="Calibri"/>
          <w:noProof/>
          <w:szCs w:val="24"/>
        </w:rPr>
        <w:t xml:space="preserve">, </w:t>
      </w:r>
      <w:r w:rsidRPr="00E971A6">
        <w:rPr>
          <w:rFonts w:ascii="Calibri" w:hAnsi="Calibri" w:cs="Calibri"/>
          <w:i/>
          <w:iCs/>
          <w:noProof/>
          <w:szCs w:val="24"/>
        </w:rPr>
        <w:t>19</w:t>
      </w:r>
      <w:r w:rsidRPr="00E971A6">
        <w:rPr>
          <w:rFonts w:ascii="Calibri" w:hAnsi="Calibri" w:cs="Calibri"/>
          <w:noProof/>
          <w:szCs w:val="24"/>
        </w:rPr>
        <w:t>. https://doi.org/10.2196/jmir.7126</w:t>
      </w:r>
    </w:p>
    <w:p w14:paraId="5F911E69"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Moghimi, H., Wickramasinghe, N., &amp; Adya, M. (2020). </w:t>
      </w:r>
      <w:r w:rsidRPr="00E971A6">
        <w:rPr>
          <w:rFonts w:ascii="Calibri" w:hAnsi="Calibri" w:cs="Calibri"/>
          <w:i/>
          <w:iCs/>
          <w:noProof/>
          <w:szCs w:val="24"/>
        </w:rPr>
        <w:t>Intelligent Risk Detection in Health Care: Integrating Social and Technical Factors to Manage Health Outcomes</w:t>
      </w:r>
      <w:r w:rsidRPr="00E971A6">
        <w:rPr>
          <w:rFonts w:ascii="Calibri" w:hAnsi="Calibri" w:cs="Calibri"/>
          <w:noProof/>
          <w:szCs w:val="24"/>
        </w:rPr>
        <w:t>. https://doi.org/10.1007/978-3-030-17347-0_11</w:t>
      </w:r>
    </w:p>
    <w:p w14:paraId="5D488490"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Neves, B. B., &amp; Vetere, F. (Eds.). (2019). </w:t>
      </w:r>
      <w:r w:rsidRPr="00E971A6">
        <w:rPr>
          <w:rFonts w:ascii="Calibri" w:hAnsi="Calibri" w:cs="Calibri"/>
          <w:i/>
          <w:iCs/>
          <w:noProof/>
          <w:szCs w:val="24"/>
        </w:rPr>
        <w:t>Aging and Digital Technology: Designing and evaluating emerging technologies for older adults</w:t>
      </w:r>
      <w:r w:rsidRPr="00E971A6">
        <w:rPr>
          <w:rFonts w:ascii="Calibri" w:hAnsi="Calibri" w:cs="Calibri"/>
          <w:noProof/>
          <w:szCs w:val="24"/>
        </w:rPr>
        <w:t>. https://doi.org/10.1007/978-981-13-3693-5</w:t>
      </w:r>
    </w:p>
    <w:p w14:paraId="42126560"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Pilotto, A., Boi, R., &amp; Petermans, J. (2018). Technology in geriatrics. </w:t>
      </w:r>
      <w:r w:rsidRPr="00E971A6">
        <w:rPr>
          <w:rFonts w:ascii="Calibri" w:hAnsi="Calibri" w:cs="Calibri"/>
          <w:i/>
          <w:iCs/>
          <w:noProof/>
          <w:szCs w:val="24"/>
        </w:rPr>
        <w:t>Age and Ageing</w:t>
      </w:r>
      <w:r w:rsidRPr="00E971A6">
        <w:rPr>
          <w:rFonts w:ascii="Calibri" w:hAnsi="Calibri" w:cs="Calibri"/>
          <w:noProof/>
          <w:szCs w:val="24"/>
        </w:rPr>
        <w:t xml:space="preserve">, </w:t>
      </w:r>
      <w:r w:rsidRPr="00E971A6">
        <w:rPr>
          <w:rFonts w:ascii="Calibri" w:hAnsi="Calibri" w:cs="Calibri"/>
          <w:i/>
          <w:iCs/>
          <w:noProof/>
          <w:szCs w:val="24"/>
        </w:rPr>
        <w:t>47</w:t>
      </w:r>
      <w:r w:rsidRPr="00E971A6">
        <w:rPr>
          <w:rFonts w:ascii="Calibri" w:hAnsi="Calibri" w:cs="Calibri"/>
          <w:noProof/>
          <w:szCs w:val="24"/>
        </w:rPr>
        <w:t>(6), 771–774. https://doi.org/10.1093/ageing/afy026</w:t>
      </w:r>
    </w:p>
    <w:p w14:paraId="56C7DE47"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Richesson, R. L., &amp; Andrews, J. E. (Eds.). (2019). </w:t>
      </w:r>
      <w:r w:rsidRPr="00E971A6">
        <w:rPr>
          <w:rFonts w:ascii="Calibri" w:hAnsi="Calibri" w:cs="Calibri"/>
          <w:i/>
          <w:iCs/>
          <w:noProof/>
          <w:szCs w:val="24"/>
        </w:rPr>
        <w:t>Clinical research informatics</w:t>
      </w:r>
      <w:r w:rsidRPr="00E971A6">
        <w:rPr>
          <w:rFonts w:ascii="Calibri" w:hAnsi="Calibri" w:cs="Calibri"/>
          <w:noProof/>
          <w:szCs w:val="24"/>
        </w:rPr>
        <w:t xml:space="preserve"> (2nd ed.). Springer.</w:t>
      </w:r>
    </w:p>
    <w:p w14:paraId="4CA731CB"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Robinson, L., Cotten, S. R., Ono, H., Quan-Haase, A., Mesch, G., Chen, W., … Stern, M. J. (2015). Digital inequalities and why they matter. </w:t>
      </w:r>
      <w:r w:rsidRPr="00E971A6">
        <w:rPr>
          <w:rFonts w:ascii="Calibri" w:hAnsi="Calibri" w:cs="Calibri"/>
          <w:i/>
          <w:iCs/>
          <w:noProof/>
          <w:szCs w:val="24"/>
        </w:rPr>
        <w:t>Information Communication and Society</w:t>
      </w:r>
      <w:r w:rsidRPr="00E971A6">
        <w:rPr>
          <w:rFonts w:ascii="Calibri" w:hAnsi="Calibri" w:cs="Calibri"/>
          <w:noProof/>
          <w:szCs w:val="24"/>
        </w:rPr>
        <w:t xml:space="preserve">, </w:t>
      </w:r>
      <w:r w:rsidRPr="00E971A6">
        <w:rPr>
          <w:rFonts w:ascii="Calibri" w:hAnsi="Calibri" w:cs="Calibri"/>
          <w:i/>
          <w:iCs/>
          <w:noProof/>
          <w:szCs w:val="24"/>
        </w:rPr>
        <w:t>18</w:t>
      </w:r>
      <w:r w:rsidRPr="00E971A6">
        <w:rPr>
          <w:rFonts w:ascii="Calibri" w:hAnsi="Calibri" w:cs="Calibri"/>
          <w:noProof/>
          <w:szCs w:val="24"/>
        </w:rPr>
        <w:t>(5), 569–582. https://doi.org/10.1080/1369118X.2015.1012532</w:t>
      </w:r>
    </w:p>
    <w:p w14:paraId="452E1715"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Sako, Z., Adibi, S., &amp; Wickramasinghe, N. (2020). </w:t>
      </w:r>
      <w:r w:rsidRPr="00E971A6">
        <w:rPr>
          <w:rFonts w:ascii="Calibri" w:hAnsi="Calibri" w:cs="Calibri"/>
          <w:i/>
          <w:iCs/>
          <w:noProof/>
          <w:szCs w:val="24"/>
        </w:rPr>
        <w:t>Addressing Data Accuracy and Information Integrity in mHealth Solutions Using Machine Learning Algorithms</w:t>
      </w:r>
      <w:r w:rsidRPr="00E971A6">
        <w:rPr>
          <w:rFonts w:ascii="Calibri" w:hAnsi="Calibri" w:cs="Calibri"/>
          <w:noProof/>
          <w:szCs w:val="24"/>
        </w:rPr>
        <w:t>. https://doi.org/10.1007/978-3-030-17347-0_16</w:t>
      </w:r>
    </w:p>
    <w:p w14:paraId="14384E68"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Shortliffe, E. H., &amp; Cimino, J. J. (Eds.). (2013). </w:t>
      </w:r>
      <w:r w:rsidRPr="00E971A6">
        <w:rPr>
          <w:rFonts w:ascii="Calibri" w:hAnsi="Calibri" w:cs="Calibri"/>
          <w:i/>
          <w:iCs/>
          <w:noProof/>
          <w:szCs w:val="24"/>
        </w:rPr>
        <w:t>Biomedical Informatics: Computer applications in healthcare and biomedicine</w:t>
      </w:r>
      <w:r w:rsidRPr="00E971A6">
        <w:rPr>
          <w:rFonts w:ascii="Calibri" w:hAnsi="Calibri" w:cs="Calibri"/>
          <w:noProof/>
          <w:szCs w:val="24"/>
        </w:rPr>
        <w:t xml:space="preserve"> (4th ed.). New York: Springer.</w:t>
      </w:r>
    </w:p>
    <w:p w14:paraId="4F24B416"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Sperrin, M., Jenkins, D., Martin, G. P., &amp; Peek, N. (2019). Explicit causal reasoning is needed to prevent prognostic models being victims of their own success. </w:t>
      </w:r>
      <w:r w:rsidRPr="00E971A6">
        <w:rPr>
          <w:rFonts w:ascii="Calibri" w:hAnsi="Calibri" w:cs="Calibri"/>
          <w:i/>
          <w:iCs/>
          <w:noProof/>
          <w:szCs w:val="24"/>
        </w:rPr>
        <w:t>Journal of the American Medical Informatics Association</w:t>
      </w:r>
      <w:r w:rsidRPr="00E971A6">
        <w:rPr>
          <w:rFonts w:ascii="Calibri" w:hAnsi="Calibri" w:cs="Calibri"/>
          <w:noProof/>
          <w:szCs w:val="24"/>
        </w:rPr>
        <w:t xml:space="preserve">, </w:t>
      </w:r>
      <w:r w:rsidRPr="00E971A6">
        <w:rPr>
          <w:rFonts w:ascii="Calibri" w:hAnsi="Calibri" w:cs="Calibri"/>
          <w:i/>
          <w:iCs/>
          <w:noProof/>
          <w:szCs w:val="24"/>
        </w:rPr>
        <w:t>26</w:t>
      </w:r>
      <w:r w:rsidRPr="00E971A6">
        <w:rPr>
          <w:rFonts w:ascii="Calibri" w:hAnsi="Calibri" w:cs="Calibri"/>
          <w:noProof/>
          <w:szCs w:val="24"/>
        </w:rPr>
        <w:t>(12), 1675–1676. https://doi.org/10.1093/jamia/ocz197</w:t>
      </w:r>
    </w:p>
    <w:p w14:paraId="4E1D94B2"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Sperrin, M., Martin, G. P., Pate, A., Van Staa, T., Peek, N., &amp; Buchan, I. (2018). Using marginal structural models to adjust for treatment drop-in when developing clinical prediction models. </w:t>
      </w:r>
      <w:r w:rsidRPr="00E971A6">
        <w:rPr>
          <w:rFonts w:ascii="Calibri" w:hAnsi="Calibri" w:cs="Calibri"/>
          <w:i/>
          <w:iCs/>
          <w:noProof/>
          <w:szCs w:val="24"/>
        </w:rPr>
        <w:t>Statistics in Medicine</w:t>
      </w:r>
      <w:r w:rsidRPr="00E971A6">
        <w:rPr>
          <w:rFonts w:ascii="Calibri" w:hAnsi="Calibri" w:cs="Calibri"/>
          <w:noProof/>
          <w:szCs w:val="24"/>
        </w:rPr>
        <w:t xml:space="preserve">, </w:t>
      </w:r>
      <w:r w:rsidRPr="00E971A6">
        <w:rPr>
          <w:rFonts w:ascii="Calibri" w:hAnsi="Calibri" w:cs="Calibri"/>
          <w:i/>
          <w:iCs/>
          <w:noProof/>
          <w:szCs w:val="24"/>
        </w:rPr>
        <w:t>37</w:t>
      </w:r>
      <w:r w:rsidRPr="00E971A6">
        <w:rPr>
          <w:rFonts w:ascii="Calibri" w:hAnsi="Calibri" w:cs="Calibri"/>
          <w:noProof/>
          <w:szCs w:val="24"/>
        </w:rPr>
        <w:t>(28), 4142–4154. https://doi.org/10.1002/sim.7913</w:t>
      </w:r>
    </w:p>
    <w:p w14:paraId="5FDE4F4C"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Steinbuch, K. (1957). Informatik: Automatische Informationsverarbeitung. </w:t>
      </w:r>
      <w:r w:rsidRPr="00E971A6">
        <w:rPr>
          <w:rFonts w:ascii="Calibri" w:hAnsi="Calibri" w:cs="Calibri"/>
          <w:i/>
          <w:iCs/>
          <w:noProof/>
          <w:szCs w:val="24"/>
        </w:rPr>
        <w:t>SEG-Nachrichten</w:t>
      </w:r>
      <w:r w:rsidRPr="00E971A6">
        <w:rPr>
          <w:rFonts w:ascii="Calibri" w:hAnsi="Calibri" w:cs="Calibri"/>
          <w:noProof/>
          <w:szCs w:val="24"/>
        </w:rPr>
        <w:t xml:space="preserve">, </w:t>
      </w:r>
      <w:r w:rsidRPr="00E971A6">
        <w:rPr>
          <w:rFonts w:ascii="Calibri" w:hAnsi="Calibri" w:cs="Calibri"/>
          <w:i/>
          <w:iCs/>
          <w:noProof/>
          <w:szCs w:val="24"/>
        </w:rPr>
        <w:t>4</w:t>
      </w:r>
      <w:r w:rsidRPr="00E971A6">
        <w:rPr>
          <w:rFonts w:ascii="Calibri" w:hAnsi="Calibri" w:cs="Calibri"/>
          <w:noProof/>
          <w:szCs w:val="24"/>
        </w:rPr>
        <w:t>.</w:t>
      </w:r>
    </w:p>
    <w:p w14:paraId="6E950041"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Stock, W. G., &amp; Stock, M. (2013). </w:t>
      </w:r>
      <w:r w:rsidRPr="00E971A6">
        <w:rPr>
          <w:rFonts w:ascii="Calibri" w:hAnsi="Calibri" w:cs="Calibri"/>
          <w:i/>
          <w:iCs/>
          <w:noProof/>
          <w:szCs w:val="24"/>
        </w:rPr>
        <w:t>Handbook of Information Science</w:t>
      </w:r>
      <w:r w:rsidRPr="00E971A6">
        <w:rPr>
          <w:rFonts w:ascii="Calibri" w:hAnsi="Calibri" w:cs="Calibri"/>
          <w:noProof/>
          <w:szCs w:val="24"/>
        </w:rPr>
        <w:t>. Berlin: De Gruyter.</w:t>
      </w:r>
    </w:p>
    <w:p w14:paraId="6537C229"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Su, T. L., Jaki, T., Hickey, G. L., Buchan, I., &amp; Sperrin, M. (2018). A review of statistical updating methods for clinical prediction models. </w:t>
      </w:r>
      <w:r w:rsidRPr="00E971A6">
        <w:rPr>
          <w:rFonts w:ascii="Calibri" w:hAnsi="Calibri" w:cs="Calibri"/>
          <w:i/>
          <w:iCs/>
          <w:noProof/>
          <w:szCs w:val="24"/>
        </w:rPr>
        <w:t>Statistical Methods in Medical Research</w:t>
      </w:r>
      <w:r w:rsidRPr="00E971A6">
        <w:rPr>
          <w:rFonts w:ascii="Calibri" w:hAnsi="Calibri" w:cs="Calibri"/>
          <w:noProof/>
          <w:szCs w:val="24"/>
        </w:rPr>
        <w:t xml:space="preserve">, </w:t>
      </w:r>
      <w:r w:rsidRPr="00E971A6">
        <w:rPr>
          <w:rFonts w:ascii="Calibri" w:hAnsi="Calibri" w:cs="Calibri"/>
          <w:i/>
          <w:iCs/>
          <w:noProof/>
          <w:szCs w:val="24"/>
        </w:rPr>
        <w:t>27</w:t>
      </w:r>
      <w:r w:rsidRPr="00E971A6">
        <w:rPr>
          <w:rFonts w:ascii="Calibri" w:hAnsi="Calibri" w:cs="Calibri"/>
          <w:noProof/>
          <w:szCs w:val="24"/>
        </w:rPr>
        <w:t>(1), 185–197. https://doi.org/10.1177/0962280215626466</w:t>
      </w:r>
    </w:p>
    <w:p w14:paraId="2720852C"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Sujan, M. A., Habli, I., Kelly, T. P., Pozzi, S., &amp; Johnson, C. W. (2016). Should healthcare providers do safety cases? Lessons from a cross-industry review of safety case practices. </w:t>
      </w:r>
      <w:r w:rsidRPr="00E971A6">
        <w:rPr>
          <w:rFonts w:ascii="Calibri" w:hAnsi="Calibri" w:cs="Calibri"/>
          <w:i/>
          <w:iCs/>
          <w:noProof/>
          <w:szCs w:val="24"/>
        </w:rPr>
        <w:t>Safety Science</w:t>
      </w:r>
      <w:r w:rsidRPr="00E971A6">
        <w:rPr>
          <w:rFonts w:ascii="Calibri" w:hAnsi="Calibri" w:cs="Calibri"/>
          <w:noProof/>
          <w:szCs w:val="24"/>
        </w:rPr>
        <w:t xml:space="preserve">, </w:t>
      </w:r>
      <w:r w:rsidRPr="00E971A6">
        <w:rPr>
          <w:rFonts w:ascii="Calibri" w:hAnsi="Calibri" w:cs="Calibri"/>
          <w:i/>
          <w:iCs/>
          <w:noProof/>
          <w:szCs w:val="24"/>
        </w:rPr>
        <w:t>84</w:t>
      </w:r>
      <w:r w:rsidRPr="00E971A6">
        <w:rPr>
          <w:rFonts w:ascii="Calibri" w:hAnsi="Calibri" w:cs="Calibri"/>
          <w:noProof/>
          <w:szCs w:val="24"/>
        </w:rPr>
        <w:t>, 181–189. https://doi.org/10.1016/j.ssci.2015.12.021</w:t>
      </w:r>
    </w:p>
    <w:p w14:paraId="25A1C081"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Sujan, M. A., Koornneef, F., Chozos, N., Pozzi, S., &amp; Kelly, T. (2013). Safety cases for medical devices and health information technology: Involving health-care organisations in the assurance of safety. </w:t>
      </w:r>
      <w:r w:rsidRPr="00E971A6">
        <w:rPr>
          <w:rFonts w:ascii="Calibri" w:hAnsi="Calibri" w:cs="Calibri"/>
          <w:i/>
          <w:iCs/>
          <w:noProof/>
          <w:szCs w:val="24"/>
        </w:rPr>
        <w:t>Health Informatics Journal</w:t>
      </w:r>
      <w:r w:rsidRPr="00E971A6">
        <w:rPr>
          <w:rFonts w:ascii="Calibri" w:hAnsi="Calibri" w:cs="Calibri"/>
          <w:noProof/>
          <w:szCs w:val="24"/>
        </w:rPr>
        <w:t xml:space="preserve">, </w:t>
      </w:r>
      <w:r w:rsidRPr="00E971A6">
        <w:rPr>
          <w:rFonts w:ascii="Calibri" w:hAnsi="Calibri" w:cs="Calibri"/>
          <w:i/>
          <w:iCs/>
          <w:noProof/>
          <w:szCs w:val="24"/>
        </w:rPr>
        <w:t>19</w:t>
      </w:r>
      <w:r w:rsidRPr="00E971A6">
        <w:rPr>
          <w:rFonts w:ascii="Calibri" w:hAnsi="Calibri" w:cs="Calibri"/>
          <w:noProof/>
          <w:szCs w:val="24"/>
        </w:rPr>
        <w:t>(3), 165–182. https://doi.org/10.1177/1460458212462079</w:t>
      </w:r>
    </w:p>
    <w:p w14:paraId="4962CE55"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Sujan, M. A., Spurgeon, P., Cooke, M., Weale, A., Debenham, P., &amp; Cross, S. (2015). The development of safety cases for healthcare services: Practical experiences, opportunities and challenges. </w:t>
      </w:r>
      <w:r w:rsidRPr="00E971A6">
        <w:rPr>
          <w:rFonts w:ascii="Calibri" w:hAnsi="Calibri" w:cs="Calibri"/>
          <w:i/>
          <w:iCs/>
          <w:noProof/>
          <w:szCs w:val="24"/>
        </w:rPr>
        <w:t>Reliability Engineering and System Safety</w:t>
      </w:r>
      <w:r w:rsidRPr="00E971A6">
        <w:rPr>
          <w:rFonts w:ascii="Calibri" w:hAnsi="Calibri" w:cs="Calibri"/>
          <w:noProof/>
          <w:szCs w:val="24"/>
        </w:rPr>
        <w:t xml:space="preserve">, </w:t>
      </w:r>
      <w:r w:rsidRPr="00E971A6">
        <w:rPr>
          <w:rFonts w:ascii="Calibri" w:hAnsi="Calibri" w:cs="Calibri"/>
          <w:i/>
          <w:iCs/>
          <w:noProof/>
          <w:szCs w:val="24"/>
        </w:rPr>
        <w:t>140</w:t>
      </w:r>
      <w:r w:rsidRPr="00E971A6">
        <w:rPr>
          <w:rFonts w:ascii="Calibri" w:hAnsi="Calibri" w:cs="Calibri"/>
          <w:noProof/>
          <w:szCs w:val="24"/>
        </w:rPr>
        <w:t>, 200–207. https://doi.org/10.1016/j.ress.2015.03.033</w:t>
      </w:r>
    </w:p>
    <w:p w14:paraId="6E9278EE"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Wickramasinghe, N., &amp; Bodendorf, F. (Eds.). (2020). </w:t>
      </w:r>
      <w:r w:rsidRPr="00E971A6">
        <w:rPr>
          <w:rFonts w:ascii="Calibri" w:hAnsi="Calibri" w:cs="Calibri"/>
          <w:i/>
          <w:iCs/>
          <w:noProof/>
          <w:szCs w:val="24"/>
        </w:rPr>
        <w:t>Delivering Superior Health and Wellness Management with IoT and Analytics</w:t>
      </w:r>
      <w:r w:rsidRPr="00E971A6">
        <w:rPr>
          <w:rFonts w:ascii="Calibri" w:hAnsi="Calibri" w:cs="Calibri"/>
          <w:noProof/>
          <w:szCs w:val="24"/>
        </w:rPr>
        <w:t>. https://doi.org/10.1007/978-3-030-17347-0</w:t>
      </w:r>
    </w:p>
    <w:p w14:paraId="04362B71"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Widrow, B., Hartenstein, R., &amp; Hecht-Nielsen, R. (2005). Eulogy: Karl Steinbuch 1917-2005. </w:t>
      </w:r>
      <w:r w:rsidRPr="00E971A6">
        <w:rPr>
          <w:rFonts w:ascii="Calibri" w:hAnsi="Calibri" w:cs="Calibri"/>
          <w:i/>
          <w:iCs/>
          <w:noProof/>
          <w:szCs w:val="24"/>
        </w:rPr>
        <w:t>IEEE Computational Intelligence Society</w:t>
      </w:r>
      <w:r w:rsidRPr="00E971A6">
        <w:rPr>
          <w:rFonts w:ascii="Calibri" w:hAnsi="Calibri" w:cs="Calibri"/>
          <w:noProof/>
          <w:szCs w:val="24"/>
        </w:rPr>
        <w:t xml:space="preserve">, </w:t>
      </w:r>
      <w:r w:rsidRPr="00E971A6">
        <w:rPr>
          <w:rFonts w:ascii="Calibri" w:hAnsi="Calibri" w:cs="Calibri"/>
          <w:i/>
          <w:iCs/>
          <w:noProof/>
          <w:szCs w:val="24"/>
        </w:rPr>
        <w:t>5</w:t>
      </w:r>
      <w:r w:rsidRPr="00E971A6">
        <w:rPr>
          <w:rFonts w:ascii="Calibri" w:hAnsi="Calibri" w:cs="Calibri"/>
          <w:noProof/>
          <w:szCs w:val="24"/>
        </w:rPr>
        <w:t>. Retrieved from http://helios.informatik.uni-kl.de/euology.pdf</w:t>
      </w:r>
    </w:p>
    <w:p w14:paraId="2D2D2D99"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szCs w:val="24"/>
        </w:rPr>
      </w:pPr>
      <w:r w:rsidRPr="00E971A6">
        <w:rPr>
          <w:rFonts w:ascii="Calibri" w:hAnsi="Calibri" w:cs="Calibri"/>
          <w:noProof/>
          <w:szCs w:val="24"/>
        </w:rPr>
        <w:t xml:space="preserve">Wright, A., Sittig, D. F., Ash, J. S., Bates, D. W., Feblowitz, J., Fraser, G., … Middleton, B. (2011). Governance for clinical decision support: case studies and recommended practices from leading institutions. </w:t>
      </w:r>
      <w:r w:rsidRPr="00E971A6">
        <w:rPr>
          <w:rFonts w:ascii="Calibri" w:hAnsi="Calibri" w:cs="Calibri"/>
          <w:i/>
          <w:iCs/>
          <w:noProof/>
          <w:szCs w:val="24"/>
        </w:rPr>
        <w:t>J Am Med Inform Assoc 2011;18:187e194.</w:t>
      </w:r>
      <w:r w:rsidRPr="00E971A6">
        <w:rPr>
          <w:rFonts w:ascii="Calibri" w:hAnsi="Calibri" w:cs="Calibri"/>
          <w:noProof/>
          <w:szCs w:val="24"/>
        </w:rPr>
        <w:t xml:space="preserve">, </w:t>
      </w:r>
      <w:r w:rsidRPr="00E971A6">
        <w:rPr>
          <w:rFonts w:ascii="Calibri" w:hAnsi="Calibri" w:cs="Calibri"/>
          <w:i/>
          <w:iCs/>
          <w:noProof/>
          <w:szCs w:val="24"/>
        </w:rPr>
        <w:t>18</w:t>
      </w:r>
      <w:r w:rsidRPr="00E971A6">
        <w:rPr>
          <w:rFonts w:ascii="Calibri" w:hAnsi="Calibri" w:cs="Calibri"/>
          <w:noProof/>
          <w:szCs w:val="24"/>
        </w:rPr>
        <w:t>, 187–194. https://doi.org/10.1136/jamia.2009.002030</w:t>
      </w:r>
    </w:p>
    <w:p w14:paraId="393B0C1E" w14:textId="77777777" w:rsidR="00E971A6" w:rsidRPr="00E971A6" w:rsidRDefault="00E971A6" w:rsidP="00E971A6">
      <w:pPr>
        <w:widowControl w:val="0"/>
        <w:autoSpaceDE w:val="0"/>
        <w:autoSpaceDN w:val="0"/>
        <w:adjustRightInd w:val="0"/>
        <w:spacing w:line="240" w:lineRule="auto"/>
        <w:ind w:left="480" w:hanging="480"/>
        <w:rPr>
          <w:rFonts w:ascii="Calibri" w:hAnsi="Calibri" w:cs="Calibri"/>
          <w:noProof/>
        </w:rPr>
      </w:pPr>
      <w:r w:rsidRPr="00E971A6">
        <w:rPr>
          <w:rFonts w:ascii="Calibri" w:hAnsi="Calibri" w:cs="Calibri"/>
          <w:noProof/>
          <w:szCs w:val="24"/>
        </w:rPr>
        <w:t xml:space="preserve">Yaqoob, T., Abbas, H., &amp; Atiquzzaman, M. (2019). Security Vulnerabilities, Attacks, Countermeasures, and Regulations of Networked Medical Devices-A Review. </w:t>
      </w:r>
      <w:r w:rsidRPr="00E971A6">
        <w:rPr>
          <w:rFonts w:ascii="Calibri" w:hAnsi="Calibri" w:cs="Calibri"/>
          <w:i/>
          <w:iCs/>
          <w:noProof/>
          <w:szCs w:val="24"/>
        </w:rPr>
        <w:t>IEEE Communications Surveys and Tutorials</w:t>
      </w:r>
      <w:r w:rsidRPr="00E971A6">
        <w:rPr>
          <w:rFonts w:ascii="Calibri" w:hAnsi="Calibri" w:cs="Calibri"/>
          <w:noProof/>
          <w:szCs w:val="24"/>
        </w:rPr>
        <w:t xml:space="preserve">, </w:t>
      </w:r>
      <w:r w:rsidRPr="00E971A6">
        <w:rPr>
          <w:rFonts w:ascii="Calibri" w:hAnsi="Calibri" w:cs="Calibri"/>
          <w:i/>
          <w:iCs/>
          <w:noProof/>
          <w:szCs w:val="24"/>
        </w:rPr>
        <w:t>21</w:t>
      </w:r>
      <w:r w:rsidRPr="00E971A6">
        <w:rPr>
          <w:rFonts w:ascii="Calibri" w:hAnsi="Calibri" w:cs="Calibri"/>
          <w:noProof/>
          <w:szCs w:val="24"/>
        </w:rPr>
        <w:t>(4), 3723–3768. https://doi.org/10.1109/COMST.2019.2914094</w:t>
      </w:r>
    </w:p>
    <w:p w14:paraId="0CA11EC3" w14:textId="56D98AAC" w:rsidR="000B2D7E" w:rsidRPr="000B2D7E" w:rsidRDefault="000B2D7E" w:rsidP="000B2D7E">
      <w:r>
        <w:fldChar w:fldCharType="end"/>
      </w:r>
    </w:p>
    <w:sectPr w:rsidR="000B2D7E" w:rsidRPr="000B2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34A72"/>
    <w:rsid w:val="00091076"/>
    <w:rsid w:val="000B1500"/>
    <w:rsid w:val="000B2D7E"/>
    <w:rsid w:val="000C0B41"/>
    <w:rsid w:val="000C3285"/>
    <w:rsid w:val="000F3C4B"/>
    <w:rsid w:val="00106D11"/>
    <w:rsid w:val="00145866"/>
    <w:rsid w:val="00176F47"/>
    <w:rsid w:val="001D250F"/>
    <w:rsid w:val="001D63F3"/>
    <w:rsid w:val="001E6930"/>
    <w:rsid w:val="001F1F11"/>
    <w:rsid w:val="001F4ED1"/>
    <w:rsid w:val="00202BF3"/>
    <w:rsid w:val="002042AB"/>
    <w:rsid w:val="002374E8"/>
    <w:rsid w:val="00250CF3"/>
    <w:rsid w:val="002555AF"/>
    <w:rsid w:val="0026776C"/>
    <w:rsid w:val="00273975"/>
    <w:rsid w:val="00284465"/>
    <w:rsid w:val="00284512"/>
    <w:rsid w:val="00297CAF"/>
    <w:rsid w:val="002B1538"/>
    <w:rsid w:val="002B4E34"/>
    <w:rsid w:val="002C09D8"/>
    <w:rsid w:val="002D0046"/>
    <w:rsid w:val="002D033C"/>
    <w:rsid w:val="002E4B1D"/>
    <w:rsid w:val="002F4F7F"/>
    <w:rsid w:val="00300119"/>
    <w:rsid w:val="00317D7E"/>
    <w:rsid w:val="00327447"/>
    <w:rsid w:val="0033423D"/>
    <w:rsid w:val="003406D7"/>
    <w:rsid w:val="0035003E"/>
    <w:rsid w:val="00396FBF"/>
    <w:rsid w:val="003A21A3"/>
    <w:rsid w:val="003C1579"/>
    <w:rsid w:val="003D3C2C"/>
    <w:rsid w:val="003D5C61"/>
    <w:rsid w:val="003E432A"/>
    <w:rsid w:val="003F4D89"/>
    <w:rsid w:val="0042675A"/>
    <w:rsid w:val="00436C11"/>
    <w:rsid w:val="00440844"/>
    <w:rsid w:val="0044234D"/>
    <w:rsid w:val="004500F4"/>
    <w:rsid w:val="00471B5D"/>
    <w:rsid w:val="00485BDA"/>
    <w:rsid w:val="004B6407"/>
    <w:rsid w:val="004D1594"/>
    <w:rsid w:val="004D3B59"/>
    <w:rsid w:val="004E1810"/>
    <w:rsid w:val="005433AE"/>
    <w:rsid w:val="005669B6"/>
    <w:rsid w:val="0058573C"/>
    <w:rsid w:val="005951F5"/>
    <w:rsid w:val="005B1194"/>
    <w:rsid w:val="005B384E"/>
    <w:rsid w:val="005C22CE"/>
    <w:rsid w:val="005C3899"/>
    <w:rsid w:val="005D1861"/>
    <w:rsid w:val="005D5021"/>
    <w:rsid w:val="0060263F"/>
    <w:rsid w:val="00645B3A"/>
    <w:rsid w:val="00656305"/>
    <w:rsid w:val="00660180"/>
    <w:rsid w:val="00660BE3"/>
    <w:rsid w:val="00660F62"/>
    <w:rsid w:val="00664690"/>
    <w:rsid w:val="006655F1"/>
    <w:rsid w:val="00696E91"/>
    <w:rsid w:val="006A63CC"/>
    <w:rsid w:val="006B1420"/>
    <w:rsid w:val="006D4CAF"/>
    <w:rsid w:val="006F40D7"/>
    <w:rsid w:val="006F548D"/>
    <w:rsid w:val="007013C0"/>
    <w:rsid w:val="00726CBE"/>
    <w:rsid w:val="0074365C"/>
    <w:rsid w:val="00745D0A"/>
    <w:rsid w:val="007768B1"/>
    <w:rsid w:val="007E3C62"/>
    <w:rsid w:val="00806240"/>
    <w:rsid w:val="00810D0C"/>
    <w:rsid w:val="0084507D"/>
    <w:rsid w:val="00845B9A"/>
    <w:rsid w:val="00851E30"/>
    <w:rsid w:val="00865867"/>
    <w:rsid w:val="008A0035"/>
    <w:rsid w:val="008E287D"/>
    <w:rsid w:val="008F18E2"/>
    <w:rsid w:val="0091758F"/>
    <w:rsid w:val="0092381F"/>
    <w:rsid w:val="00925D03"/>
    <w:rsid w:val="0094634B"/>
    <w:rsid w:val="00970743"/>
    <w:rsid w:val="0097113D"/>
    <w:rsid w:val="00982746"/>
    <w:rsid w:val="009B3EEC"/>
    <w:rsid w:val="009D445B"/>
    <w:rsid w:val="009E6042"/>
    <w:rsid w:val="00A01C74"/>
    <w:rsid w:val="00A20FF2"/>
    <w:rsid w:val="00A37072"/>
    <w:rsid w:val="00A66B8C"/>
    <w:rsid w:val="00A85774"/>
    <w:rsid w:val="00AA168B"/>
    <w:rsid w:val="00AA3B35"/>
    <w:rsid w:val="00AA44BF"/>
    <w:rsid w:val="00AA6BB1"/>
    <w:rsid w:val="00AB2605"/>
    <w:rsid w:val="00AB3439"/>
    <w:rsid w:val="00AC4731"/>
    <w:rsid w:val="00AC7E1A"/>
    <w:rsid w:val="00AE6E53"/>
    <w:rsid w:val="00B05D6C"/>
    <w:rsid w:val="00B16CD2"/>
    <w:rsid w:val="00B23B5B"/>
    <w:rsid w:val="00B257BA"/>
    <w:rsid w:val="00B56E66"/>
    <w:rsid w:val="00B63A48"/>
    <w:rsid w:val="00BA1042"/>
    <w:rsid w:val="00BA5A47"/>
    <w:rsid w:val="00BA7B39"/>
    <w:rsid w:val="00BB64DA"/>
    <w:rsid w:val="00BC5580"/>
    <w:rsid w:val="00BE037C"/>
    <w:rsid w:val="00BE66F8"/>
    <w:rsid w:val="00BF751D"/>
    <w:rsid w:val="00C104AB"/>
    <w:rsid w:val="00C17F5B"/>
    <w:rsid w:val="00C4621B"/>
    <w:rsid w:val="00C630E0"/>
    <w:rsid w:val="00C903CD"/>
    <w:rsid w:val="00C94FC0"/>
    <w:rsid w:val="00CB61D2"/>
    <w:rsid w:val="00CC11BB"/>
    <w:rsid w:val="00D00A14"/>
    <w:rsid w:val="00D018E4"/>
    <w:rsid w:val="00D43272"/>
    <w:rsid w:val="00D432FD"/>
    <w:rsid w:val="00D55A92"/>
    <w:rsid w:val="00D6264E"/>
    <w:rsid w:val="00D70CDB"/>
    <w:rsid w:val="00D90488"/>
    <w:rsid w:val="00DB6DEE"/>
    <w:rsid w:val="00DB7CE8"/>
    <w:rsid w:val="00DC3CBB"/>
    <w:rsid w:val="00DE29AB"/>
    <w:rsid w:val="00E20652"/>
    <w:rsid w:val="00E20AE5"/>
    <w:rsid w:val="00E377E5"/>
    <w:rsid w:val="00E619A1"/>
    <w:rsid w:val="00E801B5"/>
    <w:rsid w:val="00E947B2"/>
    <w:rsid w:val="00E971A6"/>
    <w:rsid w:val="00E97300"/>
    <w:rsid w:val="00EA677C"/>
    <w:rsid w:val="00EB41D2"/>
    <w:rsid w:val="00EC0EB1"/>
    <w:rsid w:val="00EC546B"/>
    <w:rsid w:val="00EC5B1F"/>
    <w:rsid w:val="00ED7385"/>
    <w:rsid w:val="00EE1801"/>
    <w:rsid w:val="00EE6CBD"/>
    <w:rsid w:val="00F044CF"/>
    <w:rsid w:val="00F13924"/>
    <w:rsid w:val="00F33529"/>
    <w:rsid w:val="00F403E4"/>
    <w:rsid w:val="00F63C3E"/>
    <w:rsid w:val="00F700A2"/>
    <w:rsid w:val="00F90BA4"/>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chartTrackingRefBased/>
  <w15:docId w15:val="{E0496641-6E31-4892-83BC-4E3FC724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F1AF-3903-49DB-AC15-287A591AB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3.xml><?xml version="1.0" encoding="utf-8"?>
<ds:datastoreItem xmlns:ds="http://schemas.openxmlformats.org/officeDocument/2006/customXml" ds:itemID="{0024DCC9-CBAB-4943-B2F0-744E30F053E7}">
  <ds:schemaRefs>
    <ds:schemaRef ds:uri="http://purl.org/dc/elements/1.1/"/>
    <ds:schemaRef ds:uri="http://schemas.microsoft.com/office/2006/metadata/properties"/>
    <ds:schemaRef ds:uri="http://schemas.microsoft.com/office/infopath/2007/PartnerControls"/>
    <ds:schemaRef ds:uri="http://purl.org/dc/terms/"/>
    <ds:schemaRef ds:uri="bbd61249-83b9-438e-a84b-789da273a8cb"/>
    <ds:schemaRef ds:uri="http://schemas.microsoft.com/office/2006/documentManagement/types"/>
    <ds:schemaRef ds:uri="http://schemas.openxmlformats.org/package/2006/metadata/core-properties"/>
    <ds:schemaRef ds:uri="5e36aeda-f48f-46f3-9de8-7474189645c5"/>
    <ds:schemaRef ds:uri="http://www.w3.org/XML/1998/namespace"/>
    <ds:schemaRef ds:uri="http://purl.org/dc/dcmitype/"/>
  </ds:schemaRefs>
</ds:datastoreItem>
</file>

<file path=customXml/itemProps4.xml><?xml version="1.0" encoding="utf-8"?>
<ds:datastoreItem xmlns:ds="http://schemas.openxmlformats.org/officeDocument/2006/customXml" ds:itemID="{F4E75C8E-44FA-4CA2-AF4A-149DAC1B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16123</Words>
  <Characters>91903</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107811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cp:revision>
  <dcterms:created xsi:type="dcterms:W3CDTF">2020-05-07T14:27:00Z</dcterms:created>
  <dcterms:modified xsi:type="dcterms:W3CDTF">2020-05-11T14:50:00Z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https://csl.mendeley.com/styles/450365071/apa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