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DC76D" w14:textId="77777777" w:rsidR="0067312F" w:rsidRDefault="00F10EA6"/>
    <w:p w14:paraId="50B88A05" w14:textId="77777777" w:rsidR="006D4CAF" w:rsidRDefault="006D4CAF"/>
    <w:p w14:paraId="5293D175" w14:textId="4A728CE3" w:rsidR="006D4CAF" w:rsidRPr="00E97300" w:rsidRDefault="00AD4971" w:rsidP="00E97300">
      <w:pPr>
        <w:jc w:val="center"/>
        <w:rPr>
          <w:sz w:val="32"/>
        </w:rPr>
      </w:pPr>
      <w:r w:rsidRPr="00AD4971">
        <w:rPr>
          <w:sz w:val="32"/>
        </w:rPr>
        <w:t xml:space="preserve">Safety Informatics: </w:t>
      </w:r>
      <w:r w:rsidR="00BF31E9">
        <w:rPr>
          <w:sz w:val="32"/>
        </w:rPr>
        <w:t>M</w:t>
      </w:r>
      <w:r w:rsidRPr="00AD4971">
        <w:rPr>
          <w:sz w:val="32"/>
        </w:rPr>
        <w:t>eeting the patient safety challenges posed by emerging health information technologies</w:t>
      </w:r>
    </w:p>
    <w:p w14:paraId="0BD76813" w14:textId="4D1CC9D4" w:rsidR="00DC3CBB" w:rsidRDefault="00DC3CBB" w:rsidP="00DC3CBB"/>
    <w:p w14:paraId="647798EA" w14:textId="55646FF9" w:rsidR="009D0ABB" w:rsidRPr="005843D6" w:rsidRDefault="009D0ABB" w:rsidP="00DC3CBB">
      <w:pPr>
        <w:rPr>
          <w:i/>
        </w:rPr>
      </w:pPr>
      <w:r w:rsidRPr="005843D6">
        <w:rPr>
          <w:i/>
        </w:rPr>
        <w:t>Likely word count for Viewpoint or Perspective article = 2,000 words</w:t>
      </w:r>
    </w:p>
    <w:p w14:paraId="61C049F6" w14:textId="77777777" w:rsidR="0084507D" w:rsidRDefault="0084507D" w:rsidP="00F700A2">
      <w:pPr>
        <w:pStyle w:val="Heading1"/>
      </w:pPr>
      <w:r>
        <w:t>Introduction</w:t>
      </w:r>
    </w:p>
    <w:p w14:paraId="28E250E3" w14:textId="3A8D4668" w:rsidR="002C09D8" w:rsidRDefault="00977D1D" w:rsidP="003C1579">
      <w:pPr>
        <w:rPr>
          <w:color w:val="4472C4" w:themeColor="accent5"/>
        </w:rPr>
      </w:pPr>
      <w:r>
        <w:rPr>
          <w:color w:val="4472C4" w:themeColor="accent5"/>
        </w:rPr>
        <w:t xml:space="preserve">[Words &lt; 300] </w:t>
      </w:r>
      <w:r w:rsidR="003C1579" w:rsidRPr="00F700A2">
        <w:rPr>
          <w:color w:val="4472C4" w:themeColor="accent5"/>
        </w:rPr>
        <w:t>The purpose</w:t>
      </w:r>
      <w:r w:rsidR="005433AE" w:rsidRPr="00F700A2">
        <w:rPr>
          <w:color w:val="4472C4" w:themeColor="accent5"/>
        </w:rPr>
        <w:t>s</w:t>
      </w:r>
      <w:r w:rsidR="003C1579" w:rsidRPr="00F700A2">
        <w:rPr>
          <w:color w:val="4472C4" w:themeColor="accent5"/>
        </w:rPr>
        <w:t xml:space="preserve"> of this section </w:t>
      </w:r>
      <w:r w:rsidR="005433AE" w:rsidRPr="00F700A2">
        <w:rPr>
          <w:color w:val="4472C4" w:themeColor="accent5"/>
        </w:rPr>
        <w:t>are</w:t>
      </w:r>
      <w:r w:rsidR="001F4ED1" w:rsidRPr="00F700A2">
        <w:rPr>
          <w:color w:val="4472C4" w:themeColor="accent5"/>
        </w:rPr>
        <w:t xml:space="preserve"> to</w:t>
      </w:r>
      <w:r w:rsidR="009D0ABB">
        <w:rPr>
          <w:color w:val="4472C4" w:themeColor="accent5"/>
        </w:rPr>
        <w:t xml:space="preserve"> introduce</w:t>
      </w:r>
      <w:r w:rsidR="003C1579" w:rsidRPr="00F700A2">
        <w:rPr>
          <w:color w:val="4472C4" w:themeColor="accent5"/>
        </w:rPr>
        <w:t xml:space="preserve"> the collaboration series, </w:t>
      </w:r>
      <w:r w:rsidR="009D0ABB">
        <w:rPr>
          <w:color w:val="4472C4" w:themeColor="accent5"/>
        </w:rPr>
        <w:t xml:space="preserve">its motivations, </w:t>
      </w:r>
      <w:r w:rsidR="003C1579" w:rsidRPr="00F700A2">
        <w:rPr>
          <w:color w:val="4472C4" w:themeColor="accent5"/>
        </w:rPr>
        <w:t xml:space="preserve">its intentions, the need for theoretical and practical foundations, </w:t>
      </w:r>
      <w:r w:rsidR="009D0ABB">
        <w:rPr>
          <w:color w:val="4472C4" w:themeColor="accent5"/>
        </w:rPr>
        <w:t>and the structure of the article.</w:t>
      </w:r>
    </w:p>
    <w:p w14:paraId="1C2AB3B6" w14:textId="5E93DDE5" w:rsidR="009D0ABB" w:rsidRDefault="009D0ABB" w:rsidP="009D0ABB">
      <w:r>
        <w:t xml:space="preserve">Healthcare is becoming increasingly digital and connected </w:t>
      </w:r>
      <w:r>
        <w:fldChar w:fldCharType="begin" w:fldLock="1"/>
      </w:r>
      <w: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&amp; Bodendorf, 2020)","plainTextFormattedCitation":"(Wickramasinghe &amp; Bodendorf, 2020)","previouslyFormattedCitation":"(Wickramasinghe &amp; Bodendorf, 2020)"},"properties":{"noteIndex":0},"schema":"https://github.com/citation-style-language/schema/raw/master/csl-citation.json"}</w:instrText>
      </w:r>
      <w:r>
        <w:fldChar w:fldCharType="separate"/>
      </w:r>
      <w:r w:rsidRPr="00C21506">
        <w:rPr>
          <w:noProof/>
        </w:rPr>
        <w:t>(Wickramasinghe &amp; Bodendorf, 2020)</w:t>
      </w:r>
      <w:r>
        <w:fldChar w:fldCharType="end"/>
      </w:r>
      <w:r>
        <w:t xml:space="preserve">. Technologies like electronic health records, decision-support tools and handheld medical devices have been developed and used for many years with reported benefits for patient care but also with concerns for patient safety </w:t>
      </w:r>
      <w:r>
        <w:fldChar w:fldCharType="begin" w:fldLock="1"/>
      </w:r>
      <w:r>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safety","type":"article-journal"},"uris":["http://www.mendeley.com/documents/?uuid=b9db33f0-a753-4fc4-b3d8-ab0597270afd"]}],"mendeley":{"formattedCitation":"(Sittig et al., 2018)","plainTextFormattedCitation":"(Sittig et al., 2018)","previouslyFormattedCitation":"(Sittig et al., 2018)"},"properties":{"noteIndex":0},"schema":"https://github.com/citation-style-language/schema/raw/master/csl-citation.json"}</w:instrText>
      </w:r>
      <w:r>
        <w:fldChar w:fldCharType="separate"/>
      </w:r>
      <w:r w:rsidRPr="002A32FD">
        <w:rPr>
          <w:noProof/>
        </w:rPr>
        <w:t>(Sittig et al., 2018)</w:t>
      </w:r>
      <w:r>
        <w:fldChar w:fldCharType="end"/>
      </w:r>
      <w:r>
        <w:t>. It is currently unclear what the implications are for patient safety as existing health information technologies become ubiquitous with increasing pace and interact with new and emerging technologies</w:t>
      </w:r>
      <w:r w:rsidR="00DB76AA">
        <w:t xml:space="preserve"> </w:t>
      </w:r>
      <w:r w:rsidR="00DB76AA">
        <w:fldChar w:fldCharType="begin" w:fldLock="1"/>
      </w:r>
      <w:r w:rsidR="00DB76AA">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World","type":"article-journal","volume":"44"},"uris":["http://www.mendeley.com/documents/?uuid=5f79c7b6-20ae-449b-9eeb-841da126e9e2"]}],"mendeley":{"formattedCitation":"(Benbya et al., 2020)","plainTextFormattedCitation":"(Benbya et al., 2020)"},"properties":{"noteIndex":0},"schema":"https://github.com/citation-style-language/schema/raw/master/csl-citation.json"}</w:instrText>
      </w:r>
      <w:r w:rsidR="00DB76AA">
        <w:fldChar w:fldCharType="separate"/>
      </w:r>
      <w:r w:rsidR="00DB76AA" w:rsidRPr="00DB76AA">
        <w:rPr>
          <w:noProof/>
        </w:rPr>
        <w:t>(Benbya et al., 2020)</w:t>
      </w:r>
      <w:r w:rsidR="00DB76AA">
        <w:fldChar w:fldCharType="end"/>
      </w:r>
      <w:r>
        <w:t>.</w:t>
      </w:r>
    </w:p>
    <w:p w14:paraId="2029E978" w14:textId="6A5D1FA7" w:rsidR="009D0ABB" w:rsidRDefault="009D0ABB" w:rsidP="009D0ABB">
      <w:r>
        <w:t xml:space="preserve">In April 2020, we set up a </w:t>
      </w:r>
      <w:r w:rsidRPr="00AA44BF">
        <w:t>national</w:t>
      </w:r>
      <w:r>
        <w:t>,</w:t>
      </w:r>
      <w:r w:rsidRPr="00AA44BF">
        <w:t xml:space="preserve"> expert</w:t>
      </w:r>
      <w:r>
        <w:t xml:space="preserve">, consensus-building collaboration to appraise the academic evidence for patient safety in health information systems. The collaborative intended to host a series of </w:t>
      </w:r>
      <w:r w:rsidRPr="002A32FD">
        <w:t xml:space="preserve">workshops </w:t>
      </w:r>
      <w:r>
        <w:t>that</w:t>
      </w:r>
      <w:r w:rsidRPr="002A32FD">
        <w:t xml:space="preserve"> deliver publications to engage those</w:t>
      </w:r>
      <w:r>
        <w:t xml:space="preserve"> directly</w:t>
      </w:r>
      <w:r w:rsidRPr="002A32FD">
        <w:t xml:space="preserve"> involved in the delivery and study of healthcare, and to provide recommendations to address theoretical </w:t>
      </w:r>
      <w:r>
        <w:t xml:space="preserve">and </w:t>
      </w:r>
      <w:r w:rsidRPr="002A32FD">
        <w:t>practical gaps</w:t>
      </w:r>
      <w:r>
        <w:t xml:space="preserve"> in the safety of informatics</w:t>
      </w:r>
      <w:r w:rsidRPr="002A32FD">
        <w:t>.</w:t>
      </w:r>
      <w:r w:rsidRPr="009D0ABB">
        <w:t xml:space="preserve"> </w:t>
      </w:r>
      <w:r w:rsidR="004E5CE1">
        <w:t xml:space="preserve">The collaboration was </w:t>
      </w:r>
      <w:r>
        <w:t>led</w:t>
      </w:r>
      <w:r w:rsidRPr="00AA44BF">
        <w:t xml:space="preserve"> by the </w:t>
      </w:r>
      <w:r>
        <w:t>National Institute</w:t>
      </w:r>
      <w:r w:rsidRPr="00AA44BF">
        <w:t xml:space="preserve"> </w:t>
      </w:r>
      <w:r>
        <w:t>for Health Research Patient Safety Translational Research Centres from both Yorkshire and Humber, and Greater Manchester, UK; the proposal for the workshop is available at &lt;</w:t>
      </w:r>
      <w:r w:rsidRPr="00BA5A47">
        <w:rPr>
          <w:i/>
        </w:rPr>
        <w:t xml:space="preserve">link to GitHub </w:t>
      </w:r>
      <w:r>
        <w:rPr>
          <w:i/>
        </w:rPr>
        <w:t>source</w:t>
      </w:r>
      <w:r>
        <w:t>&gt;.</w:t>
      </w:r>
      <w:r w:rsidRPr="005C22CE">
        <w:t xml:space="preserve"> </w:t>
      </w:r>
      <w:r w:rsidRPr="00AA44BF">
        <w:t xml:space="preserve">The primary </w:t>
      </w:r>
      <w:r>
        <w:t xml:space="preserve">planned </w:t>
      </w:r>
      <w:r w:rsidRPr="00AA44BF">
        <w:t>deliverable from th</w:t>
      </w:r>
      <w:r>
        <w:t>e</w:t>
      </w:r>
      <w:r w:rsidRPr="00AA44BF">
        <w:t xml:space="preserve"> </w:t>
      </w:r>
      <w:r>
        <w:t>collaboration</w:t>
      </w:r>
      <w:r w:rsidRPr="00AA44BF">
        <w:t xml:space="preserve"> was</w:t>
      </w:r>
      <w:r>
        <w:t xml:space="preserve"> a set of publications that begin to define the </w:t>
      </w:r>
      <w:r w:rsidRPr="00284512">
        <w:t xml:space="preserve">field of </w:t>
      </w:r>
      <w:r w:rsidR="004E5CE1">
        <w:t>S</w:t>
      </w:r>
      <w:r w:rsidRPr="00284512">
        <w:t xml:space="preserve">afety </w:t>
      </w:r>
      <w:r w:rsidR="004E5CE1">
        <w:t>I</w:t>
      </w:r>
      <w:r w:rsidRPr="00284512">
        <w:t>nformatics and serve as a platform for future research and development</w:t>
      </w:r>
      <w:r>
        <w:t>.</w:t>
      </w:r>
    </w:p>
    <w:p w14:paraId="15B9EE8F" w14:textId="0E2BA826" w:rsidR="009D0ABB" w:rsidRPr="00F700A2" w:rsidRDefault="009D0ABB" w:rsidP="009D0ABB">
      <w:pPr>
        <w:rPr>
          <w:color w:val="4472C4" w:themeColor="accent5"/>
        </w:rPr>
      </w:pPr>
      <w:r>
        <w:t>In Section 1 of t</w:t>
      </w:r>
      <w:r w:rsidRPr="002A32FD">
        <w:t>h</w:t>
      </w:r>
      <w:r>
        <w:t>is paper, we defin</w:t>
      </w:r>
      <w:r w:rsidR="004E5CE1">
        <w:t xml:space="preserve">e the Safety Informatics domain and </w:t>
      </w:r>
      <w:r w:rsidR="004E5CE1" w:rsidRPr="002A32FD">
        <w:t>highli</w:t>
      </w:r>
      <w:r w:rsidR="004E5CE1">
        <w:t xml:space="preserve">ght the need for research in this intersection of </w:t>
      </w:r>
      <w:r>
        <w:t xml:space="preserve">safety science and health informatics. </w:t>
      </w:r>
      <w:r w:rsidR="00C87DCA">
        <w:t xml:space="preserve">Section 2 briefly presents the workshop process that produced this publication. </w:t>
      </w:r>
      <w:r>
        <w:t xml:space="preserve">In Section 3, we synthesise the </w:t>
      </w:r>
      <w:r w:rsidR="004E5CE1">
        <w:t>output of the first workshop, which addressed</w:t>
      </w:r>
      <w:r>
        <w:t xml:space="preserve"> the challenges and patient-safety implications of emerging health information technologies. Finally, Section 4 finishes with recommendations for theoretically-informed frame</w:t>
      </w:r>
      <w:r w:rsidRPr="008A6A0C">
        <w:t xml:space="preserve">works </w:t>
      </w:r>
      <w:r>
        <w:t>to</w:t>
      </w:r>
      <w:r w:rsidRPr="008A6A0C">
        <w:t xml:space="preserve"> address the</w:t>
      </w:r>
      <w:r>
        <w:t>se</w:t>
      </w:r>
      <w:r w:rsidRPr="008A6A0C">
        <w:t xml:space="preserve"> patient-safety </w:t>
      </w:r>
      <w:r>
        <w:t>implications.</w:t>
      </w:r>
    </w:p>
    <w:p w14:paraId="0342C2C5" w14:textId="5249A7D3" w:rsidR="004B6407" w:rsidRDefault="009D0ABB" w:rsidP="009D0ABB">
      <w:pPr>
        <w:pStyle w:val="Heading1"/>
      </w:pPr>
      <w:r>
        <w:t xml:space="preserve">Section 1: </w:t>
      </w:r>
      <w:r w:rsidR="005843D6">
        <w:t xml:space="preserve">Patient safety and </w:t>
      </w:r>
      <w:r>
        <w:t>Safety Informatics</w:t>
      </w:r>
    </w:p>
    <w:p w14:paraId="26123E06" w14:textId="2B595C46" w:rsidR="009667C9" w:rsidRDefault="00977D1D" w:rsidP="009667C9">
      <w:pPr>
        <w:rPr>
          <w:color w:val="4472C4" w:themeColor="accent5"/>
        </w:rPr>
      </w:pPr>
      <w:r>
        <w:rPr>
          <w:color w:val="4472C4" w:themeColor="accent5"/>
        </w:rPr>
        <w:t xml:space="preserve">[Words &lt; 700] </w:t>
      </w:r>
      <w:r w:rsidR="009667C9" w:rsidRPr="00F700A2">
        <w:rPr>
          <w:color w:val="4472C4" w:themeColor="accent5"/>
        </w:rPr>
        <w:t>The purposes of this section are to</w:t>
      </w:r>
      <w:r w:rsidR="009667C9">
        <w:rPr>
          <w:color w:val="4472C4" w:themeColor="accent5"/>
        </w:rPr>
        <w:t xml:space="preserve"> </w:t>
      </w:r>
      <w:r w:rsidR="005843D6">
        <w:rPr>
          <w:color w:val="4472C4" w:themeColor="accent5"/>
        </w:rPr>
        <w:t>1) introduce patient safety and its relationship with hea</w:t>
      </w:r>
      <w:r w:rsidR="00427C91">
        <w:rPr>
          <w:color w:val="4472C4" w:themeColor="accent5"/>
        </w:rPr>
        <w:t>l</w:t>
      </w:r>
      <w:r w:rsidR="005843D6">
        <w:rPr>
          <w:color w:val="4472C4" w:themeColor="accent5"/>
        </w:rPr>
        <w:t>th information technology, 2) define Safety Informatics and argue the case for it.</w:t>
      </w:r>
    </w:p>
    <w:p w14:paraId="2C9AA66C" w14:textId="3E1EA534" w:rsidR="0060263F" w:rsidRDefault="0060263F" w:rsidP="0060263F">
      <w:pPr>
        <w:rPr>
          <w:color w:val="FF0000"/>
        </w:rPr>
      </w:pPr>
      <w:r w:rsidRPr="0060263F">
        <w:rPr>
          <w:color w:val="FF0000"/>
        </w:rPr>
        <w:t>*Introduce patient safety</w:t>
      </w:r>
      <w:r>
        <w:rPr>
          <w:color w:val="FF0000"/>
        </w:rPr>
        <w:t xml:space="preserve"> to set the context</w:t>
      </w:r>
    </w:p>
    <w:p w14:paraId="38B48E16" w14:textId="0CCB10BC" w:rsidR="005843D6" w:rsidRDefault="005843D6" w:rsidP="0060263F">
      <w:pPr>
        <w:rPr>
          <w:color w:val="FF0000"/>
        </w:rPr>
      </w:pPr>
    </w:p>
    <w:p w14:paraId="654DB6F7" w14:textId="289E5F0A" w:rsidR="005843D6" w:rsidRDefault="005843D6" w:rsidP="0060263F">
      <w:pPr>
        <w:rPr>
          <w:color w:val="FF0000"/>
        </w:rPr>
      </w:pPr>
      <w:r>
        <w:rPr>
          <w:color w:val="FF0000"/>
        </w:rPr>
        <w:t>*Discuss the relationship between patient safety and health information technology</w:t>
      </w:r>
    </w:p>
    <w:p w14:paraId="267D37C0" w14:textId="0B41AD2F" w:rsidR="00322A06" w:rsidRDefault="00322A06" w:rsidP="0060263F">
      <w:pPr>
        <w:rPr>
          <w:color w:val="FF0000"/>
        </w:rPr>
      </w:pPr>
      <w:r>
        <w:rPr>
          <w:color w:val="FF0000"/>
        </w:rPr>
        <w:tab/>
        <w:t>**Must distinguish between health information technology and health information systems.</w:t>
      </w:r>
    </w:p>
    <w:p w14:paraId="719DA8A2" w14:textId="4F382F3F" w:rsidR="00322A06" w:rsidRDefault="00484E71" w:rsidP="00484E71">
      <w:r w:rsidRPr="00484E71">
        <w:lastRenderedPageBreak/>
        <w:t xml:space="preserve">While the patient-safety perspective on health information technology is not novel </w:t>
      </w:r>
      <w:r w:rsidRPr="00484E71">
        <w:fldChar w:fldCharType="begin" w:fldLock="1"/>
      </w:r>
      <w:r w:rsidRPr="00484E71">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Impact","type":"article-journal"},"uris":["http://www.mendeley.com/documents/?uuid=ec964fa5-0ed0-447b-8a68-770fcd4b0d8c"]}],"mendeley":{"formattedCitation":"(Gómez-González et al., 2020; Kostkova, 2015)","manualFormatting":"(e.g. Gómez-González et al., 2020; Kostkova, 2015)","plainTextFormattedCitation":"(Gómez-González et al., 2020; Kostkova, 2015)","previouslyFormattedCitation":"(Gómez-González et al., 2020; Kostkova, 2015)"},"properties":{"noteIndex":0},"schema":"https://github.com/citation-style-language/schema/raw/master/csl-citation.json"}</w:instrText>
      </w:r>
      <w:r w:rsidRPr="00484E71">
        <w:fldChar w:fldCharType="separate"/>
      </w:r>
      <w:r w:rsidRPr="00484E71">
        <w:rPr>
          <w:noProof/>
        </w:rPr>
        <w:t>(e.g. Gómez-González et al., 2020; Kostkova, 2015)</w:t>
      </w:r>
      <w:r w:rsidRPr="00484E71">
        <w:fldChar w:fldCharType="end"/>
      </w:r>
      <w:r w:rsidRPr="00484E71">
        <w:t>, the types of patient</w:t>
      </w:r>
      <w:r w:rsidRPr="00484E71">
        <w:rPr>
          <w:rFonts w:cstheme="minorHAnsi"/>
        </w:rPr>
        <w:t>-safety challenges and our capacity to address them are constantly in flux. For example, there continues to be rapid progress in the development and uptake of devices compatible with the Internet of Things: “</w:t>
      </w:r>
      <w:r w:rsidRPr="00484E71">
        <w:rPr>
          <w:rFonts w:cstheme="minorHAnsi"/>
          <w:i/>
        </w:rPr>
        <w:t>a network of devices all embedded with electronics, software, sensors, and connectivity to enable them to connect, interconnect, and exchange data</w:t>
      </w:r>
      <w:r w:rsidRPr="00484E71">
        <w:rPr>
          <w:rFonts w:cstheme="minorHAnsi"/>
        </w:rPr>
        <w:t xml:space="preserve">” </w:t>
      </w:r>
      <w:r w:rsidRPr="00484E71">
        <w:rPr>
          <w:rFonts w:cstheme="minorHAnsi"/>
        </w:rPr>
        <w:fldChar w:fldCharType="begin" w:fldLock="1"/>
      </w:r>
      <w:r w:rsidRPr="00484E71">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&amp; Bodendorf, 2020)","plainTextFormattedCitation":"(Wickramasinghe &amp; Bodendorf, 2020)","previouslyFormattedCitation":"(Wickramasinghe &amp; Bodendorf, 2020)"},"properties":{"noteIndex":0},"schema":"https://github.com/citation-style-language/schema/raw/master/csl-citation.json"}</w:instrText>
      </w:r>
      <w:r w:rsidRPr="00484E71">
        <w:rPr>
          <w:rFonts w:cstheme="minorHAnsi"/>
        </w:rPr>
        <w:fldChar w:fldCharType="separate"/>
      </w:r>
      <w:r w:rsidRPr="00484E71">
        <w:rPr>
          <w:rFonts w:cstheme="minorHAnsi"/>
          <w:noProof/>
        </w:rPr>
        <w:t>(Wickramasinghe &amp; Bodendorf, 2020)</w:t>
      </w:r>
      <w:r w:rsidRPr="00484E71">
        <w:rPr>
          <w:rFonts w:cstheme="minorHAnsi"/>
        </w:rPr>
        <w:fldChar w:fldCharType="end"/>
      </w:r>
      <w:r w:rsidRPr="00484E71">
        <w:rPr>
          <w:rFonts w:cstheme="minorHAnsi"/>
        </w:rPr>
        <w:t>. These networked devices, such as s</w:t>
      </w:r>
      <w:r w:rsidRPr="00484E71">
        <w:rPr>
          <w:rFonts w:eastAsia="Times New Roman" w:cstheme="minorHAnsi"/>
          <w:lang w:eastAsia="en-GB"/>
        </w:rPr>
        <w:t xml:space="preserve">mart continuous glucose monitors </w:t>
      </w:r>
      <w:r w:rsidRPr="00484E71">
        <w:rPr>
          <w:rFonts w:eastAsia="Times New Roman" w:cstheme="minorHAnsi"/>
          <w:lang w:eastAsia="en-GB"/>
        </w:rPr>
        <w:fldChar w:fldCharType="begin" w:fldLock="1"/>
      </w:r>
      <w:r w:rsidRPr="00484E71">
        <w:rPr>
          <w:rFonts w:eastAsia="Times New Roman" w:cstheme="minorHAnsi"/>
          <w:lang w:eastAsia="en-GB"/>
        </w:rPr>
        <w:instrText>ADDIN CSL_CITATION {"citationItems":[{"id":"ITEM-1","itemData":{"DOI":"10.3390/s16122093","ISSN":"14248220","abstract":"Continuous glucose monitoring (CGM) sensors are portable devices that allow measuring and visualizing the glucose concentration in real time almost continuously for several days and are provided with hypo/hyperglycemic alerts and glucose trend information. CGM sensors have revolutionized Type 1 diabetes (T1D) management, improving glucose control when used adjunctively to self-monitoring blood glucose systems. Furthermore, CGM devices have stimulated the development of applications that were impossible to create without a continuous-time glucose signal, e.g., real-time predictive alerts of hypo/hyperglycemic episodes based on the prediction of future glucose concentration, automatic basal insulin attenuation methods for hypoglycemia prevention, and the artificial pancreas. However, CGM sensors’ lack of accuracy and reliability limited their usability in the clinical practice, calling upon the academic community for the development of suitable signal processing methods to improve CGM performance. The aim of this paper is to review the past and present algorithmic challenges of CGM sensors, to show how they have been tackled by our research group, and to identify the possible future ones.","author":[{"dropping-particle":"","family":"Facchinetti","given":"Andrea","non-dropping-particle":"","parse-names":false,"suffix":""}],"container-title":"Sensors (Switzerland)","id":"ITEM-1","issue":"12","issued":{"date-parts":[["2016"]]},"page":"1-12","title":"Continuous glucose monitoring sensors: Past, present and future algorithmic challenges","type":"article-journal","volume":"16"},"uris":["http://www.mendeley.com/documents/?uuid=20023dc2-4458-4c35-a87d-58af4efaeeff"]}],"mendeley":{"formattedCitation":"(Facchinetti, 2016)","plainTextFormattedCitation":"(Facchinetti, 2016)","previouslyFormattedCitation":"(Facchinetti, 2016)"},"properties":{"noteIndex":0},"schema":"https://github.com/citation-style-language/schema/raw/master/csl-citation.json"}</w:instrText>
      </w:r>
      <w:r w:rsidRPr="00484E71">
        <w:rPr>
          <w:rFonts w:eastAsia="Times New Roman" w:cstheme="minorHAnsi"/>
          <w:lang w:eastAsia="en-GB"/>
        </w:rPr>
        <w:fldChar w:fldCharType="separate"/>
      </w:r>
      <w:r w:rsidRPr="00484E71">
        <w:rPr>
          <w:rFonts w:eastAsia="Times New Roman" w:cstheme="minorHAnsi"/>
          <w:noProof/>
          <w:lang w:eastAsia="en-GB"/>
        </w:rPr>
        <w:t>(Facchinetti, 2016)</w:t>
      </w:r>
      <w:r w:rsidRPr="00484E71">
        <w:rPr>
          <w:rFonts w:eastAsia="Times New Roman" w:cstheme="minorHAnsi"/>
          <w:lang w:eastAsia="en-GB"/>
        </w:rPr>
        <w:fldChar w:fldCharType="end"/>
      </w:r>
      <w:r w:rsidRPr="00484E71">
        <w:rPr>
          <w:rFonts w:eastAsia="Times New Roman" w:cstheme="minorHAnsi"/>
          <w:lang w:eastAsia="en-GB"/>
        </w:rPr>
        <w:t xml:space="preserve"> and Parkinson’s disease monitoring watches </w:t>
      </w:r>
      <w:r w:rsidRPr="00484E71">
        <w:rPr>
          <w:rFonts w:eastAsia="Times New Roman" w:cstheme="minorHAnsi"/>
          <w:lang w:eastAsia="en-GB"/>
        </w:rPr>
        <w:fldChar w:fldCharType="begin" w:fldLock="1"/>
      </w:r>
      <w:r w:rsidRPr="00484E71">
        <w:rPr>
          <w:rFonts w:eastAsia="Times New Roman" w:cstheme="minorHAnsi"/>
          <w:lang w:eastAsia="en-GB"/>
        </w:rPr>
        <w:instrText>ADDIN CSL_CITATION {"citationItems":[{"id":"ITEM-1","itemData":{"DOI":"10.1038/sdata.2016.11","ISSN":"20524463","abstract":"Current measures of health and disease are often insensitive, episodic, and subjective. Further, these measures generally are not designed to provide meaningful feedback to individuals. The impact of high-resolution activity data collected from mobile phones is only beginning to be explored. Here we present data from mPower, a clinical observational study about Parkinson disease conducted purely through an iPhone app interface. The study interrogated aspects of this movement disorder through surveys and frequent sensor-based recordings from participants with and without Parkinson disease. Benefitting from large enrollment and repeated measurements on many individuals, these data may help establish baseline variability of real-world activity measurement collected via mobile phones, and ultimately may lead to quantification of the ebbs-and-flows of Parkinson symptoms. App source code for these data collection modules are available through an open source license for use in studies of other conditions. We hope that releasing data contributed by engaged research participants will seed a new community of analysts working collaboratively on understanding mobile health data to advance human health.","author":[{"dropping-particle":"","family":"Bot","given":"Brian M.","non-dropping-particle":"","parse-names":false,"suffix":""},{"dropping-particle":"","family":"Suver","given":"Christine","non-dropping-particle":"","parse-names":false,"suffix":""},{"dropping-particle":"","family":"Neto","given":"Elias Chaibub","non-dropping-particle":"","parse-names":false,"suffix":""},{"dropping-particle":"","family":"Kellen","given":"Michael","non-dropping-particle":"","parse-names":false,"suffix":""},{"dropping-particle":"","family":"Klein","given":"Arno","non-dropping-particle":"","parse-names":false,"suffix":""},{"dropping-particle":"","family":"Bare","given":"Christopher","non-dropping-particle":"","parse-names":false,"suffix":""},{"dropping-particle":"","family":"Doerr","given":"Megan","non-dropping-particle":"","parse-names":false,"suffix":""},{"dropping-particle":"","family":"Pratap","given":"Abhishek","non-dropping-particle":"","parse-names":false,"suffix":""},{"dropping-particle":"","family":"Wilbanks","given":"John","non-dropping-particle":"","parse-names":false,"suffix":""},{"dropping-particle":"","family":"Dorsey","given":"E. Ray","non-dropping-particle":"","parse-names":false,"suffix":""},{"dropping-particle":"","family":"Friend","given":"Stephen H.","non-dropping-particle":"","parse-names":false,"suffix":""},{"dropping-particle":"","family":"Trister","given":"Andrew D.","non-dropping-particle":"","parse-names":false,"suffix":""}],"container-title":"Scientific Data","id":"ITEM-1","issued":{"date-parts":[["2016"]]},"page":"1-9","title":"The mPower study, Parkinson disease mobile data collected using ResearchKit","type":"article-journal","volume":"3"},"uris":["http://www.mendeley.com/documents/?uuid=cb1f19f0-ddfa-48f8-a6fb-57aa16a6c060"]}],"mendeley":{"formattedCitation":"(Bot et al., 2016)","plainTextFormattedCitation":"(Bot et al., 2016)","previouslyFormattedCitation":"(Bot et al., 2016)"},"properties":{"noteIndex":0},"schema":"https://github.com/citation-style-language/schema/raw/master/csl-citation.json"}</w:instrText>
      </w:r>
      <w:r w:rsidRPr="00484E71">
        <w:rPr>
          <w:rFonts w:eastAsia="Times New Roman" w:cstheme="minorHAnsi"/>
          <w:lang w:eastAsia="en-GB"/>
        </w:rPr>
        <w:fldChar w:fldCharType="separate"/>
      </w:r>
      <w:r w:rsidRPr="00484E71">
        <w:rPr>
          <w:rFonts w:eastAsia="Times New Roman" w:cstheme="minorHAnsi"/>
          <w:noProof/>
          <w:lang w:eastAsia="en-GB"/>
        </w:rPr>
        <w:t>(Bot et al., 2016)</w:t>
      </w:r>
      <w:r w:rsidRPr="00484E71">
        <w:rPr>
          <w:rFonts w:eastAsia="Times New Roman" w:cstheme="minorHAnsi"/>
          <w:lang w:eastAsia="en-GB"/>
        </w:rPr>
        <w:fldChar w:fldCharType="end"/>
      </w:r>
      <w:r w:rsidRPr="00484E71">
        <w:rPr>
          <w:rFonts w:eastAsia="Times New Roman" w:cstheme="minorHAnsi"/>
          <w:lang w:eastAsia="en-GB"/>
        </w:rPr>
        <w:t xml:space="preserve">, pose novel risks </w:t>
      </w:r>
      <w:r w:rsidRPr="00484E71">
        <w:rPr>
          <w:rFonts w:eastAsia="Times New Roman" w:cstheme="minorHAnsi"/>
          <w:lang w:eastAsia="en-GB"/>
        </w:rPr>
        <w:fldChar w:fldCharType="begin" w:fldLock="1"/>
      </w:r>
      <w:r w:rsidR="0032493D">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Devices","type":"chapter"},"uris":["http://www.mendeley.com/documents/?uuid=a4618bfc-fd02-4e6d-b47b-40177cfb5397"]}],"mendeley":{"formattedCitation":"(Paxton &amp; Branca, 2020)","plainTextFormattedCitation":"(Paxton &amp; Branca, 2020)","previouslyFormattedCitation":"(Paxton &amp; Branca, 2020)"},"properties":{"noteIndex":0},"schema":"https://github.com/citation-style-language/schema/raw/master/csl-citation.json"}</w:instrText>
      </w:r>
      <w:r w:rsidRPr="00484E71">
        <w:rPr>
          <w:rFonts w:eastAsia="Times New Roman" w:cstheme="minorHAnsi"/>
          <w:lang w:eastAsia="en-GB"/>
        </w:rPr>
        <w:fldChar w:fldCharType="separate"/>
      </w:r>
      <w:r w:rsidRPr="00484E71">
        <w:rPr>
          <w:rFonts w:eastAsia="Times New Roman" w:cstheme="minorHAnsi"/>
          <w:noProof/>
          <w:lang w:eastAsia="en-GB"/>
        </w:rPr>
        <w:t>(Paxton &amp; Branca, 2020)</w:t>
      </w:r>
      <w:r w:rsidRPr="00484E71">
        <w:rPr>
          <w:rFonts w:eastAsia="Times New Roman" w:cstheme="minorHAnsi"/>
          <w:lang w:eastAsia="en-GB"/>
        </w:rPr>
        <w:fldChar w:fldCharType="end"/>
      </w:r>
      <w:r w:rsidRPr="00484E71">
        <w:rPr>
          <w:rFonts w:eastAsia="Times New Roman" w:cstheme="minorHAnsi"/>
          <w:lang w:eastAsia="en-GB"/>
        </w:rPr>
        <w:t>. This is because w</w:t>
      </w:r>
      <w:r w:rsidR="00322A06" w:rsidRPr="00484E71">
        <w:rPr>
          <w:rFonts w:cstheme="minorHAnsi"/>
        </w:rPr>
        <w:t xml:space="preserve">hen health information technologies </w:t>
      </w:r>
      <w:r w:rsidR="007A4AE6" w:rsidRPr="00484E71">
        <w:rPr>
          <w:rFonts w:cstheme="minorHAnsi"/>
        </w:rPr>
        <w:t>interact,</w:t>
      </w:r>
      <w:r w:rsidR="00322A06" w:rsidRPr="00484E71">
        <w:rPr>
          <w:rFonts w:cstheme="minorHAnsi"/>
        </w:rPr>
        <w:t xml:space="preserve"> they form a health information system</w:t>
      </w:r>
      <w:r w:rsidR="00460357">
        <w:rPr>
          <w:rFonts w:cstheme="minorHAnsi"/>
        </w:rPr>
        <w:t xml:space="preserve"> </w:t>
      </w:r>
      <w:r w:rsidR="00460357">
        <w:rPr>
          <w:rFonts w:cstheme="minorHAnsi"/>
        </w:rPr>
        <w:fldChar w:fldCharType="begin" w:fldLock="1"/>
      </w:r>
      <w:r w:rsidR="00DB76AA">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Review","type":"paper-conference"},"uris":["http://www.mendeley.com/documents/?uuid=58cfbfc3-162c-41c6-b237-bf08453c6af3"]}],"mendeley":{"formattedCitation":"(Onik et al., 2017)","plainTextFormattedCitation":"(Onik et al., 2017)","previouslyFormattedCitation":"(Onik et al., 2017)"},"properties":{"noteIndex":0},"schema":"https://github.com/citation-style-language/schema/raw/master/csl-citation.json"}</w:instrText>
      </w:r>
      <w:r w:rsidR="00460357">
        <w:rPr>
          <w:rFonts w:cstheme="minorHAnsi"/>
        </w:rPr>
        <w:fldChar w:fldCharType="separate"/>
      </w:r>
      <w:r w:rsidR="00460357" w:rsidRPr="00460357">
        <w:rPr>
          <w:rFonts w:cstheme="minorHAnsi"/>
          <w:noProof/>
        </w:rPr>
        <w:t>(Onik et al., 2017)</w:t>
      </w:r>
      <w:r w:rsidR="00460357">
        <w:rPr>
          <w:rFonts w:cstheme="minorHAnsi"/>
        </w:rPr>
        <w:fldChar w:fldCharType="end"/>
      </w:r>
      <w:r w:rsidR="00322A06" w:rsidRPr="00484E71">
        <w:rPr>
          <w:rFonts w:cstheme="minorHAnsi"/>
        </w:rPr>
        <w:t>, which has the potential to improve patient care but also to threaten patient safety in unintended and emergent ways</w:t>
      </w:r>
      <w:r w:rsidR="007A4AE6" w:rsidRPr="00484E71">
        <w:rPr>
          <w:rFonts w:cstheme="minorHAnsi"/>
        </w:rPr>
        <w:t xml:space="preserve"> </w:t>
      </w:r>
      <w:r w:rsidR="007A4AE6" w:rsidRPr="00484E71">
        <w:rPr>
          <w:rFonts w:cstheme="minorHAnsi"/>
        </w:rPr>
        <w:fldChar w:fldCharType="begin" w:fldLock="1"/>
      </w:r>
      <w:r w:rsidR="00B80719" w:rsidRPr="00484E71">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improvisation","type":"article-journal","volume":"75"},"uris":["http://www.mendeley.com/documents/?uuid=95e3926a-08aa-45a5-9811-109d21081785"]}],"mendeley":{"formattedCitation":"(Heeks, 2006)","plainTextFormattedCitation":"(Heeks, 2006)","previouslyFormattedCitation":"(Heeks, 2006)"},"properties":{"noteIndex":0},"schema":"https://github.com/citation-style-language/schema/raw/master/csl-citation.json"}</w:instrText>
      </w:r>
      <w:r w:rsidR="007A4AE6" w:rsidRPr="00484E71">
        <w:rPr>
          <w:rFonts w:cstheme="minorHAnsi"/>
        </w:rPr>
        <w:fldChar w:fldCharType="separate"/>
      </w:r>
      <w:r w:rsidR="007A4AE6" w:rsidRPr="00484E71">
        <w:rPr>
          <w:rFonts w:cstheme="minorHAnsi"/>
          <w:noProof/>
        </w:rPr>
        <w:t>(Heeks, 2006)</w:t>
      </w:r>
      <w:r w:rsidR="007A4AE6" w:rsidRPr="00484E71">
        <w:rPr>
          <w:rFonts w:cstheme="minorHAnsi"/>
        </w:rPr>
        <w:fldChar w:fldCharType="end"/>
      </w:r>
      <w:r w:rsidR="00322A06" w:rsidRPr="00484E71">
        <w:rPr>
          <w:rFonts w:cstheme="minorHAnsi"/>
        </w:rPr>
        <w:t>. It is for this reason that</w:t>
      </w:r>
      <w:r w:rsidR="00322A06">
        <w:t xml:space="preserve"> standards and regulations for medical device</w:t>
      </w:r>
      <w:r w:rsidR="007A4AE6">
        <w:t xml:space="preserve">s </w:t>
      </w:r>
      <w:r w:rsidR="0022366B">
        <w:t xml:space="preserve">now </w:t>
      </w:r>
      <w:r w:rsidR="007A4AE6">
        <w:t xml:space="preserve">recognise the need for a systems perspective and </w:t>
      </w:r>
      <w:r w:rsidR="00322A06">
        <w:t xml:space="preserve">consider system configurations and processes for device integration </w:t>
      </w:r>
      <w:r w:rsidR="007A4AE6">
        <w:fldChar w:fldCharType="begin" w:fldLock="1"/>
      </w:r>
      <w:r w:rsidR="000C78E4">
        <w:instrText>ADDIN CSL_CITATION {"citationItems":[{"id":"ITEM-1","itemData":{"author":[{"dropping-particle":"","family":"IEC","given":"","non-dropping-particle":"","parse-names":false,"suffix":""}],"id":"ITEM-1","issued":{"date-parts":[["2011"]]},"publisher":"International Electrotechnical Commission","publisher-place":"Geneva","title":"International Electrotechnical Commission 80001:2011. Application of risk management to information technology (IT) networks incorporating medical devices","type":"article"},"uris":["http://www.mendeley.com/documents/?uuid=a28a89e9-35f4-4897-90f7-90f1cda4a455"]},{"id":"ITEM-2","itemData":{"author":[{"dropping-particle":"","family":"IEC","given":"","non-dropping-particle":"","parse-names":false,"suffix":""}],"id":"ITEM-2","issued":{"date-parts":[["2006"]]},"publisher":"International Electrotechnical Commission","publisher-place":"Geneva","title":"International Electrotechnical Commission 62304:2006. Medical device software–Software life-cycle processes","type":"article"},"uris":["http://www.mendeley.com/documents/?uuid=5a7cc62c-acf4-4046-b490-47a74e56e7ba"]},{"id":"ITEM-3","itemData":{"author":[{"dropping-particle":"","family":"IEC","given":"","non-dropping-particle":"","parse-names":false,"suffix":""}],"id":"ITEM-3","issued":{"date-parts":[["2009"]]},"publisher":"International Electrotechnical Commission","publisher-place":"Geneva","title":"International Electrotechnical Commission PD IEC/TR 80002:2009. Medical device software.","type":"article"},"uris":["http://www.mendeley.com/documents/?uuid=6e68e4ad-b1cd-4bff-877a-bbf663fa7d29"]},{"id":"ITEM-4","itemData":{"DOI":"10.1177/1460458211432587","ISSN":"14604582","abstract":"In an effort to improve patient safety and reduce adverse events, there has been a rapid growth in the utilisation of health information technology (HIT). However, little work has examined the safety of the HIT systems themselves, the methods used in their development or the potential errors they may introduce into existing systems. This article introduces the conventional safety-related systems development standard IEC 61508 to the medical domain. It is proposed that the techniques used in conventional safety-related systems development should be utilised by regulation bodies, healthcare organisations and HIT developers to provide an assurance of safety for HIT systems. In adopting the IEC 61508 methodology for HIT development and integration, inherent problems in the new systems can be identified and corrected during their development. Also, IEC 61508 should be used to develop a healthcare-specific standard to allow stakeholders to provide an assurance of a system's safety. © The Author(s) 2012.","author":[{"dropping-particle":"","family":"Chadwick","given":"Liam","non-dropping-particle":"","parse-names":false,"suffix":""},{"dropping-particle":"","family":"Fallon","given":"Enda F.","non-dropping-particle":"","parse-names":false,"suffix":""},{"dropping-particle":"","family":"Putten","given":"Wil J.","non-dropping-particle":"Van Der","parse-names":false,"suffix":""},{"dropping-particle":"","family":"Kirrane","given":"Frank","non-dropping-particle":"","parse-names":false,"suffix":""}],"container-title":"Health Informatics Journal","id":"ITEM-4","issue":"1","issued":{"date-parts":[["2012"]]},"page":"36-49","title":"Functional safety of health information technology","type":"article-journal","volume":"18"},"uris":["http://www.mendeley.com/documents/?uuid=9eb62e2d-ca15-4396-bd41-54d7a04db78d"]}],"mendeley":{"formattedCitation":"(Chadwick et al., 2012; IEC, 2006, 2009, 2011)","manualFormatting":"(e.g. IEC, 2006, 2009, 2011; see Chadwick et al., 2012 for discussion)","plainTextFormattedCitation":"(Chadwick et al., 2012; IEC, 2006, 2009, 2011)","previouslyFormattedCitation":"(Chadwick et al., 2012; IEC, 2006, 2009, 2011)"},"properties":{"noteIndex":0},"schema":"https://github.com/citation-style-language/schema/raw/master/csl-citation.json"}</w:instrText>
      </w:r>
      <w:r w:rsidR="007A4AE6">
        <w:fldChar w:fldCharType="separate"/>
      </w:r>
      <w:r w:rsidR="00B80719">
        <w:rPr>
          <w:noProof/>
        </w:rPr>
        <w:t xml:space="preserve">(e.g. </w:t>
      </w:r>
      <w:r w:rsidR="00B80719" w:rsidRPr="00B80719">
        <w:rPr>
          <w:noProof/>
        </w:rPr>
        <w:t>IEC, 2006, 2009, 2011</w:t>
      </w:r>
      <w:r w:rsidR="00B80719">
        <w:rPr>
          <w:noProof/>
        </w:rPr>
        <w:t>; see Chadwick et al., 2012 for discussion</w:t>
      </w:r>
      <w:r w:rsidR="00B80719" w:rsidRPr="00B80719">
        <w:rPr>
          <w:noProof/>
        </w:rPr>
        <w:t>)</w:t>
      </w:r>
      <w:r w:rsidR="007A4AE6">
        <w:fldChar w:fldCharType="end"/>
      </w:r>
      <w:r w:rsidR="007A4AE6">
        <w:t>.</w:t>
      </w:r>
      <w:r w:rsidR="000C78E4">
        <w:t xml:space="preserve"> </w:t>
      </w:r>
      <w:r w:rsidR="000C78E4">
        <w:fldChar w:fldCharType="begin" w:fldLock="1"/>
      </w:r>
      <w:r w:rsidR="000C78E4">
        <w:instrText>ADDIN CSL_CITATION {"citationItems":[{"id":"ITEM-1","itemData":{"DOI":"10.1109/COMST.2019.2914094","ISSN":"1553877X","abstract":"Over the last few years, healthcare administrations have been digitizing their provision of care that led to an increased number of networked medical devices and medical telemetry. Due to such digitization, medical devices have made phenomenal strides in the course of the last half-century. These networked medical devices have enhanced the quality and accessibility of health treatments by achieving pervasive healthcare vision. Moreover, these devices have transformed the canvas of medical treatments and improved the lives of the masses. Such innovation, as a result, assisted in paving the way for reliable healthcare facilities through the introduction of new areas of therapeutic and diagnostic treatments. Medical devices, nowadays, are portable, networked, and capable enough to facilitate human lives. The refined quality and variety of these devices put forward a promising future. However, on the other hand, the healthcare sector is experiencing the greatest amount of security breaches due to the presence of security flaws in medical devices. As these devices are no longer standalone systems and are network-connected, the attack surface has increased profoundly. Actually, devices in practice were designed, developed, and disseminated long ago. Therefore, they were not developed from the ground up with security as a vital design constraint. The flaws present in these devices have acquired the consideration of researchers from both industry and academia. In this paper, we studied security vulnerabilities present in state-of-the-art medical devices by studying security tests and the attacks demonstrated by the researchers on more than a hundred devices. Finally, some state-of-the-art solutions and countermeasures along with applicable regulations in literature were also studied and analyzed. Since these devices are life-critical and can even cause the death of a patient, therefore, this survey is significant as it can assist researchers to get an overview of loopholes present in medical devices and existing countermeasures. We concluded this survey paper with some open research areas that should be properly considered in order to secure these life-critical medical devices.","author":[{"dropping-particle":"","family":"Yaqoob","given":"Tehreem","non-dropping-particle":"","parse-names":false,"suffix":""},{"dropping-particle":"","family":"Abbas","given":"Haider","non-dropping-particle":"","parse-names":false,"suffix":""},{"dropping-particle":"","family":"Atiquzzaman","given":"Mohammed","non-dropping-particle":"","parse-names":false,"suffix":""}],"container-title":"IEEE Communications Surveys and Tutorials","id":"ITEM-1","issue":"4","issued":{"date-parts":[["2019"]]},"page":"3723-3768","title":"Security Vulnerabilities, Attacks, Countermeasures, and Regulations of Networked Medical Devices-A Review","type":"article-journal","volume":"21"},"uris":["http://www.mendeley.com/documents/?uuid=f5553b4b-06dc-496b-bfb6-6c06cfae5af6"]}],"mendeley":{"formattedCitation":"(Yaqoob et al., 2019)","manualFormatting":"Yaqoob et al. (2019)","plainTextFormattedCitation":"(Yaqoob et al., 2019)","previouslyFormattedCitation":"(Yaqoob et al., 2019)"},"properties":{"noteIndex":0},"schema":"https://github.com/citation-style-language/schema/raw/master/csl-citation.json"}</w:instrText>
      </w:r>
      <w:r w:rsidR="000C78E4">
        <w:fldChar w:fldCharType="separate"/>
      </w:r>
      <w:r w:rsidR="000C78E4" w:rsidRPr="00E971A6">
        <w:rPr>
          <w:noProof/>
        </w:rPr>
        <w:t xml:space="preserve">Yaqoob et al. </w:t>
      </w:r>
      <w:r w:rsidR="000C78E4">
        <w:rPr>
          <w:noProof/>
        </w:rPr>
        <w:t>(</w:t>
      </w:r>
      <w:r w:rsidR="000C78E4" w:rsidRPr="00E971A6">
        <w:rPr>
          <w:noProof/>
        </w:rPr>
        <w:t>2019)</w:t>
      </w:r>
      <w:r w:rsidR="000C78E4">
        <w:fldChar w:fldCharType="end"/>
      </w:r>
      <w:r w:rsidR="000C78E4">
        <w:t xml:space="preserve"> provide a lengthy report on the security and regulatory vulnerabilities associated with networked medical devices, while </w:t>
      </w:r>
      <w:r w:rsidR="000C78E4">
        <w:fldChar w:fldCharType="begin" w:fldLock="1"/>
      </w:r>
      <w:r>
        <w:instrText>ADDIN CSL_CITATION {"citationItems":[{"id":"ITEM-1","itemData":{"ISBN":"9783319303680","author":[{"dropping-particle":"","family":"Benson","given":"Tim","non-dropping-particle":"","parse-names":false,"suffix":""},{"dropping-particle":"","family":"Grieve","given":"Grahame","non-dropping-particle":"","parse-names":false,"suffix":""}],"edition":"3rd","id":"ITEM-1","issued":{"date-parts":[["2016"]]},"publisher":"Springer","publisher-place":"London, UK","title":"Principles of Health Interoperability: SNOMED CT, HL7 and FHIR","type":"book"},"uris":["http://www.mendeley.com/documents/?uuid=5580623e-818a-4504-a50a-fe8a71eb15aa"]}],"mendeley":{"formattedCitation":"(Benson &amp; Grieve, 2016)","manualFormatting":"Benson and Grieve (2016)","plainTextFormattedCitation":"(Benson &amp; Grieve, 2016)","previouslyFormattedCitation":"(Benson &amp; Grieve, 2016)"},"properties":{"noteIndex":0},"schema":"https://github.com/citation-style-language/schema/raw/master/csl-citation.json"}</w:instrText>
      </w:r>
      <w:r w:rsidR="000C78E4">
        <w:fldChar w:fldCharType="separate"/>
      </w:r>
      <w:r w:rsidR="000C78E4">
        <w:rPr>
          <w:noProof/>
        </w:rPr>
        <w:t>Benson and Grieve (</w:t>
      </w:r>
      <w:r w:rsidR="000C78E4" w:rsidRPr="000C78E4">
        <w:rPr>
          <w:noProof/>
        </w:rPr>
        <w:t>2016)</w:t>
      </w:r>
      <w:r w:rsidR="000C78E4">
        <w:fldChar w:fldCharType="end"/>
      </w:r>
      <w:r w:rsidR="000C78E4">
        <w:t xml:space="preserve"> provide a thorough discussion of the principles of health interoperability.</w:t>
      </w:r>
    </w:p>
    <w:p w14:paraId="3BB0EAC7" w14:textId="544980FE" w:rsidR="0032493D" w:rsidRDefault="00484E71" w:rsidP="0032493D">
      <w:pPr>
        <w:rPr>
          <w:color w:val="4472C4" w:themeColor="accent5"/>
        </w:rPr>
      </w:pPr>
      <w:r>
        <w:t xml:space="preserve">Other challenges posed by </w:t>
      </w:r>
      <w:r w:rsidR="00D10464">
        <w:t xml:space="preserve">an increasingly-complex </w:t>
      </w:r>
      <w:r w:rsidRPr="0032493D">
        <w:t xml:space="preserve">health information </w:t>
      </w:r>
      <w:r w:rsidR="00D10464">
        <w:t xml:space="preserve">system </w:t>
      </w:r>
      <w:r w:rsidRPr="0032493D">
        <w:t>include</w:t>
      </w:r>
      <w:r w:rsidR="004E5CE1">
        <w:t>:</w:t>
      </w:r>
      <w:r w:rsidRPr="0032493D">
        <w:t xml:space="preserve"> </w:t>
      </w:r>
      <w:r w:rsidR="00D10464">
        <w:t xml:space="preserve">innovations </w:t>
      </w:r>
      <w:r w:rsidRPr="0032493D">
        <w:t xml:space="preserve">that are not likely to be equally affordable nor available for all </w:t>
      </w:r>
      <w:r w:rsidRPr="0032493D">
        <w:fldChar w:fldCharType="begin" w:fldLock="1"/>
      </w:r>
      <w:r w:rsidRPr="0032493D">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paradigm","type":"article-journal","volume":"2"},"uris":["http://www.mendeley.com/documents/?uuid=6adeb88a-46df-4394-918b-076c3e901b49"]}],"mendeley":{"formattedCitation":"(Banerjee, 2019; Lupton, 2017; McAuley, 2014; Robinson et al., 2015)","plainTextFormattedCitation":"(Banerjee, 2019; Lupton, 2017; McAuley, 2014; Robinson et al., 2015)","previouslyFormattedCitation":"(Banerjee, 2019; Lupton, 2017; McAuley, 2014; Robinson et al., 2015)"},"properties":{"noteIndex":0},"schema":"https://github.com/citation-style-language/schema/raw/master/csl-citation.json"}</w:instrText>
      </w:r>
      <w:r w:rsidRPr="0032493D">
        <w:fldChar w:fldCharType="separate"/>
      </w:r>
      <w:r w:rsidRPr="0032493D">
        <w:rPr>
          <w:noProof/>
        </w:rPr>
        <w:t>(Banerjee, 2019; Lupton, 2017; McAuley, 2014; Robinson et al., 2015)</w:t>
      </w:r>
      <w:r w:rsidRPr="0032493D">
        <w:fldChar w:fldCharType="end"/>
      </w:r>
      <w:r w:rsidRPr="0032493D">
        <w:t xml:space="preserve">; </w:t>
      </w:r>
      <w:r w:rsidR="0032493D" w:rsidRPr="0032493D">
        <w:t xml:space="preserve">the transient relevance of algorithms and models </w:t>
      </w:r>
      <w:r w:rsidR="0032493D" w:rsidRPr="0032493D">
        <w:fldChar w:fldCharType="begin" w:fldLock="1"/>
      </w:r>
      <w:r w:rsidR="0032493D" w:rsidRPr="0032493D">
        <w:instrText>ADDIN CSL_CITATION {"citationItems":[{"id":"ITEM-1","itemData":{"DOI":"10.1093/ejcts/ezs584","ISSN":"10107940","abstract":"Objectives: Progressive loss of calibration of the original EuroSCORE models has necessitated the introduction of the EuroSCORE II model. Poor model calibration has important implications for clinical decision-making and risk adjustment of governance analyses. The objective of this study was to explore the reasons for the calibration drift of the logistic EuroSCORE. Methods: Data from the Society for Cardiothoracic Surgery in Great Britain and Ireland database were analysed for procedures performed at all National Health Service and some private hospitals in England and Wales between April 2001 and March 2011. The primary outcome was in-hospital mortality. EuroSCORE risk factors, overall model calibration and discrimination were assessed over time. Results: A total of 317 292 procedures were included. Over the study period, mean age at surgery increased from 64.6 to 67.2 years. The proportion of procedures that were isolated coronary artery bypass grafts decreased from 67.5 to 51.2%. In-hospital mortality fell from 4.1 to 2.8%, but the mean logistic EuroSCORE increased from 5.6 to 7.6%. The logistic EuroSCORE remained a good discriminant throughout the study period (area under the receiver-operating characteristic curve between 0.79 and 0.85), but calibration (observedto-expected mortality ratio) fell from 0.76 to 0.37. Inadequate adjustment for decreasing baseline risk affected calibration considerably. Discussions: Patient risk factors and case-mix in adult cardiac surgery change dynamically over time. Models like the EuroSCORE that are developed using a 'snapshot' of data in time do not account for this and can subsequently lose calibration. It is therefore important to regularly revalidate clinical prediction models. © The Author 2012. Published by Oxford University Press on behalf of the European Association for Cardio-Thoracic Surgery. All rights reserved.","author":[{"dropping-particle":"","family":"Hickey","given":"Graeme L.","non-dropping-particle":"","parse-names":false,"suffix":""},{"dropping-particle":"","family":"Grant","given":"Stuart W.","non-dropping-particle":"","parse-names":false,"suffix":""},{"dropping-particle":"","family":"Murphy","given":"Gavin J.","non-dropping-particle":"","parse-names":false,"suffix":""},{"dropping-particle":"","family":"Bhabra","given":"Moninder","non-dropping-particle":"","parse-names":false,"suffix":""},{"dropping-particle":"","family":"Pagano","given":"Domenico","non-dropping-particle":"","parse-names":false,"suffix":""},{"dropping-particle":"","family":"McAllister","given":"Katherine","non-dropping-particle":"","parse-names":false,"suffix":""},{"dropping-particle":"","family":"Buchan","given":"Iain","non-dropping-particle":"","parse-names":false,"suffix":""},{"dropping-particle":"","family":"Bridgewater","given":"Ben","non-dropping-particle":"","parse-names":false,"suffix":""}],"container-title":"European Journal of Cardio-thoracic Surgery","id":"ITEM-1","issue":"6","issued":{"date-parts":[["2013"]]},"page":"1146-1152","title":"Dynamic trends in cardiac surgery: Why the logistic euroscore is no longer suitable for contemporary cardiac surgery and implications for future risk models","type":"article-journal","volume":"43"},"uris":["http://www.mendeley.com/documents/?uuid=d791c6e1-841d-4124-b3d2-39668bb64d54"]},{"id":"ITEM-2","itemData":{"DOI":"10.1161/CIRCOUTCOMES.111.000012","ISSN":"19417713","abstract":"Background-The calibration of several cardiac clinical prediction models has deteriorated over time. We compare different model fitting approaches for in-hospital mortality after cardiac surgery that adjust for cross-sectional case mix in a heterogeneous patient population. Methods and Results-Data from &gt;300 000 consecutive cardiac surgery procedures performed at all National Health Service and some private hospitals in England and Wales between April 2001 and March 2011 were extracted from the National Institute for Cardiovascular Outcomes Research clinical registry. The study outcome was in-hospital mortality. Model approaches included not updating, periodic refitting, rolling window, and dynamic logistic regression. Covariate adjustment was made in each model using variables included in the logistic European System for Cardiac Operative Risk Evaluation model. The association between in-hospital mortality and some variables changed with time. Notably, the intercept coefficient has been steadily decreasing during the study period, consistent with decreasing observed mortality. Some risk factors, such as operative urgency and postinfarct ventricular septal defect, have been relatively stable over time, whereas other risk factors, such as left ventricular function and surgery on the thoracic aorta, have been associated with lower risk relative to the static model. Conclusions-Dynamic models or periodic model refitting is necessary to counteract calibration drift. A dynamic modeling framework that uses contemporary and available historic data can provide a continuously smooth update mechanism that also allows for inferences to be made on individual risk factors. Better models that withstand the effects of time give advantages for governance, quality improvement, and patient-level decision making. © 2013 American Heart Association, Inc.","author":[{"dropping-particle":"","family":"Hickey","given":"Graeme L.","non-dropping-particle":"","parse-names":false,"suffix":""},{"dropping-particle":"","family":"Grant","given":"Stuart W.","non-dropping-particle":"","parse-names":false,"suffix":""},{"dropping-particle":"","family":"Caiado","given":"Camila","non-dropping-particle":"","parse-names":false,"suffix":""},{"dropping-particle":"","family":"Kendall","given":"Simon","non-dropping-particle":"","parse-names":false,"suffix":""},{"dropping-particle":"","family":"Dunning","given":"Joel","non-dropping-particle":"","parse-names":false,"suffix":""},{"dropping-particle":"","family":"Poullis","given":"Michael","non-dropping-particle":"","parse-names":false,"suffix":""},{"dropping-particle":"","family":"Buchan","given":"Iain","non-dropping-particle":"","parse-names":false,"suffix":""},{"dropping-particle":"","family":"Bridgewater","given":"Ben","non-dropping-particle":"","parse-names":false,"suffix":""}],"container-title":"Circulation: Cardiovascular Quality and Outcomes","id":"ITEM-2","issue":"6","issued":{"date-parts":[["2013"]]},"page":"649-658","title":"Dynamic prediction modeling approaches for cardiac surgery","type":"article-journal","volume":"6"},"uris":["http://www.mendeley.com/documents/?uuid=d9d9cc3f-3960-4206-8469-e61e4594d41a"]},{"id":"ITEM-3","itemData":{"DOI":"10.1186/s41512-018-0045-2","ISSN":"2397-7523","abstract":"Disease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Research","id":"ITEM-3","issue":"1","issued":{"date-parts":[["2018"]]},"page":"1-9","publisher":"Diagnostic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challenges","type":"article-journal","volume":"2"},"uris":["http://www.mendeley.com/documents/?uuid=5f177760-32d1-4342-8db9-b9dd93883188"]}],"mendeley":{"formattedCitation":"(Hickey, Grant, Caiado, et al., 2013; Hickey, Grant, Murphy, et al., 2013; Jenkins et al., 2018)","plainTextFormattedCitation":"(Hickey, Grant, Caiado, et al., 2013; Hickey, Grant, Murphy, et al., 2013; Jenkins et al., 2018)","previouslyFormattedCitation":"(Hickey, Grant, Caiado, et al., 2013; Hickey, Grant, Murphy, et al., 2013; Jenkins et al., 2018)"},"properties":{"noteIndex":0},"schema":"https://github.com/citation-style-language/schema/raw/master/csl-citation.json"}</w:instrText>
      </w:r>
      <w:r w:rsidR="0032493D" w:rsidRPr="0032493D">
        <w:fldChar w:fldCharType="separate"/>
      </w:r>
      <w:r w:rsidR="0032493D" w:rsidRPr="0032493D">
        <w:rPr>
          <w:noProof/>
        </w:rPr>
        <w:t>(Hickey, Grant, Caiado, et al., 2013; Hickey, Grant, Murphy, et al., 2013; Jenkins et al., 2018)</w:t>
      </w:r>
      <w:r w:rsidR="0032493D" w:rsidRPr="0032493D">
        <w:fldChar w:fldCharType="end"/>
      </w:r>
      <w:r w:rsidR="0032493D" w:rsidRPr="0032493D">
        <w:t xml:space="preserve">; a continued lack of </w:t>
      </w:r>
      <w:r w:rsidR="0032493D">
        <w:t>sufficient</w:t>
      </w:r>
      <w:r w:rsidR="0032493D" w:rsidRPr="0032493D">
        <w:t xml:space="preserve"> testing, despite </w:t>
      </w:r>
      <w:r w:rsidR="0032493D">
        <w:t xml:space="preserve">early </w:t>
      </w:r>
      <w:r w:rsidR="0032493D" w:rsidRPr="0032493D">
        <w:t xml:space="preserve">calls </w:t>
      </w:r>
      <w:r w:rsidR="0032493D" w:rsidRPr="0032493D">
        <w:fldChar w:fldCharType="begin" w:fldLock="1"/>
      </w:r>
      <w:r w:rsidR="00D10464">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How","type":"article-journal","volume":"18"},"uris":["http://www.mendeley.com/documents/?uuid=d71aed0d-fd25-4e47-9445-55165c52412b"]}],"mendeley":{"formattedCitation":"(Leveson, 1986)","plainTextFormattedCitation":"(Leveson, 1986)","previouslyFormattedCitation":"(Leveson, 1986)"},"properties":{"noteIndex":0},"schema":"https://github.com/citation-style-language/schema/raw/master/csl-citation.json"}</w:instrText>
      </w:r>
      <w:r w:rsidR="0032493D" w:rsidRPr="0032493D">
        <w:fldChar w:fldCharType="separate"/>
      </w:r>
      <w:r w:rsidR="0032493D" w:rsidRPr="0032493D">
        <w:rPr>
          <w:noProof/>
        </w:rPr>
        <w:t>(Leveson, 1986)</w:t>
      </w:r>
      <w:r w:rsidR="0032493D" w:rsidRPr="0032493D">
        <w:fldChar w:fldCharType="end"/>
      </w:r>
      <w:r w:rsidR="00D10464">
        <w:t xml:space="preserve">; and societal challenges like an aging population </w:t>
      </w:r>
      <w:r w:rsidR="00D10464">
        <w:fldChar w:fldCharType="begin" w:fldLock="1"/>
      </w:r>
      <w:r w:rsidR="000D3D43">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geriatrics","type":"article-journal","volume":"47"},"uris":["http://www.mendeley.com/documents/?uuid=4fddf44a-5c45-4393-85ba-8be54d4006a9"]}],"mendeley":{"formattedCitation":"(Pilotto et al., 2018)","plainTextFormattedCitation":"(Pilotto et al., 2018)","previouslyFormattedCitation":"(Pilotto et al., 2018)"},"properties":{"noteIndex":0},"schema":"https://github.com/citation-style-language/schema/raw/master/csl-citation.json"}</w:instrText>
      </w:r>
      <w:r w:rsidR="00D10464">
        <w:fldChar w:fldCharType="separate"/>
      </w:r>
      <w:r w:rsidR="00D10464" w:rsidRPr="00D10464">
        <w:rPr>
          <w:noProof/>
        </w:rPr>
        <w:t>(Pilotto et al., 2018)</w:t>
      </w:r>
      <w:r w:rsidR="00D10464">
        <w:fldChar w:fldCharType="end"/>
      </w:r>
      <w:r w:rsidR="00427C91">
        <w:t>,</w:t>
      </w:r>
      <w:r w:rsidR="000D3D43">
        <w:t xml:space="preserve"> and legal and political jurisdiction </w:t>
      </w:r>
      <w:r w:rsidR="000D3D43">
        <w:fldChar w:fldCharType="begin" w:fldLock="1"/>
      </w:r>
      <w:r w:rsidR="001809FF">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policies","type":"book"},"uris":["http://www.mendeley.com/documents/?uuid=45231791-33b2-4d24-aae2-c2b6dec49197"]}],"mendeley":{"formattedCitation":"(Wismar et al., 2011)","plainTextFormattedCitation":"(Wismar et al., 2011)","previouslyFormattedCitation":"(Wismar et al., 2011)"},"properties":{"noteIndex":0},"schema":"https://github.com/citation-style-language/schema/raw/master/csl-citation.json"}</w:instrText>
      </w:r>
      <w:r w:rsidR="000D3D43">
        <w:fldChar w:fldCharType="separate"/>
      </w:r>
      <w:r w:rsidR="000D3D43" w:rsidRPr="000D3D43">
        <w:rPr>
          <w:noProof/>
        </w:rPr>
        <w:t>(Wismar et al., 2011)</w:t>
      </w:r>
      <w:r w:rsidR="000D3D43">
        <w:fldChar w:fldCharType="end"/>
      </w:r>
      <w:r w:rsidR="000D3D43">
        <w:t>.</w:t>
      </w:r>
      <w:r w:rsidR="00427C91">
        <w:t xml:space="preserve"> Each of these challenges has </w:t>
      </w:r>
      <w:r w:rsidR="004E5CE1">
        <w:t xml:space="preserve">some </w:t>
      </w:r>
      <w:r w:rsidR="00427C91">
        <w:t>unknown implications for patient safety, which is why there is a need for rigorous study of the relationship between health information systems and patient safety: a safety informatics.</w:t>
      </w:r>
    </w:p>
    <w:p w14:paraId="3824A9E3" w14:textId="1049EC9C" w:rsidR="005843D6" w:rsidRDefault="005843D6" w:rsidP="0060263F"/>
    <w:p w14:paraId="1687FA30" w14:textId="294E97A7" w:rsidR="00FB2A79" w:rsidRDefault="00FB2A79" w:rsidP="00FB2A79">
      <w:pPr>
        <w:rPr>
          <w:color w:val="FF0000"/>
        </w:rPr>
      </w:pPr>
      <w:r w:rsidRPr="00004E11">
        <w:rPr>
          <w:color w:val="FF0000"/>
        </w:rPr>
        <w:t>*</w:t>
      </w:r>
      <w:r>
        <w:rPr>
          <w:color w:val="FF0000"/>
        </w:rPr>
        <w:t>What is Safety Informatics and why do we need it?*</w:t>
      </w:r>
    </w:p>
    <w:p w14:paraId="7995B1AA" w14:textId="6C9BA4C8" w:rsidR="00FB2A79" w:rsidRDefault="005843D6" w:rsidP="005843D6">
      <w:pPr>
        <w:ind w:firstLine="720"/>
      </w:pPr>
      <w:r>
        <w:rPr>
          <w:color w:val="FF0000"/>
        </w:rPr>
        <w:t>*</w:t>
      </w:r>
      <w:r w:rsidR="00FB2A79">
        <w:rPr>
          <w:color w:val="FF0000"/>
        </w:rPr>
        <w:t>*</w:t>
      </w:r>
      <w:r w:rsidR="00AD734F">
        <w:rPr>
          <w:color w:val="FF0000"/>
        </w:rPr>
        <w:t xml:space="preserve">Suggestion: </w:t>
      </w:r>
      <w:r w:rsidR="00FB2A79" w:rsidRPr="00004E11">
        <w:rPr>
          <w:color w:val="FF0000"/>
        </w:rPr>
        <w:t>Niels Peek (UoM) to lead on this section*</w:t>
      </w:r>
    </w:p>
    <w:p w14:paraId="45C8FACF" w14:textId="53C38074" w:rsidR="00AB3439" w:rsidRDefault="00FB2A79" w:rsidP="00FB2A79">
      <w:r w:rsidRPr="00FB2A79">
        <w:rPr>
          <w:color w:val="FF0000"/>
        </w:rPr>
        <w:t>*(The h</w:t>
      </w:r>
      <w:r w:rsidR="002B4E34" w:rsidRPr="00FB2A79">
        <w:rPr>
          <w:color w:val="FF0000"/>
        </w:rPr>
        <w:t xml:space="preserve">istory of </w:t>
      </w:r>
      <w:r w:rsidRPr="00FB2A79">
        <w:rPr>
          <w:color w:val="FF0000"/>
        </w:rPr>
        <w:t>i</w:t>
      </w:r>
      <w:r w:rsidR="002B4E34" w:rsidRPr="00FB2A79">
        <w:rPr>
          <w:color w:val="FF0000"/>
        </w:rPr>
        <w:t>nformatics</w:t>
      </w:r>
      <w:r w:rsidR="009D0ABB" w:rsidRPr="00FB2A79">
        <w:rPr>
          <w:color w:val="FF0000"/>
        </w:rPr>
        <w:t xml:space="preserve"> </w:t>
      </w:r>
      <w:r w:rsidRPr="00FB2A79">
        <w:rPr>
          <w:color w:val="FF0000"/>
        </w:rPr>
        <w:t xml:space="preserve">might be </w:t>
      </w:r>
      <w:r w:rsidR="009D0ABB" w:rsidRPr="00FB2A79">
        <w:rPr>
          <w:color w:val="FF0000"/>
        </w:rPr>
        <w:t>important if pursuing a Safety journal rather than Informatics journal)</w:t>
      </w:r>
    </w:p>
    <w:p w14:paraId="6E8AD147" w14:textId="60EBF40A" w:rsidR="002B4E34" w:rsidRDefault="002B4E34" w:rsidP="00E377E5">
      <w:r>
        <w:t xml:space="preserve">Karl Steinbuch is said to have coined the term </w:t>
      </w:r>
      <w:r>
        <w:rPr>
          <w:i/>
        </w:rPr>
        <w:t>informatik</w:t>
      </w:r>
      <w:r>
        <w:t xml:space="preserve"> in </w:t>
      </w:r>
      <w:r w:rsidR="004B6407">
        <w:t xml:space="preserve">1957 </w:t>
      </w:r>
      <w:r w:rsidR="004B6407">
        <w:fldChar w:fldCharType="begin" w:fldLock="1"/>
      </w:r>
      <w:r w:rsidR="004B6407">
        <w:instrText>ADDIN CSL_CITATION {"citationItems":[{"id":"ITEM-1","itemData":{"author":[{"dropping-particle":"","family":"Steinbuch","given":"Karl","non-dropping-particle":"","parse-names":false,"suffix":""}],"container-title":"SEG-Nachrichten","id":"ITEM-1","issued":{"date-parts":[["1957"]]},"title":"Informatik: Automatische Informationsverarbeitung","type":"article-journal","volume":"4"},"uris":["http://www.mendeley.com/documents/?uuid=3094b5a8-040b-4902-9159-db507ac705e2"]}],"mendeley":{"formattedCitation":"(Steinbuch, 1957)","plainTextFormattedCitation":"(Steinbuch, 1957)","previouslyFormattedCitation":"(Steinbuch, 1957)"},"properties":{"noteIndex":0},"schema":"https://github.com/citation-style-language/schema/raw/master/csl-citation.json"}</w:instrText>
      </w:r>
      <w:r w:rsidR="004B6407">
        <w:fldChar w:fldCharType="separate"/>
      </w:r>
      <w:r w:rsidR="004B6407" w:rsidRPr="004B6407">
        <w:rPr>
          <w:noProof/>
        </w:rPr>
        <w:t>(Steinbuch, 1957)</w:t>
      </w:r>
      <w:r w:rsidR="004B6407">
        <w:fldChar w:fldCharType="end"/>
      </w:r>
      <w:r w:rsidR="004B6407">
        <w:t xml:space="preserve"> and it now functions as the German term for ‘computer science’ </w:t>
      </w:r>
      <w:r w:rsidR="004B6407">
        <w:fldChar w:fldCharType="begin" w:fldLock="1"/>
      </w:r>
      <w:r w:rsidR="00E377E5">
        <w:instrText>ADDIN CSL_CITATION {"citationItems":[{"id":"ITEM-1","itemData":{"author":[{"dropping-particle":"","family":"Widrow","given":"Bernard","non-dropping-particle":"","parse-names":false,"suffix":""},{"dropping-particle":"","family":"Hartenstein","given":"Reiner","non-dropping-particle":"","parse-names":false,"suffix":""},{"dropping-particle":"","family":"Hecht-Nielsen","given":"Robert","non-dropping-particle":"","parse-names":false,"suffix":""}],"container-title":"IEEE Computational Intelligence Society","id":"ITEM-1","issued":{"date-parts":[["2005"]]},"title":"Eulogy: Karl Steinbuch 1917-2005","type":"article-journal","volume":"5"},"uris":["http://www.mendeley.com/documents/?uuid=68654778-e194-4e46-9329-3b4ccdc7c849"]}],"mendeley":{"formattedCitation":"(Widrow et al., 2005)","plainTextFormattedCitation":"(Widrow et al., 2005)","previouslyFormattedCitation":"(Widrow et al., 2005)"},"properties":{"noteIndex":0},"schema":"https://github.com/citation-style-language/schema/raw/master/csl-citation.json"}</w:instrText>
      </w:r>
      <w:r w:rsidR="004B6407">
        <w:fldChar w:fldCharType="separate"/>
      </w:r>
      <w:r w:rsidR="004B6407" w:rsidRPr="004B6407">
        <w:rPr>
          <w:noProof/>
        </w:rPr>
        <w:t>(Widrow et al., 2005)</w:t>
      </w:r>
      <w:r w:rsidR="004B6407">
        <w:fldChar w:fldCharType="end"/>
      </w:r>
      <w:r w:rsidR="004B6407">
        <w:t xml:space="preserve">. The anglicised term </w:t>
      </w:r>
      <w:r w:rsidR="004B6407">
        <w:rPr>
          <w:i/>
        </w:rPr>
        <w:t>informatics</w:t>
      </w:r>
      <w:r w:rsidR="004B6407">
        <w:t xml:space="preserve"> has come to </w:t>
      </w:r>
      <w:r w:rsidR="00A85774">
        <w:t>refer to interdisciplinary study of information and its environment</w:t>
      </w:r>
      <w:r w:rsidR="00A85774">
        <w:rPr>
          <w:i/>
        </w:rPr>
        <w:t>;</w:t>
      </w:r>
      <w:r w:rsidR="00A85774">
        <w:t xml:space="preserve"> how it is represented, stored,</w:t>
      </w:r>
      <w:r w:rsidR="00A85774" w:rsidRPr="00A85774">
        <w:t xml:space="preserve"> </w:t>
      </w:r>
      <w:r w:rsidR="00A85774">
        <w:t xml:space="preserve">searched and </w:t>
      </w:r>
      <w:r w:rsidR="00A85774" w:rsidRPr="00A85774">
        <w:t>suppl</w:t>
      </w:r>
      <w:r w:rsidR="00A85774">
        <w:t>ied</w:t>
      </w:r>
      <w:r w:rsidR="00A85774" w:rsidRPr="00A85774">
        <w:t xml:space="preserve"> </w:t>
      </w:r>
      <w:r w:rsidR="00A85774">
        <w:fldChar w:fldCharType="begin" w:fldLock="1"/>
      </w:r>
      <w:r w:rsidR="00E971A6">
        <w:instrText>ADDIN CSL_CITATION {"citationItems":[{"id":"ITEM-1","itemData":{"ISBN":"978-3-11-023499","author":[{"dropping-particle":"","family":"Stock","given":"Wolfgang G.","non-dropping-particle":"","parse-names":false,"suffix":""},{"dropping-particle":"","family":"Stock","given":"Mechtild","non-dropping-particle":"","parse-names":false,"suffix":""}],"id":"ITEM-1","issued":{"date-parts":[["2013"]]},"publisher":"De Gruyter","publisher-place":"Berlin","title":"Handbook of Information Science","type":"book"},"uris":["http://www.mendeley.com/documents/?uuid=790a4de7-d3d0-4977-9f8c-6b5cb53316f7"]},{"id":"ITEM-2","itemData":{"author":[{"dropping-particle":"","family":"Gammack","given":"John","non-dropping-particle":"","parse-names":false,"suffix":""},{"dropping-particle":"","family":"Hobbs","given":"Valarie","non-dropping-particle":"","parse-names":false,"suffix":""},{"dropping-particle":"","family":"Pigott","given":"Diarmuid","non-dropping-particle":"","parse-names":false,"suffix":""}],"id":"ITEM-2","issued":{"date-parts":[["2011"]]},"publisher":"Cengage Learning","title":"The Book of Informatics","type":"book"},"uris":["http://www.mendeley.com/documents/?uuid=cb76bd0b-17ef-472f-a523-8a52531dcd02"]}],"mendeley":{"formattedCitation":"(Gammack et al., 2011; Stock &amp; Stock, 2013)","plainTextFormattedCitation":"(Gammack et al., 2011; Stock &amp; Stock, 2013)","previouslyFormattedCitation":"(Gammack et al., 2011; Stock &amp; Stock, 2013)"},"properties":{"noteIndex":0},"schema":"https://github.com/citation-style-language/schema/raw/master/csl-citation.json"}</w:instrText>
      </w:r>
      <w:r w:rsidR="00A85774">
        <w:fldChar w:fldCharType="separate"/>
      </w:r>
      <w:r w:rsidR="00CB61D2" w:rsidRPr="00CB61D2">
        <w:rPr>
          <w:noProof/>
        </w:rPr>
        <w:t>(Gammack et al., 2011; Stock &amp; Stock, 2013)</w:t>
      </w:r>
      <w:r w:rsidR="00A85774">
        <w:fldChar w:fldCharType="end"/>
      </w:r>
      <w:r w:rsidR="00A85774">
        <w:t>. Many subfields of informatics have been demarcate</w:t>
      </w:r>
      <w:r w:rsidR="00E377E5">
        <w:t>d with m</w:t>
      </w:r>
      <w:r w:rsidR="00A85774">
        <w:t xml:space="preserve">edical informatics </w:t>
      </w:r>
      <w:r w:rsidR="003F4D89">
        <w:t>being</w:t>
      </w:r>
      <w:r w:rsidR="00A85774">
        <w:t xml:space="preserve"> one of the first </w:t>
      </w:r>
      <w:r w:rsidR="00E377E5">
        <w:fldChar w:fldCharType="begin" w:fldLock="1"/>
      </w:r>
      <w:r w:rsidR="00E947B2">
        <w:instrText>ADDIN CSL_CITATION {"citationItems":[{"id":"ITEM-1","itemData":{"DOI":"10.3414/ME9117","ISSN":"00261270","abstract":"Objectives: To clarify challenges and research topics for informatics in health and to describe new approaches for interdisciplinary collaboration and education. Methods: Research challenges and possible solutions were elaborated by scientists of two universities using an interdisciplinary approach, in a series of meetings over several months. Results and Conclusion: In order to translate scientific results from bench to bedside and further into an evidence-based and efficient health system, intensive collaboration is needed between experts from medicine, biology, informatics, engineering, public health, as well as social and economic sciences. Research challenges can be attributed to four areas: bioinformatics and systems biology, biomedical engineering and informatics, health informatics and individual healthcare, and public health informatics. In order to bridge existing gaps between different disciplines and cultures, we suggest focusing on interdisciplinary education, taking an integrative approach and starting interdisciplinary practice at early stages of education. © 2008 Schattauer GmbH.","author":[{"dropping-particle":"","family":"Kuhn","given":"Klaus A.","non-dropping-particle":"","parse-names":false,"suffix":""},{"dropping-particle":"","family":"Knoll","given":"A.","non-dropping-particle":"","parse-names":false,"suffix":""},{"dropping-particle":"","family":"Mewes","given":"H. W.","non-dropping-particle":"","parse-names":false,"suffix":""},{"dropping-particle":"","family":"Schwaiger","given":"M.","non-dropping-particle":"","parse-names":false,"suffix":""},{"dropping-particle":"","family":"Bode","given":"A.","non-dropping-particle":"","parse-names":false,"suffix":""},{"dropping-particle":"","family":"Broy","given":"M.","non-dropping-particle":"","parse-names":false,"suffix":""},{"dropping-particle":"","family":"Daniel","given":"H.","non-dropping-particle":"","parse-names":false,"suffix":""},{"dropping-particle":"","family":"Feussner","given":"H.","non-dropping-particle":"","parse-names":false,"suffix":""},{"dropping-particle":"","family":"Gradinger","given":"R.","non-dropping-particle":"","parse-names":false,"suffix":""},{"dropping-particle":"","family":"Hauner","given":"H.","non-dropping-particle":"","parse-names":false,"suffix":""},{"dropping-particle":"","family":"Höfler","given":"H.","non-dropping-particle":"","parse-names":false,"suffix":""},{"dropping-particle":"","family":"Holzmann","given":"B.","non-dropping-particle":"","parse-names":false,"suffix":""},{"dropping-particle":"","family":"Horsch","given":"A.","non-dropping-particle":"","parse-names":false,"suffix":""},{"dropping-particle":"","family":"Kemper","given":"A.","non-dropping-particle":"","parse-names":false,"suffix":""},{"dropping-particle":"","family":"Krcmar","given":"H.","non-dropping-particle":"","parse-names":false,"suffix":""},{"dropping-particle":"","family":"Kochs","given":"E. F.","non-dropping-particle":"","parse-names":false,"suffix":""},{"dropping-particle":"","family":"Lange","given":"R.","non-dropping-particle":"","parse-names":false,"suffix":""},{"dropping-particle":"","family":"Leidl","given":"R.","non-dropping-particle":"","parse-names":false,"suffix":""},{"dropping-particle":"","family":"Mansmann","given":"U.","non-dropping-particle":"","parse-names":false,"suffix":""},{"dropping-particle":"","family":"Mayr","given":"E. W.","non-dropping-particle":"","parse-names":false,"suffix":""},{"dropping-particle":"","family":"Meitinger","given":"T.","non-dropping-particle":"","parse-names":false,"suffix":""},{"dropping-particle":"","family":"Molls","given":"M.","non-dropping-particle":"","parse-names":false,"suffix":""},{"dropping-particle":"","family":"Navab","given":"N.","non-dropping-particle":"","parse-names":false,"suffix":""},{"dropping-particle":"","family":"Nüsslin","given":"F.","non-dropping-particle":"","parse-names":false,"suffix":""},{"dropping-particle":"","family":"Peschel","given":"C.","non-dropping-particle":"","parse-names":false,"suffix":""},{"dropping-particle":"","family":"Reiser","given":"M.","non-dropping-particle":"","parse-names":false,"suffix":""},{"dropping-particle":"","family":"Ring","given":"J.","non-dropping-particle":"","parse-names":false,"suffix":""},{"dropping-particle":"","family":"Rummeny","given":"E. J.","non-dropping-particle":"","parse-names":false,"suffix":""},{"dropping-particle":"","family":"Schlichter","given":"J.","non-dropping-particle":"","parse-names":false,"suffix":""},{"dropping-particle":"","family":"Schmid","given":"R.","non-dropping-particle":"","parse-names":false,"suffix":""},{"dropping-particle":"","family":"Wichmann","given":"H. E.","non-dropping-particle":"","parse-names":false,"suffix":""},{"dropping-particle":"","family":"Ziegler","given":"S.","non-dropping-particle":"","parse-names":false,"suffix":""}],"container-title":"Methods of Information in Medicine","id":"ITEM-1","issue":"4","issued":{"date-parts":[["2008"]]},"page":"283-295","title":"Informatics and Medicine - From Molecules to Populations","type":"article-journal","volume":"47"},"uris":["http://www.mendeley.com/documents/?uuid=1f89be83-7f27-465d-8612-3c369f4a0a09"]}],"mendeley":{"formattedCitation":"(Kuhn et al., 2008)","plainTextFormattedCitation":"(Kuhn et al., 2008)","previouslyFormattedCitation":"(Kuhn et al., 2008)"},"properties":{"noteIndex":0},"schema":"https://github.com/citation-style-language/schema/raw/master/csl-citation.json"}</w:instrText>
      </w:r>
      <w:r w:rsidR="00E377E5">
        <w:fldChar w:fldCharType="separate"/>
      </w:r>
      <w:r w:rsidR="00E377E5" w:rsidRPr="00E377E5">
        <w:rPr>
          <w:noProof/>
        </w:rPr>
        <w:t>(Kuhn et al., 2008)</w:t>
      </w:r>
      <w:r w:rsidR="00E377E5">
        <w:fldChar w:fldCharType="end"/>
      </w:r>
      <w:r w:rsidR="00E377E5">
        <w:t>. Biomedical</w:t>
      </w:r>
      <w:r w:rsidR="00E947B2">
        <w:t xml:space="preserve"> </w:t>
      </w:r>
      <w:r w:rsidR="00E947B2">
        <w:fldChar w:fldCharType="begin" w:fldLock="1"/>
      </w:r>
      <w:r w:rsidR="002555AF">
        <w:instrText>ADDIN CSL_CITATION {"citationItems":[{"id":"ITEM-1","itemData":{"edition":"4th","editor":[{"dropping-particle":"","family":"Shortliffe","given":"Edward H.","non-dropping-particle":"","parse-names":false,"suffix":""},{"dropping-particle":"","family":"Cimino","given":"James J","non-dropping-particle":"","parse-names":false,"suffix":""}],"id":"ITEM-1","issued":{"date-parts":[["2013"]]},"publisher":"Springer","publisher-place":"New York","title":"Biomedical Informatics: Computer applications in healthcare and biomedicine","type":"book"},"uris":["http://www.mendeley.com/documents/?uuid=12496a07-4af6-49b8-9b85-154217d99043"]}],"mendeley":{"formattedCitation":"(Shortliffe &amp; Cimino, 2013)","plainTextFormattedCitation":"(Shortliffe &amp; Cimino, 2013)","previouslyFormattedCitation":"(Shortliffe &amp; Cimino, 2013)"},"properties":{"noteIndex":0},"schema":"https://github.com/citation-style-language/schema/raw/master/csl-citation.json"}</w:instrText>
      </w:r>
      <w:r w:rsidR="00E947B2">
        <w:fldChar w:fldCharType="separate"/>
      </w:r>
      <w:r w:rsidR="00E947B2" w:rsidRPr="00E947B2">
        <w:rPr>
          <w:noProof/>
        </w:rPr>
        <w:t>(Shortliffe &amp; Cimino, 2013)</w:t>
      </w:r>
      <w:r w:rsidR="00E947B2">
        <w:fldChar w:fldCharType="end"/>
      </w:r>
      <w:r w:rsidR="00E377E5">
        <w:t>, nursing</w:t>
      </w:r>
      <w:r w:rsidR="002555AF">
        <w:t xml:space="preserve"> </w:t>
      </w:r>
      <w:r w:rsidR="002555AF">
        <w:fldChar w:fldCharType="begin" w:fldLock="1"/>
      </w:r>
      <w:r w:rsidR="002555AF">
        <w:instrText>ADDIN CSL_CITATION {"citationItems":[{"id":"ITEM-1","itemData":{"author":[{"dropping-particle":"","family":"McCormick","given":"Kathleen","non-dropping-particle":"","parse-names":false,"suffix":""},{"dropping-particle":"","family":"Saba","given":"Virginia","non-dropping-particle":"","parse-names":false,"suffix":""}],"edition":"6th","id":"ITEM-1","issued":{"date-parts":[["2015"]]},"publisher":"McGraw-Hill Education","title":"Essentials of nursing informatics","type":"book"},"uris":["http://www.mendeley.com/documents/?uuid=1b1ca058-7869-472e-81db-74c62026670b"]}],"mendeley":{"formattedCitation":"(McCormick &amp; Saba, 2015)","plainTextFormattedCitation":"(McCormick &amp; Saba, 2015)","previouslyFormattedCitation":"(McCormick &amp; Saba, 2015)"},"properties":{"noteIndex":0},"schema":"https://github.com/citation-style-language/schema/raw/master/csl-citation.json"}</w:instrText>
      </w:r>
      <w:r w:rsidR="002555AF">
        <w:fldChar w:fldCharType="separate"/>
      </w:r>
      <w:r w:rsidR="002555AF" w:rsidRPr="002555AF">
        <w:rPr>
          <w:noProof/>
        </w:rPr>
        <w:t>(McCormick &amp; Saba, 2015)</w:t>
      </w:r>
      <w:r w:rsidR="002555AF">
        <w:fldChar w:fldCharType="end"/>
      </w:r>
      <w:r w:rsidR="00E377E5">
        <w:t>, clinical</w:t>
      </w:r>
      <w:r w:rsidR="00F33529">
        <w:t xml:space="preserve"> and clinical-research </w:t>
      </w:r>
      <w:r w:rsidR="00F33529">
        <w:fldChar w:fldCharType="begin" w:fldLock="1"/>
      </w:r>
      <w:r w:rsidR="0094634B">
        <w:instrText>ADDIN CSL_CITATION {"citationItems":[{"id":"ITEM-1","itemData":{"author":[{"dropping-particle":"","family":"Degoulet","given":"Patrice","non-dropping-particle":"","parse-names":false,"suffix":""},{"dropping-particle":"","family":"Fieschi","given":"Marius","non-dropping-particle":"","parse-names":false,"suffix":""}],"id":"ITEM-1","issued":{"date-parts":[["2012"]]},"publisher":"Springer","publisher-place":"New York","title":"Introduction to clinical informatics","type":"book"},"uris":["http://www.mendeley.com/documents/?uuid=3bb9f8dc-e609-4a2c-a63d-e7a945184683"]},{"id":"ITEM-2","itemData":{"edition":"2nd","editor":[{"dropping-particle":"","family":"Richesson","given":"Rachel L.","non-dropping-particle":"","parse-names":false,"suffix":""},{"dropping-particle":"","family":"Andrews","given":"James E.","non-dropping-particle":"","parse-names":false,"suffix":""}],"id":"ITEM-2","issued":{"date-parts":[["2019"]]},"publisher":"Springer","title":"Clinical research informatics","type":"book"},"uris":["http://www.mendeley.com/documents/?uuid=97a6528e-1fa4-4720-8827-82a568b4db7a"]}],"mendeley":{"formattedCitation":"(Degoulet &amp; Fieschi, 2012; Richesson &amp; Andrews, 2019)","plainTextFormattedCitation":"(Degoulet &amp; Fieschi, 2012; Richesson &amp; Andrews, 2019)","previouslyFormattedCitation":"(Degoulet &amp; Fieschi, 2012; Richesson &amp; Andrews, 2019)"},"properties":{"noteIndex":0},"schema":"https://github.com/citation-style-language/schema/raw/master/csl-citation.json"}</w:instrText>
      </w:r>
      <w:r w:rsidR="00F33529">
        <w:fldChar w:fldCharType="separate"/>
      </w:r>
      <w:r w:rsidR="00F33529" w:rsidRPr="00F33529">
        <w:rPr>
          <w:noProof/>
        </w:rPr>
        <w:t>(Degoulet &amp; Fieschi, 2012; Richesson &amp; Andrews, 2019)</w:t>
      </w:r>
      <w:r w:rsidR="00F33529">
        <w:fldChar w:fldCharType="end"/>
      </w:r>
      <w:r w:rsidR="00E377E5">
        <w:t>, public-health</w:t>
      </w:r>
      <w:r w:rsidR="002555AF">
        <w:t xml:space="preserve"> </w:t>
      </w:r>
      <w:r w:rsidR="002555AF">
        <w:fldChar w:fldCharType="begin" w:fldLock="1"/>
      </w:r>
      <w:r w:rsidR="00F33529">
        <w:instrText>ADDIN CSL_CITATION {"citationItems":[{"id":"ITEM-1","itemData":{"edition":"2nd","editor":[{"dropping-particle":"","family":"Magnusson","given":"J.A.","non-dropping-particle":"","parse-names":false,"suffix":""},{"dropping-particle":"","family":"Fu Jr.","given":"Paul C.","non-dropping-particle":"","parse-names":false,"suffix":""}],"id":"ITEM-1","issued":{"date-parts":[["2013"]]},"publisher":"Springer","publisher-place":"London","title":"Public health informatics and information systems","type":"book"},"uris":["http://www.mendeley.com/documents/?uuid=4ca1503d-8810-416b-99ee-cda7a2b93a79"]}],"mendeley":{"formattedCitation":"(Magnusson &amp; Fu Jr., 2013)","plainTextFormattedCitation":"(Magnusson &amp; Fu Jr., 2013)","previouslyFormattedCitation":"(Magnusson &amp; Fu Jr., 2013)"},"properties":{"noteIndex":0},"schema":"https://github.com/citation-style-language/schema/raw/master/csl-citation.json"}</w:instrText>
      </w:r>
      <w:r w:rsidR="002555AF">
        <w:fldChar w:fldCharType="separate"/>
      </w:r>
      <w:r w:rsidR="002555AF" w:rsidRPr="002555AF">
        <w:rPr>
          <w:noProof/>
        </w:rPr>
        <w:t>(Magnusson &amp; Fu Jr., 2013)</w:t>
      </w:r>
      <w:r w:rsidR="002555AF">
        <w:fldChar w:fldCharType="end"/>
      </w:r>
      <w:r w:rsidR="00E377E5">
        <w:t xml:space="preserve">, </w:t>
      </w:r>
      <w:r w:rsidR="003F4D89">
        <w:t xml:space="preserve">and </w:t>
      </w:r>
      <w:r w:rsidR="00E377E5">
        <w:t>bio</w:t>
      </w:r>
      <w:r w:rsidR="0094634B">
        <w:t xml:space="preserve">informatics </w:t>
      </w:r>
      <w:r w:rsidR="0094634B">
        <w:fldChar w:fldCharType="begin" w:fldLock="1"/>
      </w:r>
      <w:r w:rsidR="0094634B">
        <w:instrText>ADDIN CSL_CITATION {"citationItems":[{"id":"ITEM-1","itemData":{"DOI":"10.1007/s10439-006-9105-9","ISBN":"0471383902","ISSN":"0090-6964","edition":"2nd","editor":[{"dropping-particle":"","family":"Baxevanis","given":"Andreas D.","non-dropping-particle":"","parse-names":false,"suffix":""},{"dropping-particle":"","family":"Ouellette","given":"B.F. Francis","non-dropping-particle":"","parse-names":false,"suffix":""}],"id":"ITEM-1","issued":{"date-parts":[["2020"]]},"publisher":"Wiley-Interscience","title":"Bioinformatics: A Practical Guide to the Analysis of Genes and Proteins","type":"book"},"uris":["http://www.mendeley.com/documents/?uuid=ac5c7255-7393-417a-b98a-4dfdaf47becd"]}],"mendeley":{"formattedCitation":"(Baxevanis &amp; Ouellette, 2020)","plainTextFormattedCitation":"(Baxevanis &amp; Ouellette, 2020)","previouslyFormattedCitation":"(Baxevanis &amp; Ouellette, 2020)"},"properties":{"noteIndex":0},"schema":"https://github.com/citation-style-language/schema/raw/master/csl-citation.json"}</w:instrText>
      </w:r>
      <w:r w:rsidR="0094634B">
        <w:fldChar w:fldCharType="separate"/>
      </w:r>
      <w:r w:rsidR="0094634B" w:rsidRPr="0094634B">
        <w:rPr>
          <w:noProof/>
        </w:rPr>
        <w:t>(Baxevanis &amp; Ouellette, 2020)</w:t>
      </w:r>
      <w:r w:rsidR="0094634B">
        <w:fldChar w:fldCharType="end"/>
      </w:r>
      <w:r w:rsidR="00E377E5">
        <w:t xml:space="preserve"> are but a few of the </w:t>
      </w:r>
      <w:r w:rsidR="00CB61D2">
        <w:t xml:space="preserve">further </w:t>
      </w:r>
      <w:r w:rsidR="00E377E5">
        <w:t>subfields recognised by t</w:t>
      </w:r>
      <w:r w:rsidR="002555AF">
        <w:t xml:space="preserve">he International </w:t>
      </w:r>
      <w:r w:rsidR="00E377E5">
        <w:t xml:space="preserve">Medical Informatics Association </w:t>
      </w:r>
      <w:r w:rsidR="0094634B">
        <w:fldChar w:fldCharType="begin" w:fldLock="1"/>
      </w:r>
      <w:r w:rsidR="00CB61D2">
        <w:instrText>ADDIN CSL_CITATION {"citationItems":[{"id":"ITEM-1","itemData":{"author":[{"dropping-particle":"","family":"IMIA","given":"","non-dropping-particle":"","parse-names":false,"suffix":""}],"id":"ITEM-1","issued":{"date-parts":[["2020"]]},"title":"International Medical Informatics Association","type":"article"},"uris":["http://www.mendeley.com/documents/?uuid=e089cfd1-334d-4e3a-876a-b477037bdaca"]}],"mendeley":{"formattedCitation":"(IMIA, 2020)","plainTextFormattedCitation":"(IMIA, 2020)","previouslyFormattedCitation":"(IMIA, 2020)"},"properties":{"noteIndex":0},"schema":"https://github.com/citation-style-language/schema/raw/master/csl-citation.json"}</w:instrText>
      </w:r>
      <w:r w:rsidR="0094634B">
        <w:fldChar w:fldCharType="separate"/>
      </w:r>
      <w:r w:rsidR="0094634B" w:rsidRPr="0094634B">
        <w:rPr>
          <w:noProof/>
        </w:rPr>
        <w:t>(IMIA, 2020)</w:t>
      </w:r>
      <w:r w:rsidR="0094634B">
        <w:fldChar w:fldCharType="end"/>
      </w:r>
      <w:r w:rsidR="00E377E5">
        <w:t>, where they use principles from information science to address particular needs.</w:t>
      </w:r>
    </w:p>
    <w:p w14:paraId="3BC4C3AE" w14:textId="5329DE59" w:rsidR="004E5CE1" w:rsidRPr="00322A06" w:rsidRDefault="00151E77" w:rsidP="004E5CE1">
      <w:r>
        <w:t>The International Medical Informatics Association (IMIA) working group on ‘Health Informatics for Patient Safety’ consider their role as “</w:t>
      </w:r>
      <w:r w:rsidRPr="00BC410C">
        <w:t>[</w:t>
      </w:r>
      <w:r>
        <w:t>promoting</w:t>
      </w:r>
      <w:r w:rsidRPr="00BC410C">
        <w:t>]</w:t>
      </w:r>
      <w:r>
        <w:t xml:space="preserve"> </w:t>
      </w:r>
      <w:r w:rsidRPr="00BC410C">
        <w:rPr>
          <w:i/>
        </w:rPr>
        <w:t>patient safety of health information systems and their associated medical devices</w:t>
      </w:r>
      <w:r>
        <w:rPr>
          <w:i/>
        </w:rPr>
        <w:t>. The focus…is on</w:t>
      </w:r>
      <w:r w:rsidRPr="00357A11">
        <w:rPr>
          <w:i/>
        </w:rPr>
        <w:t>…how healthcare information systems can improve patient safety, as well as identifying and rectifying safety issues</w:t>
      </w:r>
      <w:r>
        <w:t xml:space="preserve">” </w:t>
      </w:r>
      <w:r>
        <w:fldChar w:fldCharType="begin" w:fldLock="1"/>
      </w:r>
      <w:r>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Safety","type":"report"},"uris":["http://www.mendeley.com/documents/?uuid=27b58af2-f321-46eb-8a77-669f7ccba4fd"]}],"mendeley":{"formattedCitation":"(IMIA WG7, 2018)","plainTextFormattedCitation":"(IMIA WG7, 2018)","previouslyFormattedCitation":"(IMIA WG7, 2018)"},"properties":{"noteIndex":0},"schema":"https://github.com/citation-style-language/schema/raw/master/csl-citation.json"}</w:instrText>
      </w:r>
      <w:r>
        <w:fldChar w:fldCharType="separate"/>
      </w:r>
      <w:r w:rsidRPr="00BC410C">
        <w:rPr>
          <w:noProof/>
        </w:rPr>
        <w:t>(IMIA WG7, 2018)</w:t>
      </w:r>
      <w:r>
        <w:fldChar w:fldCharType="end"/>
      </w:r>
      <w:r>
        <w:t>.</w:t>
      </w:r>
      <w:r w:rsidR="004E5CE1">
        <w:t xml:space="preserve"> This scope is </w:t>
      </w:r>
      <w:r w:rsidR="004E5CE1">
        <w:lastRenderedPageBreak/>
        <w:t xml:space="preserve">exemplified  in </w:t>
      </w:r>
      <w:r w:rsidR="004E5CE1" w:rsidRPr="00322A06">
        <w:fldChar w:fldCharType="begin" w:fldLock="1"/>
      </w:r>
      <w:r w:rsidR="004E5CE1">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framework","type":"article-journal","volume":"25"},"uris":["http://www.mendeley.com/documents/?uuid=b113d0e0-5e2d-4b20-8615-f5b35427eeab"]}],"mendeley":{"formattedCitation":"(Singh &amp; Sittig, 2016)","manualFormatting":"Singh and Sittig's (2016)","plainTextFormattedCitation":"(Singh &amp; Sittig, 2016)","previouslyFormattedCitation":"(Singh &amp; Sittig, 2016)"},"properties":{"noteIndex":0},"schema":"https://github.com/citation-style-language/schema/raw/master/csl-citation.json"}</w:instrText>
      </w:r>
      <w:r w:rsidR="004E5CE1" w:rsidRPr="00322A06">
        <w:fldChar w:fldCharType="separate"/>
      </w:r>
      <w:r w:rsidR="004E5CE1" w:rsidRPr="00322A06">
        <w:rPr>
          <w:noProof/>
        </w:rPr>
        <w:t>Singh and Sittig</w:t>
      </w:r>
      <w:r w:rsidR="004E5CE1">
        <w:rPr>
          <w:noProof/>
        </w:rPr>
        <w:t>'s</w:t>
      </w:r>
      <w:r w:rsidR="004E5CE1" w:rsidRPr="00322A06">
        <w:rPr>
          <w:noProof/>
        </w:rPr>
        <w:t xml:space="preserve"> (2016)</w:t>
      </w:r>
      <w:r w:rsidR="004E5CE1" w:rsidRPr="00322A06">
        <w:fldChar w:fldCharType="end"/>
      </w:r>
      <w:r w:rsidR="004E5CE1" w:rsidRPr="00322A06">
        <w:t xml:space="preserve"> Health Information Technology Safety Measurement Framework</w:t>
      </w:r>
      <w:r w:rsidR="004E5CE1">
        <w:t>. The framework defines three safety domains</w:t>
      </w:r>
      <w:r w:rsidR="00942589">
        <w:t xml:space="preserve"> embedded in a socio-technical work system</w:t>
      </w:r>
      <w:r w:rsidR="004E5CE1">
        <w:t>: safe H.I.T., safe use of H.I.T., and using H.I.T. to improve safety.</w:t>
      </w:r>
      <w:r w:rsidR="000C464D">
        <w:t xml:space="preserve"> </w:t>
      </w:r>
      <w:r w:rsidR="00986243">
        <w:t xml:space="preserve">Safety Informatics address problems in these domains using principles from information science, i.e. the representation, storage, </w:t>
      </w:r>
      <w:r w:rsidR="00986243" w:rsidRPr="000C464D">
        <w:t>su</w:t>
      </w:r>
      <w:r w:rsidR="00986243">
        <w:t xml:space="preserve">pply, </w:t>
      </w:r>
      <w:r w:rsidR="00986243" w:rsidRPr="000C464D">
        <w:t xml:space="preserve">search for and retrieval of relevant </w:t>
      </w:r>
      <w:r w:rsidR="00986243">
        <w:t xml:space="preserve">information </w:t>
      </w:r>
      <w:r w:rsidR="00986243">
        <w:fldChar w:fldCharType="begin" w:fldLock="1"/>
      </w:r>
      <w:r w:rsidR="00986243">
        <w:instrText>ADDIN CSL_CITATION {"citationItems":[{"id":"ITEM-1","itemData":{"ISBN":"978-3-11-023499","author":[{"dropping-particle":"","family":"Stock","given":"Wolfgang G.","non-dropping-particle":"","parse-names":false,"suffix":""},{"dropping-particle":"","family":"Stock","given":"Mechtild","non-dropping-particle":"","parse-names":false,"suffix":""}],"id":"ITEM-1","issued":{"date-parts":[["2013"]]},"publisher":"De Gruyter","publisher-place":"Berlin","title":"Handbook of Information Science","type":"book"},"uris":["http://www.mendeley.com/documents/?uuid=790a4de7-d3d0-4977-9f8c-6b5cb53316f7"]}],"mendeley":{"formattedCitation":"(Stock &amp; Stock, 2013)","plainTextFormattedCitation":"(Stock &amp; Stock, 2013)","previouslyFormattedCitation":"(Stock &amp; Stock, 2013)"},"properties":{"noteIndex":0},"schema":"https://github.com/citation-style-language/schema/raw/master/csl-citation.json"}</w:instrText>
      </w:r>
      <w:r w:rsidR="00986243">
        <w:fldChar w:fldCharType="separate"/>
      </w:r>
      <w:r w:rsidR="00986243" w:rsidRPr="000C464D">
        <w:rPr>
          <w:noProof/>
        </w:rPr>
        <w:t>(Stock &amp; Stock, 2013)</w:t>
      </w:r>
      <w:r w:rsidR="00986243">
        <w:fldChar w:fldCharType="end"/>
      </w:r>
      <w:r w:rsidR="00986243">
        <w:t>.</w:t>
      </w:r>
    </w:p>
    <w:p w14:paraId="722652C9" w14:textId="77777777" w:rsidR="004E5CE1" w:rsidRDefault="004E5CE1" w:rsidP="00E377E5"/>
    <w:p w14:paraId="40F431C9" w14:textId="3006BA08" w:rsidR="00E947B2" w:rsidRDefault="00E947B2" w:rsidP="00E377E5"/>
    <w:p w14:paraId="0CF08F6B" w14:textId="61B0ED80" w:rsidR="003D3C2C" w:rsidRPr="003D3C2C" w:rsidRDefault="003D3C2C" w:rsidP="003D3C2C"/>
    <w:p w14:paraId="265E847F" w14:textId="77777777" w:rsidR="00EC546B" w:rsidRDefault="00EC546B" w:rsidP="00AB3439"/>
    <w:p w14:paraId="4A4AC040" w14:textId="2DDD0979" w:rsidR="00656305" w:rsidRDefault="00C87DCA" w:rsidP="00F700A2">
      <w:pPr>
        <w:pStyle w:val="Heading1"/>
      </w:pPr>
      <w:r>
        <w:t xml:space="preserve">Section 2: </w:t>
      </w:r>
      <w:r w:rsidR="00656305">
        <w:t>Method</w:t>
      </w:r>
    </w:p>
    <w:p w14:paraId="43BAF014" w14:textId="506FEA65" w:rsidR="001F4ED1" w:rsidRPr="00F700A2" w:rsidRDefault="00977D1D" w:rsidP="005C22CE">
      <w:pPr>
        <w:rPr>
          <w:color w:val="4472C4" w:themeColor="accent5"/>
        </w:rPr>
      </w:pPr>
      <w:r>
        <w:rPr>
          <w:color w:val="4472C4" w:themeColor="accent5"/>
        </w:rPr>
        <w:t xml:space="preserve">[Words &lt; 150] </w:t>
      </w:r>
      <w:r w:rsidR="00726CBE" w:rsidRPr="00F700A2">
        <w:rPr>
          <w:color w:val="4472C4" w:themeColor="accent5"/>
        </w:rPr>
        <w:t>The purpose of this section is to describe the process by which this publication was produced</w:t>
      </w:r>
      <w:r w:rsidR="001809FF">
        <w:rPr>
          <w:color w:val="4472C4" w:themeColor="accent5"/>
        </w:rPr>
        <w:t>.</w:t>
      </w:r>
    </w:p>
    <w:p w14:paraId="30BE240E" w14:textId="1DE55F30" w:rsidR="00656305" w:rsidRDefault="006A63CC" w:rsidP="00656305">
      <w:r>
        <w:t>A workshop of &lt;</w:t>
      </w:r>
      <w:r>
        <w:rPr>
          <w:i/>
        </w:rPr>
        <w:t>final count of collaborators</w:t>
      </w:r>
      <w:r>
        <w:t>&gt; collaborators</w:t>
      </w:r>
      <w:r w:rsidRPr="00AA44BF">
        <w:t xml:space="preserve"> </w:t>
      </w:r>
      <w:r>
        <w:t>was convened who represent those who develop, evaluate and</w:t>
      </w:r>
      <w:r w:rsidRPr="00AA44BF">
        <w:t xml:space="preserve"> use</w:t>
      </w:r>
      <w:r>
        <w:t xml:space="preserve"> health information technologies and the</w:t>
      </w:r>
      <w:r w:rsidRPr="001809FF">
        <w:t>ir data for both research and practical purposes. Collaborators included &lt;</w:t>
      </w:r>
      <w:r w:rsidRPr="001809FF">
        <w:rPr>
          <w:i/>
        </w:rPr>
        <w:t>list of roles represented by collaborators</w:t>
      </w:r>
      <w:r w:rsidRPr="001809FF">
        <w:t>&gt;.</w:t>
      </w:r>
      <w:r w:rsidR="00B11DC6" w:rsidRPr="001809FF">
        <w:t xml:space="preserve"> A set of new and emerging health information technologies were collated from a scoping review of the academic, commercial and grey literature relating to health information systems, and collaborators discussed the patient-safety implications of the challenges posed by them.</w:t>
      </w:r>
      <w:r w:rsidR="001809FF" w:rsidRPr="001809FF">
        <w:t xml:space="preserve"> In subsequent meetings, the group collated and synthesised collaborators’ contributions to 1) describe characteristics of new and emerging health information technologies, 2) describe the challenges posed by the evolving health information system, 3) describe the patient-safety implications of the challenges posed, and 4) recommend approaches to address the patient-safety implications</w:t>
      </w:r>
      <w:r w:rsidR="001809FF">
        <w:t>.</w:t>
      </w:r>
    </w:p>
    <w:p w14:paraId="35067DB6" w14:textId="2B32E2E3" w:rsidR="008E287D" w:rsidRDefault="008E287D" w:rsidP="00656305"/>
    <w:p w14:paraId="4CF81741" w14:textId="560A7F29" w:rsidR="009D0ABB" w:rsidRDefault="009D0ABB" w:rsidP="00F700A2">
      <w:pPr>
        <w:pStyle w:val="Heading1"/>
      </w:pPr>
      <w:r>
        <w:t xml:space="preserve">Section 3: </w:t>
      </w:r>
      <w:r w:rsidR="00FB2A79">
        <w:t>Workshop synthesis</w:t>
      </w:r>
    </w:p>
    <w:p w14:paraId="52B885BC" w14:textId="6F40B817" w:rsidR="00977D1D" w:rsidRDefault="00977D1D" w:rsidP="00977D1D">
      <w:pPr>
        <w:rPr>
          <w:color w:val="4472C4" w:themeColor="accent5"/>
        </w:rPr>
      </w:pPr>
      <w:r>
        <w:rPr>
          <w:color w:val="4472C4" w:themeColor="accent5"/>
        </w:rPr>
        <w:t xml:space="preserve">[Words &lt; 300] </w:t>
      </w:r>
      <w:r w:rsidRPr="00F700A2">
        <w:rPr>
          <w:color w:val="4472C4" w:themeColor="accent5"/>
        </w:rPr>
        <w:t>The purpose</w:t>
      </w:r>
      <w:r>
        <w:rPr>
          <w:color w:val="4472C4" w:themeColor="accent5"/>
        </w:rPr>
        <w:t>s</w:t>
      </w:r>
      <w:r w:rsidRPr="00F700A2">
        <w:rPr>
          <w:color w:val="4472C4" w:themeColor="accent5"/>
        </w:rPr>
        <w:t xml:space="preserve"> of this section </w:t>
      </w:r>
      <w:r>
        <w:rPr>
          <w:color w:val="4472C4" w:themeColor="accent5"/>
        </w:rPr>
        <w:t xml:space="preserve">are </w:t>
      </w:r>
      <w:r w:rsidRPr="00F700A2">
        <w:rPr>
          <w:color w:val="4472C4" w:themeColor="accent5"/>
        </w:rPr>
        <w:t xml:space="preserve">to </w:t>
      </w:r>
      <w:r>
        <w:rPr>
          <w:color w:val="4472C4" w:themeColor="accent5"/>
        </w:rPr>
        <w:t xml:space="preserve">1) </w:t>
      </w:r>
      <w:r w:rsidRPr="00F700A2">
        <w:rPr>
          <w:color w:val="4472C4" w:themeColor="accent5"/>
        </w:rPr>
        <w:t xml:space="preserve">briefly </w:t>
      </w:r>
      <w:r>
        <w:rPr>
          <w:color w:val="4472C4" w:themeColor="accent5"/>
        </w:rPr>
        <w:t xml:space="preserve">and generally </w:t>
      </w:r>
      <w:r w:rsidRPr="00F700A2">
        <w:rPr>
          <w:color w:val="4472C4" w:themeColor="accent5"/>
        </w:rPr>
        <w:t>describe characteristics of new and emerging health information tech</w:t>
      </w:r>
      <w:r>
        <w:rPr>
          <w:color w:val="4472C4" w:themeColor="accent5"/>
        </w:rPr>
        <w:t>nologies, 2)</w:t>
      </w:r>
      <w:r w:rsidRPr="00977D1D">
        <w:rPr>
          <w:color w:val="4472C4" w:themeColor="accent5"/>
        </w:rPr>
        <w:t xml:space="preserve"> </w:t>
      </w:r>
      <w:r w:rsidRPr="00F700A2">
        <w:rPr>
          <w:color w:val="4472C4" w:themeColor="accent5"/>
        </w:rPr>
        <w:t>describe the output of the discussions within the collaborative regarding the novel challenges posed by the new and eme</w:t>
      </w:r>
      <w:r>
        <w:rPr>
          <w:color w:val="4472C4" w:themeColor="accent5"/>
        </w:rPr>
        <w:t>rging technologies listed above, and 3)</w:t>
      </w:r>
      <w:r w:rsidRPr="00977D1D">
        <w:rPr>
          <w:color w:val="4472C4" w:themeColor="accent5"/>
        </w:rPr>
        <w:t xml:space="preserve"> </w:t>
      </w:r>
      <w:r w:rsidRPr="00FD1560">
        <w:rPr>
          <w:color w:val="4472C4" w:themeColor="accent5"/>
        </w:rPr>
        <w:t>present the patient-safety implications of the classes of patient-safety challenges outlined in the previous section.</w:t>
      </w:r>
    </w:p>
    <w:p w14:paraId="6BBD275A" w14:textId="4B27D8E4" w:rsidR="00977D1D" w:rsidRPr="00977D1D" w:rsidRDefault="00977D1D" w:rsidP="00977D1D"/>
    <w:p w14:paraId="2320E89E" w14:textId="0923383C" w:rsidR="00AB3439" w:rsidRDefault="00C87DCA" w:rsidP="009D0ABB">
      <w:pPr>
        <w:pStyle w:val="Heading2"/>
      </w:pPr>
      <w:r>
        <w:t>Characteristics of n</w:t>
      </w:r>
      <w:r w:rsidR="00E97300">
        <w:t xml:space="preserve">ew and emerging </w:t>
      </w:r>
      <w:r>
        <w:t>H.I.T.</w:t>
      </w:r>
    </w:p>
    <w:p w14:paraId="05993626" w14:textId="476DF791" w:rsidR="00317D7E" w:rsidRDefault="00317D7E" w:rsidP="00317D7E">
      <w:r w:rsidRPr="00CE48ED">
        <w:rPr>
          <w:color w:val="FF0000"/>
        </w:rPr>
        <w:t>*</w:t>
      </w:r>
      <w:r w:rsidR="00A20FF2" w:rsidRPr="00CE48ED">
        <w:rPr>
          <w:color w:val="FF0000"/>
        </w:rPr>
        <w:t>What is</w:t>
      </w:r>
      <w:r w:rsidRPr="00CE48ED">
        <w:rPr>
          <w:color w:val="FF0000"/>
        </w:rPr>
        <w:t xml:space="preserve"> meant by</w:t>
      </w:r>
      <w:r w:rsidR="00A20FF2" w:rsidRPr="00CE48ED">
        <w:rPr>
          <w:color w:val="FF0000"/>
        </w:rPr>
        <w:t xml:space="preserve"> “new” and “emerging”?</w:t>
      </w:r>
      <w:r w:rsidR="00404DCD">
        <w:rPr>
          <w:color w:val="FF0000"/>
        </w:rPr>
        <w:t xml:space="preserve"> </w:t>
      </w:r>
      <w:r>
        <w:rPr>
          <w:color w:val="FF0000"/>
        </w:rPr>
        <w:t xml:space="preserve">We might choose to use </w:t>
      </w:r>
      <w:r w:rsidR="00A20FF2">
        <w:rPr>
          <w:color w:val="FF0000"/>
        </w:rPr>
        <w:t>Le</w:t>
      </w:r>
      <w:r w:rsidR="00404DCD">
        <w:rPr>
          <w:color w:val="FF0000"/>
        </w:rPr>
        <w:t>a</w:t>
      </w:r>
      <w:r w:rsidR="00A20FF2">
        <w:rPr>
          <w:color w:val="FF0000"/>
        </w:rPr>
        <w:t xml:space="preserve">vitt’s </w:t>
      </w:r>
      <w:r>
        <w:rPr>
          <w:color w:val="FF0000"/>
        </w:rPr>
        <w:t>diamo</w:t>
      </w:r>
      <w:r w:rsidR="00404DCD">
        <w:rPr>
          <w:color w:val="FF0000"/>
        </w:rPr>
        <w:t>nd.</w:t>
      </w:r>
    </w:p>
    <w:p w14:paraId="7DB071C0" w14:textId="104D77A3" w:rsidR="00A20FF2" w:rsidRPr="00F76262" w:rsidRDefault="00404DCD" w:rsidP="00404DCD">
      <w:r>
        <w:t>We define emerging technology as innovation, novel application of an existing technology, or novel uptake or use of an existing technology by an organisation or user.</w:t>
      </w:r>
      <w:r w:rsidRPr="00F76262">
        <w:t xml:space="preserve"> </w:t>
      </w:r>
    </w:p>
    <w:p w14:paraId="3B6D25C5" w14:textId="3965B669" w:rsidR="00004E11" w:rsidRDefault="00FB2A79" w:rsidP="00865867">
      <w:pPr>
        <w:rPr>
          <w:color w:val="FF0000"/>
        </w:rPr>
      </w:pPr>
      <w:r w:rsidRPr="00CE48ED">
        <w:rPr>
          <w:color w:val="FF0000"/>
        </w:rPr>
        <w:t>*</w:t>
      </w:r>
      <w:r w:rsidR="00A20FF2" w:rsidRPr="00CE48ED">
        <w:rPr>
          <w:color w:val="FF0000"/>
        </w:rPr>
        <w:t>Characteristics of new and emerging technologies</w:t>
      </w:r>
      <w:r w:rsidR="00CE48ED">
        <w:rPr>
          <w:color w:val="FF0000"/>
        </w:rPr>
        <w:t xml:space="preserve">. </w:t>
      </w:r>
      <w:r w:rsidR="00004E11">
        <w:rPr>
          <w:color w:val="FF0000"/>
        </w:rPr>
        <w:t xml:space="preserve">The table of 16 technologies can provide the substrate for the development of </w:t>
      </w:r>
      <w:r w:rsidR="00004E11" w:rsidRPr="001D63F3">
        <w:rPr>
          <w:color w:val="FF0000"/>
          <w:u w:val="single"/>
        </w:rPr>
        <w:t>characteristics of new and emerging H.I.T.</w:t>
      </w:r>
      <w:r w:rsidR="00004E11">
        <w:rPr>
          <w:color w:val="FF0000"/>
        </w:rPr>
        <w:t>, which will provide context for discussion of possible challenges.</w:t>
      </w:r>
    </w:p>
    <w:p w14:paraId="628FE09B" w14:textId="77777777" w:rsidR="00865867" w:rsidRDefault="00865867" w:rsidP="00865867"/>
    <w:p w14:paraId="44A892CB" w14:textId="4D0B7B06" w:rsidR="00E97300" w:rsidRPr="00E97300" w:rsidRDefault="00C87DCA" w:rsidP="00FB2A79">
      <w:pPr>
        <w:pStyle w:val="Heading2"/>
      </w:pPr>
      <w:r>
        <w:lastRenderedPageBreak/>
        <w:t>C</w:t>
      </w:r>
      <w:r w:rsidR="001F4ED1">
        <w:t xml:space="preserve">hallenges </w:t>
      </w:r>
      <w:r>
        <w:t xml:space="preserve">posed by </w:t>
      </w:r>
      <w:r w:rsidR="001F4ED1">
        <w:t xml:space="preserve">new and </w:t>
      </w:r>
      <w:r w:rsidR="00E97300">
        <w:t xml:space="preserve">emerging </w:t>
      </w:r>
      <w:r>
        <w:t>H.I.T.</w:t>
      </w:r>
    </w:p>
    <w:p w14:paraId="1DC0B331" w14:textId="1C7CF10A" w:rsidR="00660F62" w:rsidRDefault="00660F62" w:rsidP="00660F62">
      <w:pPr>
        <w:rPr>
          <w:color w:val="FF0000"/>
        </w:rPr>
      </w:pPr>
      <w:r w:rsidRPr="00660F62">
        <w:rPr>
          <w:color w:val="FF0000"/>
        </w:rPr>
        <w:t>*Outputs from the short, initial workshop</w:t>
      </w:r>
      <w:r>
        <w:rPr>
          <w:color w:val="FF0000"/>
        </w:rPr>
        <w:t>:</w:t>
      </w:r>
    </w:p>
    <w:p w14:paraId="74616113" w14:textId="77777777" w:rsidR="00E171F3" w:rsidRDefault="00E171F3" w:rsidP="00E171F3">
      <w:pPr>
        <w:pStyle w:val="ListParagraph"/>
        <w:numPr>
          <w:ilvl w:val="0"/>
          <w:numId w:val="6"/>
        </w:numPr>
        <w:rPr>
          <w:color w:val="FF0000"/>
        </w:rPr>
      </w:pPr>
      <w:r>
        <w:rPr>
          <w:color w:val="FF0000"/>
        </w:rPr>
        <w:t>CONCEPTUALISING NOT PHYSICAL DANGERS It is difficult to conceptualise safety issues for digital technology in comparison to physical technology.</w:t>
      </w:r>
    </w:p>
    <w:p w14:paraId="56D60DB6" w14:textId="77777777" w:rsidR="00E171F3" w:rsidRDefault="00E171F3" w:rsidP="00E171F3">
      <w:pPr>
        <w:pStyle w:val="ListParagraph"/>
        <w:numPr>
          <w:ilvl w:val="1"/>
          <w:numId w:val="6"/>
        </w:numPr>
        <w:rPr>
          <w:color w:val="FF0000"/>
        </w:rPr>
      </w:pPr>
      <w:r>
        <w:rPr>
          <w:color w:val="FF0000"/>
        </w:rPr>
        <w:t xml:space="preserve">Studies in other domains suggest perceptions of risk diverge based on values </w:t>
      </w:r>
      <w:r>
        <w:rPr>
          <w:color w:val="FF0000"/>
        </w:rPr>
        <w:fldChar w:fldCharType="begin" w:fldLock="1"/>
      </w:r>
      <w:r>
        <w:rPr>
          <w:color w:val="FF0000"/>
        </w:rPr>
        <w:instrText>ADDIN CSL_CITATION {"citationItems":[{"id":"ITEM-1","itemData":{"DOI":"10.1016/j.njas.2019.02.003","ISSN":"22121307","abstract":"As research and innovation around Smart Farming further advances, there is a need to consider the impact of these technologies including the socio-economic, behavioural and cultural issues that may arise from their adoption. The current study explores the perceived risks and benefits arising from the development of Smart Farming in Ireland and in particular focuses on the different interpretations ascribed to risk issues by different actors. Semi-structured interviews were carried out with 21 actors who through their professional positions have some level of responsibility for the growth of Smart Farming in Ireland. Although the participants in the current study were largely in agreement about the benefits presented by Smart Farming for Irish agriculture and society, they held different interpretations and opinions when discussing identified risks. The main concerns related to consumer rejection of technologies, inequitable distribution of risks and benefits within the farming community, adverse socio-economic impacts of increased farmer-technology interactions, and ethical threats presented by the collection and sharing of farmers’ data. The current study reinforces how ambiguity can surround the discussion of risks as individuals form perceptions based on divergent value judgements. The findings reinforce the call for discourse-based management of risks and the embedding of frameworks such as Responsible Research and Innovation within Smart Farming.","author":[{"dropping-particle":"","family":"Regan","given":"Áine","non-dropping-particle":"","parse-names":false,"suffix":""}],"container-title":"NJAS - Wageningen Journal of Life Sciences","id":"ITEM-1","issued":{"date-parts":[["2019"]]},"publisher":"Elsevier","title":"‘Smart farming’ in Ireland: A risk perception study with key governance actors","type":"article-journal"},"uris":["http://www.mendeley.com/documents/?uuid=419f01de-bd5f-4487-9ad9-4b11187339ab"]}],"mendeley":{"formattedCitation":"(Regan, 2019)","plainTextFormattedCitation":"(Regan, 2019)"},"properties":{"noteIndex":0},"schema":"https://github.com/citation-style-language/schema/raw/master/csl-citation.json"}</w:instrText>
      </w:r>
      <w:r>
        <w:rPr>
          <w:color w:val="FF0000"/>
        </w:rPr>
        <w:fldChar w:fldCharType="separate"/>
      </w:r>
      <w:r w:rsidRPr="00551408">
        <w:rPr>
          <w:noProof/>
          <w:color w:val="FF0000"/>
        </w:rPr>
        <w:t>(Regan, 2019)</w:t>
      </w:r>
      <w:r>
        <w:rPr>
          <w:color w:val="FF0000"/>
        </w:rPr>
        <w:fldChar w:fldCharType="end"/>
      </w:r>
      <w:r>
        <w:rPr>
          <w:color w:val="FF0000"/>
        </w:rPr>
        <w:t xml:space="preserve">, and call for discourse-based management of risk. </w:t>
      </w:r>
    </w:p>
    <w:p w14:paraId="6CD8EA0A" w14:textId="77777777" w:rsidR="00E171F3" w:rsidRDefault="00E171F3" w:rsidP="00E171F3">
      <w:pPr>
        <w:pStyle w:val="ListParagraph"/>
        <w:numPr>
          <w:ilvl w:val="0"/>
          <w:numId w:val="6"/>
        </w:numPr>
        <w:rPr>
          <w:color w:val="FF0000"/>
        </w:rPr>
      </w:pPr>
      <w:r>
        <w:rPr>
          <w:color w:val="FF0000"/>
        </w:rPr>
        <w:t>DATA INTEGRATION As it becomes easier to collect more data, how do we correctly incorporate and interpret it?</w:t>
      </w:r>
    </w:p>
    <w:p w14:paraId="58976330" w14:textId="77777777" w:rsidR="00E171F3" w:rsidRDefault="00E171F3" w:rsidP="00E171F3">
      <w:pPr>
        <w:pStyle w:val="ListParagraph"/>
        <w:numPr>
          <w:ilvl w:val="0"/>
          <w:numId w:val="6"/>
        </w:numPr>
        <w:rPr>
          <w:color w:val="FF0000"/>
        </w:rPr>
      </w:pPr>
      <w:r>
        <w:rPr>
          <w:color w:val="FF0000"/>
        </w:rPr>
        <w:t>How will novel challenges interact with existing challenges?</w:t>
      </w:r>
    </w:p>
    <w:p w14:paraId="42C51575" w14:textId="77777777" w:rsidR="00E171F3" w:rsidRDefault="00E171F3" w:rsidP="00E171F3">
      <w:pPr>
        <w:pStyle w:val="ListParagraph"/>
        <w:numPr>
          <w:ilvl w:val="1"/>
          <w:numId w:val="6"/>
        </w:numPr>
        <w:rPr>
          <w:color w:val="FF0000"/>
        </w:rPr>
      </w:pPr>
      <w:r>
        <w:rPr>
          <w:color w:val="FF0000"/>
        </w:rPr>
        <w:t>Digital inequality: will the characteristics of new and emerging technologies contribute to a new class of digital inequality?</w:t>
      </w:r>
    </w:p>
    <w:p w14:paraId="1DD50E5C" w14:textId="77777777" w:rsidR="00E171F3" w:rsidRDefault="00E171F3" w:rsidP="00E171F3">
      <w:pPr>
        <w:pStyle w:val="ListParagraph"/>
        <w:numPr>
          <w:ilvl w:val="0"/>
          <w:numId w:val="6"/>
        </w:numPr>
        <w:rPr>
          <w:color w:val="FF0000"/>
        </w:rPr>
      </w:pPr>
      <w:r>
        <w:rPr>
          <w:color w:val="FF0000"/>
        </w:rPr>
        <w:t>REACTIVE VS PROACTIVE Regulations are still reactive rather proactive, so the gap between what is done and its regulation will accelerate as innovation accelerates.</w:t>
      </w:r>
    </w:p>
    <w:p w14:paraId="1194A5A2" w14:textId="77777777" w:rsidR="00E171F3" w:rsidRDefault="00E171F3" w:rsidP="00E171F3">
      <w:pPr>
        <w:pStyle w:val="ListParagraph"/>
        <w:numPr>
          <w:ilvl w:val="1"/>
          <w:numId w:val="6"/>
        </w:numPr>
        <w:rPr>
          <w:color w:val="FF0000"/>
        </w:rPr>
      </w:pPr>
      <w:r>
        <w:rPr>
          <w:color w:val="FF0000"/>
        </w:rPr>
        <w:t>Connected issue about necessity for gatekeepers for ubiquitous HIT</w:t>
      </w:r>
    </w:p>
    <w:p w14:paraId="0EA2F2E6" w14:textId="77777777" w:rsidR="00E171F3" w:rsidRDefault="00E171F3" w:rsidP="00E171F3">
      <w:pPr>
        <w:pStyle w:val="ListParagraph"/>
        <w:numPr>
          <w:ilvl w:val="0"/>
          <w:numId w:val="6"/>
        </w:numPr>
        <w:rPr>
          <w:color w:val="FF0000"/>
        </w:rPr>
      </w:pPr>
      <w:r>
        <w:rPr>
          <w:color w:val="FF0000"/>
        </w:rPr>
        <w:t xml:space="preserve">REDUCTIONISM </w:t>
      </w:r>
      <w:r w:rsidRPr="00F700A2">
        <w:rPr>
          <w:color w:val="FF0000"/>
        </w:rPr>
        <w:t>Technologies still being viewed in isolation rather than as a system</w:t>
      </w:r>
      <w:r>
        <w:rPr>
          <w:color w:val="FF0000"/>
        </w:rPr>
        <w:t xml:space="preserve">. </w:t>
      </w:r>
      <w:r w:rsidRPr="00F700A2">
        <w:rPr>
          <w:color w:val="FF0000"/>
        </w:rPr>
        <w:t>This applies to both technological innovation but also safety reviews of technologies.</w:t>
      </w:r>
    </w:p>
    <w:p w14:paraId="1C4D1A21" w14:textId="77777777" w:rsidR="00E171F3" w:rsidRPr="00F700A2" w:rsidRDefault="00E171F3" w:rsidP="00E171F3">
      <w:pPr>
        <w:pStyle w:val="ListParagraph"/>
        <w:numPr>
          <w:ilvl w:val="1"/>
          <w:numId w:val="6"/>
        </w:numPr>
        <w:rPr>
          <w:color w:val="FF0000"/>
        </w:rPr>
      </w:pPr>
      <w:r>
        <w:rPr>
          <w:color w:val="FF0000"/>
        </w:rPr>
        <w:t>Links with solutionism on the theme of inappropriate simplification.</w:t>
      </w:r>
    </w:p>
    <w:p w14:paraId="54F01CC8" w14:textId="77777777" w:rsidR="00E171F3" w:rsidRDefault="00E171F3" w:rsidP="00E171F3">
      <w:pPr>
        <w:pStyle w:val="ListParagraph"/>
        <w:numPr>
          <w:ilvl w:val="0"/>
          <w:numId w:val="6"/>
        </w:numPr>
        <w:rPr>
          <w:color w:val="FF0000"/>
        </w:rPr>
      </w:pPr>
      <w:r>
        <w:rPr>
          <w:color w:val="FF0000"/>
        </w:rPr>
        <w:t>SOLUTIONISM The idea that every solution has a technical fix (as opposed to cultural, social, political, emotional, etc.)</w:t>
      </w:r>
    </w:p>
    <w:p w14:paraId="1A8D18B9" w14:textId="77777777" w:rsidR="00E171F3" w:rsidRDefault="00E171F3" w:rsidP="00E171F3">
      <w:pPr>
        <w:pStyle w:val="ListParagraph"/>
        <w:numPr>
          <w:ilvl w:val="1"/>
          <w:numId w:val="6"/>
        </w:numPr>
        <w:rPr>
          <w:color w:val="FF0000"/>
        </w:rPr>
      </w:pPr>
      <w:r>
        <w:rPr>
          <w:color w:val="FF0000"/>
        </w:rPr>
        <w:fldChar w:fldCharType="begin" w:fldLock="1"/>
      </w:r>
      <w:r>
        <w:rPr>
          <w:color w:val="FF0000"/>
        </w:rPr>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Solutionism","type":"book"},"uris":["http://www.mendeley.com/documents/?uuid=95064a81-4b51-4789-bb2f-4d92955775a9"]}],"mendeley":{"formattedCitation":"(Morozov, 2013)","plainTextFormattedCitation":"(Morozov, 2013)","previouslyFormattedCitation":"(Morozov, 2013)"},"properties":{"noteIndex":0},"schema":"https://github.com/citation-style-language/schema/raw/master/csl-citation.json"}</w:instrText>
      </w:r>
      <w:r>
        <w:rPr>
          <w:color w:val="FF0000"/>
        </w:rPr>
        <w:fldChar w:fldCharType="separate"/>
      </w:r>
      <w:r w:rsidRPr="001E7B78">
        <w:rPr>
          <w:noProof/>
          <w:color w:val="FF0000"/>
        </w:rPr>
        <w:t>(Morozov, 2013)</w:t>
      </w:r>
      <w:r>
        <w:rPr>
          <w:color w:val="FF0000"/>
        </w:rPr>
        <w:fldChar w:fldCharType="end"/>
      </w:r>
      <w:r>
        <w:rPr>
          <w:color w:val="FF0000"/>
        </w:rPr>
        <w:t xml:space="preserve"> defines solutionism as “</w:t>
      </w:r>
      <w:r w:rsidRPr="001E7B78">
        <w:rPr>
          <w:i/>
          <w:color w:val="FF0000"/>
        </w:rPr>
        <w:t>[The] recasting [of] complex social situations either as neatly defined problems with definite, computable solutions or as transparent and self-evident processes that can be easily optimised – if only the right [technologies] are in place</w:t>
      </w:r>
      <w:r>
        <w:rPr>
          <w:color w:val="FF0000"/>
        </w:rPr>
        <w:t>”</w:t>
      </w:r>
    </w:p>
    <w:p w14:paraId="31FA328C" w14:textId="77777777" w:rsidR="00E171F3" w:rsidRPr="00DA25EE" w:rsidRDefault="00E171F3" w:rsidP="00E171F3">
      <w:pPr>
        <w:pStyle w:val="ListParagraph"/>
        <w:numPr>
          <w:ilvl w:val="1"/>
          <w:numId w:val="6"/>
        </w:numPr>
        <w:rPr>
          <w:color w:val="FF0000"/>
        </w:rPr>
      </w:pPr>
      <w:r w:rsidRPr="00DA25EE">
        <w:rPr>
          <w:color w:val="FF0000"/>
        </w:rPr>
        <w:t xml:space="preserve">Example discussion of solutionism in diet app’s </w:t>
      </w:r>
      <w:r w:rsidRPr="00DA25EE">
        <w:rPr>
          <w:color w:val="FF0000"/>
        </w:rPr>
        <w:fldChar w:fldCharType="begin" w:fldLock="1"/>
      </w:r>
      <w:r>
        <w:rPr>
          <w:color w:val="FF0000"/>
        </w:rPr>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solutionism","type":"article-journal","volume":"4"},"uris":["http://www.mendeley.com/documents/?uuid=6c4e48dd-6a15-48fd-a966-8260f76b0d32"]}],"mendeley":{"formattedCitation":"(Maturo, 2014)","plainTextFormattedCitation":"(Maturo, 2014)","previouslyFormattedCitation":"(Maturo, 2014)"},"properties":{"noteIndex":0},"schema":"https://github.com/citation-style-language/schema/raw/master/csl-citation.json"}</w:instrText>
      </w:r>
      <w:r w:rsidRPr="00DA25EE">
        <w:rPr>
          <w:color w:val="FF0000"/>
        </w:rPr>
        <w:fldChar w:fldCharType="separate"/>
      </w:r>
      <w:r w:rsidRPr="00DA25EE">
        <w:rPr>
          <w:noProof/>
          <w:color w:val="FF0000"/>
        </w:rPr>
        <w:t>(Maturo, 2014)</w:t>
      </w:r>
      <w:r w:rsidRPr="00DA25EE">
        <w:rPr>
          <w:color w:val="FF0000"/>
        </w:rPr>
        <w:fldChar w:fldCharType="end"/>
      </w:r>
      <w:r w:rsidRPr="00DA25EE">
        <w:rPr>
          <w:color w:val="FF0000"/>
        </w:rPr>
        <w:t xml:space="preserve"> and medical technology </w:t>
      </w:r>
      <w:r w:rsidRPr="00DA25EE">
        <w:rPr>
          <w:color w:val="FF0000"/>
        </w:rPr>
        <w:fldChar w:fldCharType="begin" w:fldLock="1"/>
      </w:r>
      <w:r w:rsidRPr="00DA25EE">
        <w:rPr>
          <w:color w:val="FF0000"/>
        </w:rPr>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care’","type":"article-journal","volume":"22"},"uris":["http://www.mendeley.com/documents/?uuid=fb74b20b-672c-48bd-95d8-bac00a6ff399"]}],"mendeley":{"formattedCitation":"(Gardner &amp; Warren, 2019)","manualFormatting":"(Gardner &amp; Warren, 2019…also with good philosophical and political discussion)","plainTextFormattedCitation":"(Gardner &amp; Warren, 2019)","previouslyFormattedCitation":"(Gardner &amp; Warren, 2019)"},"properties":{"noteIndex":0},"schema":"https://github.com/citation-style-language/schema/raw/master/csl-citation.json"}</w:instrText>
      </w:r>
      <w:r w:rsidRPr="00DA25EE">
        <w:rPr>
          <w:color w:val="FF0000"/>
        </w:rPr>
        <w:fldChar w:fldCharType="separate"/>
      </w:r>
      <w:r w:rsidRPr="00DA25EE">
        <w:rPr>
          <w:noProof/>
          <w:color w:val="FF0000"/>
        </w:rPr>
        <w:t>(Gardner &amp; Warren, 2019…also with good philosophical and political discussion)</w:t>
      </w:r>
      <w:r w:rsidRPr="00DA25EE">
        <w:rPr>
          <w:color w:val="FF0000"/>
        </w:rPr>
        <w:fldChar w:fldCharType="end"/>
      </w:r>
      <w:r w:rsidRPr="00DA25EE">
        <w:rPr>
          <w:color w:val="FF0000"/>
        </w:rPr>
        <w:t>.</w:t>
      </w:r>
    </w:p>
    <w:p w14:paraId="6671E752" w14:textId="77777777" w:rsidR="00E171F3" w:rsidRDefault="00E171F3" w:rsidP="00E171F3">
      <w:pPr>
        <w:pStyle w:val="ListParagraph"/>
        <w:numPr>
          <w:ilvl w:val="0"/>
          <w:numId w:val="6"/>
        </w:numPr>
        <w:rPr>
          <w:color w:val="FF0000"/>
        </w:rPr>
      </w:pPr>
      <w:r>
        <w:rPr>
          <w:color w:val="FF0000"/>
        </w:rPr>
        <w:t xml:space="preserve">TRUST Who are we entrusting with </w:t>
      </w:r>
      <w:r>
        <w:rPr>
          <w:i/>
          <w:color w:val="FF0000"/>
        </w:rPr>
        <w:t>more</w:t>
      </w:r>
      <w:r>
        <w:rPr>
          <w:color w:val="FF0000"/>
        </w:rPr>
        <w:t xml:space="preserve"> of our data </w:t>
      </w:r>
      <w:r>
        <w:rPr>
          <w:i/>
          <w:color w:val="FF0000"/>
        </w:rPr>
        <w:t>faster</w:t>
      </w:r>
      <w:r>
        <w:rPr>
          <w:color w:val="FF0000"/>
        </w:rPr>
        <w:t xml:space="preserve"> and </w:t>
      </w:r>
      <w:r>
        <w:rPr>
          <w:i/>
          <w:color w:val="FF0000"/>
        </w:rPr>
        <w:t>more often</w:t>
      </w:r>
      <w:r>
        <w:rPr>
          <w:color w:val="FF0000"/>
        </w:rPr>
        <w:t>?</w:t>
      </w:r>
    </w:p>
    <w:p w14:paraId="14DF9653" w14:textId="3AC4130D" w:rsidR="00F700A2" w:rsidRPr="00660F62" w:rsidRDefault="00E171F3" w:rsidP="009A7847">
      <w:pPr>
        <w:pStyle w:val="ListParagraph"/>
        <w:numPr>
          <w:ilvl w:val="1"/>
          <w:numId w:val="6"/>
        </w:numPr>
        <w:rPr>
          <w:color w:val="FF0000"/>
        </w:rPr>
      </w:pPr>
      <w:bookmarkStart w:id="0" w:name="_GoBack"/>
      <w:bookmarkEnd w:id="0"/>
      <w:r>
        <w:rPr>
          <w:color w:val="FF0000"/>
        </w:rPr>
        <w:t>Segue from solutionism with a link to the trust required to operate from a socio-cultural level of problem solving.</w:t>
      </w:r>
    </w:p>
    <w:p w14:paraId="780B9214" w14:textId="7E94727B" w:rsidR="00A20FF2" w:rsidRDefault="00A20FF2" w:rsidP="00660F62"/>
    <w:p w14:paraId="1FF8E64D" w14:textId="1ED85418" w:rsidR="00A20FF2" w:rsidRPr="00660F62" w:rsidRDefault="00A20FF2" w:rsidP="00A20FF2">
      <w:pPr>
        <w:pStyle w:val="Heading2"/>
      </w:pPr>
      <w:r>
        <w:t>Patient-safety implications</w:t>
      </w:r>
      <w:r w:rsidR="00C87DCA">
        <w:t xml:space="preserve"> of H.I.T. challenges</w:t>
      </w:r>
    </w:p>
    <w:p w14:paraId="4180AD56" w14:textId="53B45D13" w:rsidR="00FD1560" w:rsidRDefault="00CE48ED" w:rsidP="00970743">
      <w:pPr>
        <w:rPr>
          <w:color w:val="FF0000"/>
        </w:rPr>
      </w:pPr>
      <w:r>
        <w:rPr>
          <w:color w:val="FF0000"/>
        </w:rPr>
        <w:t>*</w:t>
      </w:r>
    </w:p>
    <w:p w14:paraId="49637D17" w14:textId="77777777" w:rsidR="00CE48ED" w:rsidRPr="002D033C" w:rsidRDefault="00CE48ED" w:rsidP="00970743">
      <w:pPr>
        <w:rPr>
          <w:color w:val="FF0000"/>
        </w:rPr>
      </w:pPr>
    </w:p>
    <w:p w14:paraId="5457B14C" w14:textId="1EB8914E" w:rsidR="00E97300" w:rsidRPr="00F700A2" w:rsidRDefault="009D0ABB" w:rsidP="00F700A2">
      <w:pPr>
        <w:pStyle w:val="Heading1"/>
      </w:pPr>
      <w:r>
        <w:t xml:space="preserve">Section 4: </w:t>
      </w:r>
      <w:r w:rsidR="00EC0EB1">
        <w:t xml:space="preserve">Addressing </w:t>
      </w:r>
      <w:r>
        <w:t>challenges to patient-safety</w:t>
      </w:r>
    </w:p>
    <w:p w14:paraId="1CCB8F93" w14:textId="15AE2D3F" w:rsidR="00B05D6C" w:rsidRPr="00F700A2" w:rsidRDefault="00977D1D" w:rsidP="00EC0EB1">
      <w:pPr>
        <w:rPr>
          <w:color w:val="4472C4" w:themeColor="accent5"/>
        </w:rPr>
      </w:pPr>
      <w:r>
        <w:rPr>
          <w:color w:val="4472C4" w:themeColor="accent5"/>
        </w:rPr>
        <w:t xml:space="preserve">[Words &lt; 400] </w:t>
      </w:r>
      <w:r w:rsidR="00B05D6C" w:rsidRPr="00F700A2">
        <w:rPr>
          <w:color w:val="4472C4" w:themeColor="accent5"/>
        </w:rPr>
        <w:t xml:space="preserve">The purpose of this section is to present </w:t>
      </w:r>
      <w:r w:rsidR="00FD1560">
        <w:rPr>
          <w:color w:val="4472C4" w:themeColor="accent5"/>
        </w:rPr>
        <w:t xml:space="preserve">techniques, </w:t>
      </w:r>
      <w:r w:rsidR="00EC0EB1">
        <w:rPr>
          <w:color w:val="4472C4" w:themeColor="accent5"/>
        </w:rPr>
        <w:t>theories, approach</w:t>
      </w:r>
      <w:r w:rsidR="009E6042">
        <w:rPr>
          <w:color w:val="4472C4" w:themeColor="accent5"/>
        </w:rPr>
        <w:t>es</w:t>
      </w:r>
      <w:r w:rsidR="00EC0EB1">
        <w:rPr>
          <w:color w:val="4472C4" w:themeColor="accent5"/>
        </w:rPr>
        <w:t xml:space="preserve"> and frameworks that can help to address the</w:t>
      </w:r>
      <w:r w:rsidR="00B05D6C" w:rsidRPr="00F700A2">
        <w:rPr>
          <w:color w:val="4472C4" w:themeColor="accent5"/>
        </w:rPr>
        <w:t xml:space="preserve"> </w:t>
      </w:r>
      <w:r w:rsidR="002D033C">
        <w:rPr>
          <w:color w:val="4472C4" w:themeColor="accent5"/>
        </w:rPr>
        <w:t>patient-safety</w:t>
      </w:r>
      <w:r w:rsidR="00B05D6C" w:rsidRPr="00F700A2">
        <w:rPr>
          <w:color w:val="4472C4" w:themeColor="accent5"/>
        </w:rPr>
        <w:t xml:space="preserve"> challenges identified by the collaborative.</w:t>
      </w:r>
    </w:p>
    <w:p w14:paraId="448C8414" w14:textId="77777777" w:rsidR="00B05D6C" w:rsidRPr="00B05D6C" w:rsidRDefault="00B05D6C" w:rsidP="00B05D6C"/>
    <w:p w14:paraId="43399131" w14:textId="4F854331" w:rsidR="00E97300" w:rsidRDefault="00E97300" w:rsidP="00284465">
      <w:pPr>
        <w:pStyle w:val="Heading2"/>
      </w:pPr>
      <w:r>
        <w:t>Safety cases</w:t>
      </w:r>
    </w:p>
    <w:p w14:paraId="699F4F55" w14:textId="1E9C7AD0" w:rsidR="00004E11" w:rsidRDefault="00004E11" w:rsidP="00004E11">
      <w:pPr>
        <w:rPr>
          <w:color w:val="FF0000"/>
        </w:rPr>
      </w:pPr>
      <w:r w:rsidRPr="00F13924">
        <w:rPr>
          <w:color w:val="FF0000"/>
        </w:rPr>
        <w:t>*</w:t>
      </w:r>
      <w:r w:rsidR="00AD734F">
        <w:rPr>
          <w:color w:val="FF0000"/>
        </w:rPr>
        <w:t xml:space="preserve">Suggestion: </w:t>
      </w:r>
      <w:r>
        <w:rPr>
          <w:color w:val="FF0000"/>
        </w:rPr>
        <w:t>Ibrahim Habli (UoY) to lead on this section*</w:t>
      </w:r>
    </w:p>
    <w:p w14:paraId="68C76253" w14:textId="247F3E08" w:rsidR="00851E30" w:rsidRDefault="00B05D6C" w:rsidP="00004E11">
      <w:pPr>
        <w:rPr>
          <w:color w:val="4472C4" w:themeColor="accent5"/>
        </w:rPr>
      </w:pPr>
      <w:r w:rsidRPr="00F700A2">
        <w:rPr>
          <w:color w:val="4472C4" w:themeColor="accent5"/>
        </w:rPr>
        <w:t xml:space="preserve">The purpose of this subsection is to present the concept of a safety case </w:t>
      </w:r>
      <w:r w:rsidR="00851E30" w:rsidRPr="00F700A2">
        <w:rPr>
          <w:color w:val="4472C4" w:themeColor="accent5"/>
        </w:rPr>
        <w:fldChar w:fldCharType="begin" w:fldLock="1"/>
      </w:r>
      <w:r w:rsidR="000B2D7E" w:rsidRPr="00F700A2">
        <w:rPr>
          <w:color w:val="4472C4" w:themeColor="accent5"/>
        </w:rPr>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IT","type":"article-journal"},"uris":["http://www.mendeley.com/documents/?uuid=59fdd809-f427-4878-92a0-70d45092df1a"]},{"id":"ITEM-3","itemData":{"DOI":"10.1109/ICSE.2015.199","ISBN":"9781479919345","ISSN":"02705257","abstract":"We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Engineering","id":"ITEM-3","issue":"2","issued":{"date-parts":[["2015"]]},"page":"587-590","publisher":"IEEE","title":"Dynamic Safety Cases for Through-Life Safety Assurance","type":"article-journal","volume":"2"},"uris":["http://www.mendeley.com/documents/?uuid=6ff2da79-68fe-4811-a2a4-486735acf399"]},{"id":"ITEM-4","itemData":{"DOI":"10.1016/j.ress.2015.03.033","ISSN":"09518320","abstract":"There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Safety","id":"ITEM-4","issued":{"date-parts":[["2015"]]},"page":"200-207","publisher":"Elsevier","title":"The development of safety cases for healthcare services: Practical experiences, opportunities and challenges","type":"article-journal","volume":"140"},"uris":["http://www.mendeley.com/documents/?uuid=e5cba41f-0989-433d-9270-ba17c483ebf6"]},{"id":"ITEM-5","itemData":{"DOI":"10.1177/1460458219852789","ISSN":"17412811","PMID":"31165661","abstract":"Health Information Technology is now widely promoted as a means for improving patient safety. The technology could also, under certain conditions, pose hazards to patient safety. However, current definitions of hazards are generic and hard to interpret, particularly for large Health Information Technology in complex socio-technical settings, that is, involving interacting clinical, organisational and technological factors. In this article, we develop a new conceptualisation for the notion of hazards and implement this conceptualisation in a tool-supported methodology called the Safety Modelling, Assurance and Reporting Toolset (SMART). Safety Modelling, Assurance and Reporting Toolset aims to support clinicians and engineers in performing hazard identification and risk analysis and producing a safety case for Health Information Technology. Through a pilot study, we used and examined Safety Modelling, Assurance and Reporting Toolset for developing a safety case for electronic prescribing in three acute hospitals. Our results demonstrate the ability of Safety Modelling, Assurance and Reporting Toolset to ensure that the safety evidence is generated based on explicit traceability between the clinical models and Health Information Technology functionality. They also highlight challenges concerning identifying hazards in a consistent way, with clear impact on patient safety in order to facilitate clinically meaningful risk analysis.","author":[{"dropping-particle":"","family":"Habli","given":"Ibrahim","non-dropping-particle":"","parse-names":false,"suffix":""},{"dropping-particle":"","family":"Jia","given":"Yan","non-dropping-particle":"","parse-names":false,"suffix":""},{"dropping-particle":"","family":"White","given":"Sean","non-dropping-particle":"","parse-names":false,"suffix":""},{"dropping-particle":"","family":"Gabriel","given":"George","non-dropping-particle":"","parse-names":false,"suffix":""},{"dropping-particle":"","family":"Lawton","given":"Tom","non-dropping-particle":"","parse-names":false,"suffix":""},{"dropping-particle":"","family":"Sujan","given":"Mark","non-dropping-particle":"","parse-names":false,"suffix":""},{"dropping-particle":"","family":"Tomsett","given":"Clive","non-dropping-particle":"","parse-names":false,"suffix":""}],"container-title":"Health Informatics Journal","id":"ITEM-5","issued":{"date-parts":[["2019"]]},"title":"Development and piloting of a software tool to facilitate proactive hazard and risk analysis of Health Information Technology","type":"article-journal","volume":"5"},"uris":["http://www.mendeley.com/documents/?uuid=8f8bc3bb-d69d-413f-9768-8580a1efb64f"]},{"id":"ITEM-6","itemData":{"DOI":"10.1177/1460458212462079","author":[{"dropping-particle":"","family":"Sujan","given":"Mark A.","non-dropping-particle":"","parse-names":false,"suffix":""},{"dropping-particle":"","family":"Koornneef","given":"Floor","non-dropping-particle":"","parse-names":false,"suffix":""},{"dropping-particle":"","family":"Chozos","given":"Nick","non-dropping-particle":"","parse-names":false,"suffix":""},{"dropping-particle":"","family":"Pozzi","given":"Simone","non-dropping-particle":"","parse-names":false,"suffix":""},{"dropping-particle":"","family":"Kelly","given":"Tim","non-dropping-particle":"","parse-names":false,"suffix":""}],"container-title":"Health Informatics Journal","id":"ITEM-6","issue":"3","issued":{"date-parts":[["2013"]]},"page":"165-182","title":"Safety cases for medical devices and health information technology: Involving health-care organisations in the assurance of safety","type":"article-journal","volume":"19"},"uris":["http://www.mendeley.com/documents/?uuid=bacc3ca6-2605-457e-947f-46e524455e18"]},{"id":"ITEM-7","itemData":{"DOI":"10.1016/j.ssci.2015.12.021","ISSN":"18791042","abstract":"Healthcare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Science","id":"ITEM-7","issued":{"date-parts":[["2016"]]},"page":"181-189","publisher":"Elsevier Ltd","title":"Should healthcare providers do safety cases? Lessons from a cross-industry review of safety case practices","type":"article-journal","volume":"84"},"uris":["http://www.mendeley.com/documents/?uuid=86855dd1-8bb0-466e-bb10-7d2b47504eca"]}],"mendeley":{"formattedCitation":"(Denney et al., 2015; Despotou et al., 2012; Flood &amp; Habli, 2011; Habli et al., 2019; Sujan et al., 2016, 2013, 2015)","plainTextFormattedCitation":"(Denney et al., 2015; Despotou et al., 2012; Flood &amp; Habli, 2011; Habli et al., 2019; Sujan et al., 2016, 2013, 2015)","previouslyFormattedCitation":"(Denney et al., 2015; Despotou et al., 2012; Flood &amp; Habli, 2011; Habli et al., 2019; Sujan et al., 2016, 2013, 2015)"},"properties":{"noteIndex":0},"schema":"https://github.com/citation-style-language/schema/raw/master/csl-citation.json"}</w:instrText>
      </w:r>
      <w:r w:rsidR="00851E30" w:rsidRPr="00F700A2">
        <w:rPr>
          <w:color w:val="4472C4" w:themeColor="accent5"/>
        </w:rPr>
        <w:fldChar w:fldCharType="separate"/>
      </w:r>
      <w:r w:rsidR="00851E30" w:rsidRPr="00F700A2">
        <w:rPr>
          <w:noProof/>
          <w:color w:val="4472C4" w:themeColor="accent5"/>
        </w:rPr>
        <w:t>(Denney et al., 2015; Despotou et al., 2012; Flood &amp; Habli, 2011; Habli et al., 2019; Sujan et al., 2016, 2013, 2015)</w:t>
      </w:r>
      <w:r w:rsidR="00851E30" w:rsidRPr="00F700A2">
        <w:rPr>
          <w:color w:val="4472C4" w:themeColor="accent5"/>
        </w:rPr>
        <w:fldChar w:fldCharType="end"/>
      </w:r>
      <w:r w:rsidRPr="00F700A2">
        <w:rPr>
          <w:color w:val="4472C4" w:themeColor="accent5"/>
        </w:rPr>
        <w:t>.</w:t>
      </w:r>
    </w:p>
    <w:p w14:paraId="407B6E7B" w14:textId="77777777" w:rsidR="00F76262" w:rsidRPr="00F700A2" w:rsidRDefault="00F76262" w:rsidP="00004E11">
      <w:pPr>
        <w:rPr>
          <w:color w:val="4472C4" w:themeColor="accent5"/>
        </w:rPr>
      </w:pPr>
    </w:p>
    <w:p w14:paraId="4D6E52CB" w14:textId="3A9941D4" w:rsidR="00E97300" w:rsidRDefault="00F76262" w:rsidP="00284465">
      <w:pPr>
        <w:pStyle w:val="Heading2"/>
      </w:pPr>
      <w:r>
        <w:t>S</w:t>
      </w:r>
      <w:r w:rsidR="00E97300">
        <w:t>tandards</w:t>
      </w:r>
    </w:p>
    <w:p w14:paraId="61AFA88D" w14:textId="5177F204" w:rsidR="00B23B5B" w:rsidRPr="00F700A2" w:rsidRDefault="00B05D6C" w:rsidP="00B05D6C">
      <w:pPr>
        <w:rPr>
          <w:color w:val="4472C4" w:themeColor="accent5"/>
        </w:rPr>
      </w:pPr>
      <w:r w:rsidRPr="00F700A2">
        <w:rPr>
          <w:color w:val="4472C4" w:themeColor="accent5"/>
        </w:rPr>
        <w:t xml:space="preserve">The purpose of this subsection is to present efforts to develop design standards for </w:t>
      </w:r>
      <w:r w:rsidR="00AA6BB1" w:rsidRPr="00F700A2">
        <w:rPr>
          <w:color w:val="4472C4" w:themeColor="accent5"/>
        </w:rPr>
        <w:t>health information tech</w:t>
      </w:r>
      <w:r w:rsidRPr="00F700A2">
        <w:rPr>
          <w:color w:val="4472C4" w:themeColor="accent5"/>
        </w:rPr>
        <w:t>nology</w:t>
      </w:r>
      <w:r w:rsidR="00D55A92" w:rsidRPr="00F700A2">
        <w:rPr>
          <w:color w:val="4472C4" w:themeColor="accent5"/>
        </w:rPr>
        <w:t xml:space="preserve"> </w:t>
      </w:r>
      <w:r w:rsidR="00D55A92" w:rsidRPr="00F700A2">
        <w:rPr>
          <w:color w:val="4472C4" w:themeColor="accent5"/>
        </w:rPr>
        <w:fldChar w:fldCharType="begin" w:fldLock="1"/>
      </w:r>
      <w:r w:rsidR="00021296" w:rsidRPr="00F700A2">
        <w:rPr>
          <w:color w:val="4472C4" w:themeColor="accent5"/>
        </w:rPr>
        <w:instrText>ADDIN CSL_CITATION {"citationItems":[{"id":"ITEM-1","itemData":{"author":[{"dropping-particle":"","family":"Masum","given":"Hassan","non-dropping-particle":"","parse-names":false,"suffix":""},{"dropping-particle":"","family":"Lackman","given":"Rebecca","non-dropping-particle":"","parse-names":false,"suffix":""},{"dropping-particle":"","family":"Bartleson","given":"Karen","non-dropping-particle":"","parse-names":false,"suffix":""}],"container-title":"Globalization and Health","id":"ITEM-1","issue":"49","issued":{"date-parts":[["2013"]]},"title":"Developing global health technology standards: what can other industries teach us?","type":"article-journal","volume":"9"},"uris":["http://www.mendeley.com/documents/?uuid=74ac3f68-d244-4e6c-aa52-b553d073d345"]},{"id":"ITEM-2","itemData":{"DOI":"10.3233/978-1-61499-808-2-127","ISBN":"9781614998082","abstract":"Clinical Decision Support Systems (CDSS) can have positive effects on quality of care measures, yet have not gained widespread traction in healthcare. This study sought to determine and evaluate barriers and facilitators to CDSS implementation and distribution. Based on 768 systems identified in a literature review we conducted semi-structured telephone interviews with 54 system developers in 16 countries. Qualitative analysis led to the identification of 66 key factors influencing implementation. Central issues evolved around CDSS properties, quality and integration, as well as usability, user related factors, internal marketing, resource issues and collaborations with emphasis partly on topics differing from existing research. Additionally, evidence pointed to regional differences regarding implementation hurdles. Recent regulatory requirements were deemed less of a barrier to system adoption than expected, even though lacking expertise in this area was surprisingly common among interview partners","author":[{"dropping-particle":"","family":"Kux","given":"Benjamin R","non-dropping-particle":"","parse-names":false,"suffix":""},{"dropping-particle":"","family":"Majeed","given":"Raphael W","non-dropping-particle":"","parse-names":false,"suffix":""}],"container-title":"Studies in Health Technology and Informatics","id":"ITEM-2","issued":{"date-parts":[["2017"]]},"page":"127-131","title":"Factors Influencing the Implementation and Distribution of Clinical Decision Support Systems (CDSS)","type":"article-journal","volume":"243"},"uris":["http://www.mendeley.com/documents/?uuid=6780e238-4860-4a1e-b551-50982e2578f3"]},{"id":"ITEM-3","itemData":{"DOI":"10.1136/bmjqs-2019-009484","author":[{"dropping-particle":"","family":"Macrae","given":"Carl","non-dropping-particle":"","parse-names":false,"suffix":""}],"container-title":"BMJ Qual Saf","id":"ITEM-3","issued":{"date-parts":[["2019"]]},"page":"495-498","title":"Governing the safety of artificial intelligence in healthcare","type":"article-journal","volume":"28"},"uris":["http://www.mendeley.com/documents/?uuid=03f4e3b8-d271-4aac-a72b-48f8782bb709"]}],"mendeley":{"formattedCitation":"(Kux &amp; Majeed, 2017; Macrae, 2019; Masum et al., 2013)","plainTextFormattedCitation":"(Kux &amp; Majeed, 2017; Macrae, 2019; Masum et al., 2013)","previouslyFormattedCitation":"(Kux &amp; Majeed, 2017; Macrae, 2019; Masum et al., 2013)"},"properties":{"noteIndex":0},"schema":"https://github.com/citation-style-language/schema/raw/master/csl-citation.json"}</w:instrText>
      </w:r>
      <w:r w:rsidR="00D55A92" w:rsidRPr="00F700A2">
        <w:rPr>
          <w:color w:val="4472C4" w:themeColor="accent5"/>
        </w:rPr>
        <w:fldChar w:fldCharType="separate"/>
      </w:r>
      <w:r w:rsidR="00021296" w:rsidRPr="00F700A2">
        <w:rPr>
          <w:noProof/>
          <w:color w:val="4472C4" w:themeColor="accent5"/>
        </w:rPr>
        <w:t>(Kux &amp; Majeed, 2017; Macrae, 2019; Masum et al., 2013)</w:t>
      </w:r>
      <w:r w:rsidR="00D55A92" w:rsidRPr="00F700A2">
        <w:rPr>
          <w:color w:val="4472C4" w:themeColor="accent5"/>
        </w:rPr>
        <w:fldChar w:fldCharType="end"/>
      </w:r>
      <w:r w:rsidR="00021296" w:rsidRPr="00F700A2">
        <w:rPr>
          <w:color w:val="4472C4" w:themeColor="accent5"/>
        </w:rPr>
        <w:t>, e.g.</w:t>
      </w:r>
      <w:r w:rsidR="003F2662">
        <w:rPr>
          <w:color w:val="4472C4" w:themeColor="accent5"/>
        </w:rPr>
        <w:t xml:space="preserve"> IEC 80001 standard </w:t>
      </w:r>
      <w:r w:rsidR="003F2662">
        <w:rPr>
          <w:color w:val="4472C4" w:themeColor="accent5"/>
        </w:rPr>
        <w:fldChar w:fldCharType="begin" w:fldLock="1"/>
      </w:r>
      <w:r w:rsidR="00387EBD">
        <w:rPr>
          <w:color w:val="4472C4" w:themeColor="accent5"/>
        </w:rPr>
        <w:instrText>ADDIN CSL_CITATION {"citationItems":[{"id":"ITEM-1","itemData":{"author":[{"dropping-particle":"","family":"IEC","given":"","non-dropping-particle":"","parse-names":false,"suffix":""}],"id":"ITEM-1","issued":{"date-parts":[["2011"]]},"publisher":"International Electrotechnical Commission","publisher-place":"Geneva","title":"International Electrotechnical Commission 80001:2011. Application of risk management to information technology (IT) networks incorporating medical devices","type":"article"},"uris":["http://www.mendeley.com/documents/?uuid=a28a89e9-35f4-4897-90f7-90f1cda4a455"]}],"mendeley":{"formattedCitation":"(IEC, 2011)","plainTextFormattedCitation":"(IEC, 2011)","previouslyFormattedCitation":"(IEC, 2011)"},"properties":{"noteIndex":0},"schema":"https://github.com/citation-style-language/schema/raw/master/csl-citation.json"}</w:instrText>
      </w:r>
      <w:r w:rsidR="003F2662">
        <w:rPr>
          <w:color w:val="4472C4" w:themeColor="accent5"/>
        </w:rPr>
        <w:fldChar w:fldCharType="separate"/>
      </w:r>
      <w:r w:rsidR="003F2662" w:rsidRPr="003F2662">
        <w:rPr>
          <w:noProof/>
          <w:color w:val="4472C4" w:themeColor="accent5"/>
        </w:rPr>
        <w:t>(IEC, 2011)</w:t>
      </w:r>
      <w:r w:rsidR="003F2662">
        <w:rPr>
          <w:color w:val="4472C4" w:themeColor="accent5"/>
        </w:rPr>
        <w:fldChar w:fldCharType="end"/>
      </w:r>
      <w:r w:rsidR="003F2662">
        <w:rPr>
          <w:color w:val="4472C4" w:themeColor="accent5"/>
        </w:rPr>
        <w:t>,</w:t>
      </w:r>
      <w:r w:rsidR="00021296" w:rsidRPr="00F700A2">
        <w:rPr>
          <w:color w:val="4472C4" w:themeColor="accent5"/>
        </w:rPr>
        <w:t xml:space="preserve"> </w:t>
      </w:r>
      <w:r w:rsidR="00B23B5B" w:rsidRPr="00F700A2">
        <w:rPr>
          <w:color w:val="4472C4" w:themeColor="accent5"/>
        </w:rPr>
        <w:t xml:space="preserve">learning from Business Intelligence and sociotechnical theories </w:t>
      </w:r>
      <w:r w:rsidR="00B23B5B" w:rsidRPr="00F700A2">
        <w:rPr>
          <w:color w:val="4472C4" w:themeColor="accent5"/>
        </w:rPr>
        <w:fldChar w:fldCharType="begin" w:fldLock="1"/>
      </w:r>
      <w:r w:rsidR="009D445B" w:rsidRPr="00F700A2">
        <w:rPr>
          <w:color w:val="4472C4" w:themeColor="accent5"/>
        </w:rPr>
        <w:instrText>ADDIN CSL_CITATION {"citationItems":[{"id":"ITEM-1","itemData":{"DOI":"10.1007/978-3-030-17347-0_11","ISBN":"9783030173470","author":[{"dropping-particle":"","family":"Moghimi","given":"Hoda","non-dropping-particle":"","parse-names":false,"suffix":""},{"dropping-particle":"","family":"Wickramasinghe","given":"Nilmini","non-dropping-particle":"","parse-names":false,"suffix":""},{"dropping-particle":"","family":"Adya","given":"Monica","non-dropping-particle":"","parse-names":false,"suffix":""}],"id":"ITEM-1","issued":{"date-parts":[["2020"]]},"number-of-pages":"225-257","title":"Intelligent Risk Detection in Health Care: Integrating Social and Technical Factors to Manage Health Outcomes","type":"book"},"uris":["http://www.mendeley.com/documents/?uuid=89978aac-d734-4300-9a2e-5a2f4361638a"]}],"mendeley":{"formattedCitation":"(Moghimi et al., 2020)","plainTextFormattedCitation":"(Moghimi et al., 2020)","previouslyFormattedCitation":"(Moghimi et al., 2020)"},"properties":{"noteIndex":0},"schema":"https://github.com/citation-style-language/schema/raw/master/csl-citation.json"}</w:instrText>
      </w:r>
      <w:r w:rsidR="00B23B5B" w:rsidRPr="00F700A2">
        <w:rPr>
          <w:color w:val="4472C4" w:themeColor="accent5"/>
        </w:rPr>
        <w:fldChar w:fldCharType="separate"/>
      </w:r>
      <w:r w:rsidR="003D5C61" w:rsidRPr="00F700A2">
        <w:rPr>
          <w:noProof/>
          <w:color w:val="4472C4" w:themeColor="accent5"/>
        </w:rPr>
        <w:t>(Moghimi et al., 2020)</w:t>
      </w:r>
      <w:r w:rsidR="00B23B5B" w:rsidRPr="00F700A2">
        <w:rPr>
          <w:color w:val="4472C4" w:themeColor="accent5"/>
        </w:rPr>
        <w:fldChar w:fldCharType="end"/>
      </w:r>
      <w:r w:rsidR="00021296" w:rsidRPr="00F700A2">
        <w:rPr>
          <w:color w:val="4472C4" w:themeColor="accent5"/>
        </w:rPr>
        <w:t xml:space="preserve">, </w:t>
      </w:r>
      <w:r w:rsidR="00021296" w:rsidRPr="00F700A2">
        <w:rPr>
          <w:rStyle w:val="normaltextrun"/>
          <w:rFonts w:ascii="Calibri" w:hAnsi="Calibri" w:cs="Calibri"/>
          <w:color w:val="4472C4" w:themeColor="accent5"/>
        </w:rPr>
        <w:t xml:space="preserve">Clinical Decision Support Consortia </w:t>
      </w:r>
      <w:r w:rsidR="00021296" w:rsidRPr="00F700A2">
        <w:rPr>
          <w:rStyle w:val="normaltextrun"/>
          <w:rFonts w:ascii="Calibri" w:hAnsi="Calibri" w:cs="Calibri"/>
          <w:color w:val="4472C4" w:themeColor="accent5"/>
        </w:rPr>
        <w:fldChar w:fldCharType="begin" w:fldLock="1"/>
      </w:r>
      <w:r w:rsidR="00021296" w:rsidRPr="00F700A2">
        <w:rPr>
          <w:rStyle w:val="normaltextrun"/>
          <w:rFonts w:ascii="Calibri" w:hAnsi="Calibri" w:cs="Calibri"/>
          <w:color w:val="4472C4" w:themeColor="accent5"/>
        </w:rPr>
        <w:instrText>ADDIN CSL_CITATION {"citationItems":[{"id":"ITEM-1","itemData":{"DOI":"10.1136/jamia.2009.002030","author":[{"dropping-particle":"","family":"Wright","given":"Adam","non-dropping-particle":"","parse-names":false,"suffix":""},{"dropping-particle":"","family":"Sittig","given":"Dean F.","non-dropping-particle":"","parse-names":false,"suffix":""},{"dropping-particle":"","family":"Ash","given":"Joan S.","non-dropping-particle":"","parse-names":false,"suffix":""},{"dropping-particle":"","family":"Bates","given":"David W.","non-dropping-particle":"","parse-names":false,"suffix":""},{"dropping-particle":"","family":"Feblowitz","given":"Joshua","non-dropping-particle":"","parse-names":false,"suffix":""},{"dropping-particle":"","family":"Fraser","given":"Greg","non-dropping-particle":"","parse-names":false,"suffix":""},{"dropping-particle":"","family":"Maviglia","given":"Saverio M","non-dropping-particle":"","parse-names":false,"suffix":""},{"dropping-particle":"","family":"Mcmullen","given":"Carmit","non-dropping-particle":"","parse-names":false,"suffix":""},{"dropping-particle":"","family":"Nichol","given":"W Paul","non-dropping-particle":"","parse-names":false,"suffix":""},{"dropping-particle":"","family":"Pang","given":"Justine E","non-dropping-particle":"","parse-names":false,"suffix":""},{"dropping-particle":"","family":"Starmer","given":"Jack","non-dropping-particle":"","parse-names":false,"suffix":""},{"dropping-particle":"","family":"Middleton","given":"Blackford","non-dropping-particle":"","parse-names":false,"suffix":""}],"container-title":"J Am Med Inform Assoc 2011;18:187e194.","id":"ITEM-1","issued":{"date-parts":[["2011"]]},"page":"187-194","title":"Governance for clinical decision support: case studies and recommended practices from leading institutions","type":"article-journal","volume":"18"},"uris":["http://www.mendeley.com/documents/?uuid=71e63067-e229-4fab-b9e0-b90d2483fed1"]}],"mendeley":{"formattedCitation":"(Wright et al., 2011)","plainTextFormattedCitation":"(Wright et al., 2011)","previouslyFormattedCitation":"(Wright et al., 2011)"},"properties":{"noteIndex":0},"schema":"https://github.com/citation-style-language/schema/raw/master/csl-citation.json"}</w:instrText>
      </w:r>
      <w:r w:rsidR="00021296" w:rsidRPr="00F700A2">
        <w:rPr>
          <w:rStyle w:val="normaltextrun"/>
          <w:rFonts w:ascii="Calibri" w:hAnsi="Calibri" w:cs="Calibri"/>
          <w:color w:val="4472C4" w:themeColor="accent5"/>
        </w:rPr>
        <w:fldChar w:fldCharType="separate"/>
      </w:r>
      <w:r w:rsidR="00021296" w:rsidRPr="00F700A2">
        <w:rPr>
          <w:rStyle w:val="normaltextrun"/>
          <w:rFonts w:ascii="Calibri" w:hAnsi="Calibri" w:cs="Calibri"/>
          <w:noProof/>
          <w:color w:val="4472C4" w:themeColor="accent5"/>
        </w:rPr>
        <w:t>(Wright et al., 2011)</w:t>
      </w:r>
      <w:r w:rsidR="00021296" w:rsidRPr="00F700A2">
        <w:rPr>
          <w:rStyle w:val="normaltextrun"/>
          <w:rFonts w:ascii="Calibri" w:hAnsi="Calibri" w:cs="Calibri"/>
          <w:color w:val="4472C4" w:themeColor="accent5"/>
        </w:rPr>
        <w:fldChar w:fldCharType="end"/>
      </w:r>
      <w:r w:rsidR="00021296" w:rsidRPr="00F700A2">
        <w:rPr>
          <w:rStyle w:val="normaltextrun"/>
          <w:rFonts w:ascii="Calibri" w:hAnsi="Calibri" w:cs="Calibri"/>
          <w:color w:val="4472C4" w:themeColor="accent5"/>
        </w:rPr>
        <w:t xml:space="preserve">, preceding scale-up with a scoping review of international, national, and relevant local guidelines </w:t>
      </w:r>
      <w:r w:rsidR="00021296" w:rsidRPr="00F700A2">
        <w:rPr>
          <w:rStyle w:val="normaltextrun"/>
          <w:rFonts w:ascii="Calibri" w:hAnsi="Calibri" w:cs="Calibri"/>
          <w:color w:val="4472C4" w:themeColor="accent5"/>
        </w:rPr>
        <w:fldChar w:fldCharType="begin" w:fldLock="1"/>
      </w:r>
      <w:r w:rsidR="008A0035" w:rsidRPr="00F700A2">
        <w:rPr>
          <w:rStyle w:val="normaltextrun"/>
          <w:rFonts w:ascii="Calibri" w:hAnsi="Calibri" w:cs="Calibri"/>
          <w:color w:val="4472C4" w:themeColor="accent5"/>
        </w:rPr>
        <w:instrText>ADDIN CSL_CITATION {"citationItems":[{"id":"ITEM-1","itemData":{"DOI":"10.2196/10813","author":[{"dropping-particle":"","family":"Furlong","given":"Eileen","non-dropping-particle":"","parse-names":false,"suffix":""},{"dropping-particle":"","family":"Darley","given":"Andrew","non-dropping-particle":"","parse-names":false,"suffix":""},{"dropping-particle":"","family":"Fox","given":"Patricia","non-dropping-particle":"","parse-names":false,"suffix":""},{"dropping-particle":"","family":"et al.","given":"","non-dropping-particle":"","parse-names":false,"suffix":""}],"container-title":"JMIR Cancer","id":"ITEM-1","issue":"1","issued":{"date-parts":[["2019"]]},"page":"e10813","title":"Adaptation and Implementation of a Mobile Phone–Based Remote Symptom Monitoring System for People With Cancer in Europe","type":"article-journal","volume":"5"},"uris":["http://www.mendeley.com/documents/?uuid=5598cec4-aff0-4f55-b22e-94c4a48a0d2d"]}],"mendeley":{"formattedCitation":"(Furlong et al., 2019)","plainTextFormattedCitation":"(Furlong et al., 2019)","previouslyFormattedCitation":"(Furlong et al., 2019)"},"properties":{"noteIndex":0},"schema":"https://github.com/citation-style-language/schema/raw/master/csl-citation.json"}</w:instrText>
      </w:r>
      <w:r w:rsidR="00021296" w:rsidRPr="00F700A2">
        <w:rPr>
          <w:rStyle w:val="normaltextrun"/>
          <w:rFonts w:ascii="Calibri" w:hAnsi="Calibri" w:cs="Calibri"/>
          <w:color w:val="4472C4" w:themeColor="accent5"/>
        </w:rPr>
        <w:fldChar w:fldCharType="separate"/>
      </w:r>
      <w:r w:rsidR="00021296" w:rsidRPr="00F700A2">
        <w:rPr>
          <w:rStyle w:val="normaltextrun"/>
          <w:rFonts w:ascii="Calibri" w:hAnsi="Calibri" w:cs="Calibri"/>
          <w:noProof/>
          <w:color w:val="4472C4" w:themeColor="accent5"/>
        </w:rPr>
        <w:t>(Furlong et al., 2019)</w:t>
      </w:r>
      <w:r w:rsidR="00021296" w:rsidRPr="00F700A2">
        <w:rPr>
          <w:rStyle w:val="normaltextrun"/>
          <w:rFonts w:ascii="Calibri" w:hAnsi="Calibri" w:cs="Calibri"/>
          <w:color w:val="4472C4" w:themeColor="accent5"/>
        </w:rPr>
        <w:fldChar w:fldCharType="end"/>
      </w:r>
      <w:r w:rsidR="001809FF">
        <w:rPr>
          <w:rStyle w:val="normaltextrun"/>
          <w:rFonts w:ascii="Calibri" w:hAnsi="Calibri" w:cs="Calibri"/>
          <w:color w:val="4472C4" w:themeColor="accent5"/>
        </w:rPr>
        <w:t xml:space="preserve">, </w:t>
      </w:r>
      <w:r w:rsidR="00977D1D">
        <w:rPr>
          <w:rStyle w:val="normaltextrun"/>
          <w:rFonts w:ascii="Calibri" w:hAnsi="Calibri" w:cs="Calibri"/>
          <w:color w:val="4472C4" w:themeColor="accent5"/>
        </w:rPr>
        <w:t xml:space="preserve">Hippocratic Oath for Connected Medical Devices ; </w:t>
      </w:r>
      <w:r w:rsidR="001809FF">
        <w:rPr>
          <w:rStyle w:val="normaltextrun"/>
          <w:rFonts w:ascii="Calibri" w:hAnsi="Calibri" w:cs="Calibri"/>
          <w:color w:val="4472C4" w:themeColor="accent5"/>
        </w:rPr>
        <w:t xml:space="preserve">and using frameworks that sufficiently consider socio-technical systems and lifecycles of technology </w:t>
      </w:r>
      <w:r w:rsidR="001809FF">
        <w:rPr>
          <w:rStyle w:val="normaltextrun"/>
          <w:rFonts w:ascii="Calibri" w:hAnsi="Calibri" w:cs="Calibri"/>
          <w:color w:val="4472C4" w:themeColor="accent5"/>
        </w:rPr>
        <w:fldChar w:fldCharType="begin" w:fldLock="1"/>
      </w:r>
      <w:r w:rsidR="000C464D">
        <w:rPr>
          <w:rStyle w:val="normaltextrun"/>
          <w:rFonts w:ascii="Calibri" w:hAnsi="Calibri" w:cs="Calibri"/>
          <w:color w:val="4472C4" w:themeColor="accent5"/>
        </w:rPr>
        <w:instrText>ADDIN CSL_CITATION {"citationItems":[{"id":"ITEM-1","itemData":{"DOI":"10.2196/jmir.8775","ISSN":"14388871","PMID":"29092808","abstract":"Background: Many promising technological innovations in health and social care are characterized by nonadoption or abandonment by individuals or by failed attempts to scale up locally, spread distantly, or sustain the innovation long term at the organization or system level. Objective: Our objective was to produce an evidence-based, theory-informed, and pragmatic framework to help predict and evaluate the success of a technology-supported health or social care program. Methods: The study had 2 parallel components: (1) secondary research (hermeneutic systematic review) to identify key domains, and (2) empirical case studies of technology implementation to explore, test, and refine these domains. We studied 6 technology-supported programs-video outpatient consultations, global positioning system tracking for cognitive impairment, pendant alarm services, remote biomarker monitoring for heart failure, care organizing software, and integrated case management via data sharing-using longitudinal ethnography and action research for up to 3 years across more than 20 organizations. Data were collected at micro level (individual technology users), meso level (organizational processes and systems), and macro level (national policy and wider context). Analysis and synthesis was aided by sociotechnically informed theories of individual, organizational, and system change. The draft framework was shared with colleagues who were introducing or evaluating other technology-supported health or care programs and refined in response to feedback. Results: The literature review identified 28 previous technology implementation frameworks, of which 14 had taken a dynamic systems approach (including 2 integrative reviews of previous work). Our empirical dataset consisted of over 400 hours of ethnographic observation, 165 semistructured interviews, and 200 documents. The final nonadoption, abandonment, scale-up, spread, and sustainability (NASSS) framework included questions in 7 domains: the condition or illness, the technology, the value proposition, the adopter system (comprising professional staff, patient, and lay caregivers), the organization(s), the wider (institutional and societal) context, and the interaction and mutual adaptation between all these domains over time. Our empirical case studies raised a variety of challenges across all 7 domains, each classified as simple (straightforward, predictable, few components), complicated (multiple interacting components or issue…","author":[{"dropping-particle":"","family":"Greenhalgh","given":"Trisha","non-dropping-particle":"","parse-names":false,"suffix":""},{"dropping-particle":"","family":"Wherton","given":"Joseph","non-dropping-particle":"","parse-names":false,"suffix":""},{"dropping-particle":"","family":"Papoutsi","given":"Chrysanthi","non-dropping-particle":"","parse-names":false,"suffix":""},{"dropping-particle":"","family":"Lynch","given":"Jennifer","non-dropping-particle":"","parse-names":false,"suffix":""},{"dropping-particle":"","family":"Hughes","given":"Gemma","non-dropping-particle":"","parse-names":false,"suffix":""},{"dropping-particle":"","family":"A'Court","given":"Christine","non-dropping-particle":"","parse-names":false,"suffix":""},{"dropping-particle":"","family":"Hinder","given":"Susan","non-dropping-particle":"","parse-names":false,"suffix":""},{"dropping-particle":"","family":"Fahy","given":"Nick","non-dropping-particle":"","parse-names":false,"suffix":""},{"dropping-particle":"","family":"Procter","given":"Rob","non-dropping-particle":"","parse-names":false,"suffix":""},{"dropping-particle":"","family":"Shaw","given":"Sara","non-dropping-particle":"","parse-names":false,"suffix":""}],"container-title":"Journal of Medical Internet Research","id":"ITEM-1","issue":"11","issued":{"date-parts":[["2017"]]},"title":"Beyond adoption: A new framework for theorizing and evaluating nonadoption, abandonment, and challenges to the scale-up, spread, and sustainability of health and care technologies","type":"article-journal","volume":"19"},"uris":["http://www.mendeley.com/documents/?uuid=31246399-e75f-4214-a1a5-fa6f29f268b0"]}],"mendeley":{"formattedCitation":"(Greenhalgh et al., 2017)","plainTextFormattedCitation":"(Greenhalgh et al., 2017)","previouslyFormattedCitation":"(Greenhalgh et al., 2017)"},"properties":{"noteIndex":0},"schema":"https://github.com/citation-style-language/schema/raw/master/csl-citation.json"}</w:instrText>
      </w:r>
      <w:r w:rsidR="001809FF">
        <w:rPr>
          <w:rStyle w:val="normaltextrun"/>
          <w:rFonts w:ascii="Calibri" w:hAnsi="Calibri" w:cs="Calibri"/>
          <w:color w:val="4472C4" w:themeColor="accent5"/>
        </w:rPr>
        <w:fldChar w:fldCharType="separate"/>
      </w:r>
      <w:r w:rsidR="001809FF" w:rsidRPr="001809FF">
        <w:rPr>
          <w:rStyle w:val="normaltextrun"/>
          <w:rFonts w:ascii="Calibri" w:hAnsi="Calibri" w:cs="Calibri"/>
          <w:noProof/>
          <w:color w:val="4472C4" w:themeColor="accent5"/>
        </w:rPr>
        <w:t>(Greenhalgh et al., 2017)</w:t>
      </w:r>
      <w:r w:rsidR="001809FF">
        <w:rPr>
          <w:rStyle w:val="normaltextrun"/>
          <w:rFonts w:ascii="Calibri" w:hAnsi="Calibri" w:cs="Calibri"/>
          <w:color w:val="4472C4" w:themeColor="accent5"/>
        </w:rPr>
        <w:fldChar w:fldCharType="end"/>
      </w:r>
      <w:r w:rsidRPr="00F700A2">
        <w:rPr>
          <w:color w:val="4472C4" w:themeColor="accent5"/>
        </w:rPr>
        <w:t>.</w:t>
      </w:r>
    </w:p>
    <w:p w14:paraId="2AE2199E" w14:textId="77777777" w:rsidR="00D55A92" w:rsidRDefault="00D55A92" w:rsidP="00E97300"/>
    <w:p w14:paraId="3EFD878F" w14:textId="79B25F40" w:rsidR="00D43272" w:rsidRDefault="00D43272" w:rsidP="00284465">
      <w:pPr>
        <w:pStyle w:val="Heading2"/>
      </w:pPr>
      <w:r>
        <w:t>Interoperability</w:t>
      </w:r>
      <w:r w:rsidR="003C1579">
        <w:t xml:space="preserve"> solutions</w:t>
      </w:r>
    </w:p>
    <w:p w14:paraId="65E617F1" w14:textId="6F8A68FB" w:rsidR="00E97300" w:rsidRDefault="00B05D6C" w:rsidP="00B05D6C">
      <w:pPr>
        <w:rPr>
          <w:color w:val="4472C4" w:themeColor="accent5"/>
        </w:rPr>
      </w:pPr>
      <w:r w:rsidRPr="00F700A2">
        <w:rPr>
          <w:color w:val="4472C4" w:themeColor="accent5"/>
        </w:rPr>
        <w:t xml:space="preserve">The purpose of this subsection is to present efforts made to improve the interoperability of </w:t>
      </w:r>
      <w:r w:rsidR="00AA6BB1" w:rsidRPr="00F700A2">
        <w:rPr>
          <w:color w:val="4472C4" w:themeColor="accent5"/>
        </w:rPr>
        <w:t>health information tech</w:t>
      </w:r>
      <w:r w:rsidRPr="00F700A2">
        <w:rPr>
          <w:color w:val="4472C4" w:themeColor="accent5"/>
        </w:rPr>
        <w:t>nologies and health information technology systems.</w:t>
      </w:r>
    </w:p>
    <w:p w14:paraId="2BEA6623" w14:textId="481DCEF4" w:rsidR="00F76262" w:rsidRDefault="00F76262" w:rsidP="00B05D6C">
      <w:r w:rsidRPr="00F76262">
        <w:rPr>
          <w:color w:val="FF0000"/>
        </w:rPr>
        <w:t>*With no specific expertise within the group and no particular citation, this could be the first subsection to be removed</w:t>
      </w:r>
      <w:r>
        <w:rPr>
          <w:color w:val="FF0000"/>
        </w:rPr>
        <w:t xml:space="preserve"> if space is constrained</w:t>
      </w:r>
      <w:r w:rsidRPr="00F76262">
        <w:rPr>
          <w:color w:val="FF0000"/>
        </w:rPr>
        <w:t>.</w:t>
      </w:r>
    </w:p>
    <w:p w14:paraId="76DAAF92" w14:textId="425A35F2" w:rsidR="00745D0A" w:rsidRDefault="00745D0A" w:rsidP="00E97300"/>
    <w:p w14:paraId="1ABCE160" w14:textId="3D052651" w:rsidR="00810D0C" w:rsidRDefault="00810D0C" w:rsidP="00810D0C">
      <w:pPr>
        <w:pStyle w:val="Heading2"/>
      </w:pPr>
      <w:r>
        <w:t>Dynamic and causal modelling</w:t>
      </w:r>
    </w:p>
    <w:p w14:paraId="6F7FE79D" w14:textId="222A1D29" w:rsidR="00502C2A" w:rsidRDefault="00004E11" w:rsidP="00004E11">
      <w:pPr>
        <w:rPr>
          <w:color w:val="FF0000"/>
        </w:rPr>
      </w:pPr>
      <w:r w:rsidRPr="00004E11">
        <w:rPr>
          <w:color w:val="FF0000"/>
        </w:rPr>
        <w:t>*</w:t>
      </w:r>
      <w:r w:rsidR="00AD734F">
        <w:rPr>
          <w:color w:val="FF0000"/>
        </w:rPr>
        <w:t xml:space="preserve">Suggestion: </w:t>
      </w:r>
      <w:r w:rsidRPr="00004E11">
        <w:rPr>
          <w:color w:val="FF0000"/>
        </w:rPr>
        <w:t>David Jenkins (UoM) to lead on this section*</w:t>
      </w:r>
    </w:p>
    <w:p w14:paraId="4D6CEE62" w14:textId="443954D2" w:rsidR="00810D0C" w:rsidRPr="00F700A2" w:rsidRDefault="00502C2A" w:rsidP="00502C2A">
      <w:pPr>
        <w:rPr>
          <w:color w:val="4472C4" w:themeColor="accent5"/>
        </w:rPr>
      </w:pPr>
      <w:r>
        <w:rPr>
          <w:color w:val="FF0000"/>
        </w:rPr>
        <w:t>*Possible citations:</w:t>
      </w:r>
      <w:r w:rsidR="008A0035" w:rsidRPr="00502C2A">
        <w:rPr>
          <w:color w:val="FF0000"/>
        </w:rPr>
        <w:t xml:space="preserve"> </w:t>
      </w:r>
      <w:r w:rsidR="008A0035" w:rsidRPr="00502C2A">
        <w:rPr>
          <w:color w:val="FF0000"/>
        </w:rPr>
        <w:fldChar w:fldCharType="begin" w:fldLock="1"/>
      </w:r>
      <w:r w:rsidR="001F4ED1" w:rsidRPr="00502C2A">
        <w:rPr>
          <w:color w:val="FF0000"/>
        </w:rPr>
        <w:instrText>ADDIN CSL_CITATION {"citationItems":[{"id":"ITEM-1","itemData":{"DOI":"10.1177/0962280215626466","ISSN":"14770334","abstract":"A clinical prediction model is a tool for predicting healthcare outcomes, usually within a specific population and context. A common approach is to develop a new clinical prediction model for each population and context; however, this wastes potentially useful historical information. A better approach is to update or incorporate the existing clinical prediction models already developed for use in similar contexts or populations. In addition, clinical prediction models commonly become miscalibrated over time, and need replacing or updating. In this article, we review a range of approaches for reusing and updating clinical prediction models; these fall in into three main categories: simple coefficient updating, combining multiple previous clinical prediction models in a meta-model and dynamic updating of models. We evaluated the performance (discrimination and calibration) of the different strategies using data on mortality following cardiac surgery in the United Kingdom: We found that no single strategy performed sufficiently well to be used to the exclusion of the others. In conclusion, useful tools exist for updating existing clinical prediction models to a new population or context, and these should be implemented rather than developing a new clinical prediction model from scratch, using a breadth of complementary statistical methods.","author":[{"dropping-particle":"","family":"Su","given":"Ting Li","non-dropping-particle":"","parse-names":false,"suffix":""},{"dropping-particle":"","family":"Jaki","given":"Thomas","non-dropping-particle":"","parse-names":false,"suffix":""},{"dropping-particle":"","family":"Hickey","given":"Graeme L.","non-dropping-particle":"","parse-names":false,"suffix":""},{"dropping-particle":"","family":"Buchan","given":"Iain","non-dropping-particle":"","parse-names":false,"suffix":""},{"dropping-particle":"","family":"Sperrin","given":"Matthew","non-dropping-particle":"","parse-names":false,"suffix":""}],"container-title":"Statistical Methods in Medical Research","id":"ITEM-1","issue":"1","issued":{"date-parts":[["2018"]]},"page":"185-197","title":"A review of statistical updating methods for clinical prediction models","type":"article-journal","volume":"27"},"uris":["http://www.mendeley.com/documents/?uuid=db90f3dc-1d9f-4198-897b-19a67160790e"]},{"id":"ITEM-2","itemData":{"DOI":"10.1161/CIRCOUTCOMES.111.000012","ISSN":"19417713","abstract":"Background-The calibration of several cardiac clinical prediction models has deteriorated over time. We compare different model fitting approaches for in-hospital mortality after cardiac surgery that adjust for cross-sectional case mix in a heterogeneous patient population. Methods and Results-Data from &gt;300 000 consecutive cardiac surgery procedures performed at all National Health Service and some private hospitals in England and Wales between April 2001 and March 2011 were extracted from the National Institute for Cardiovascular Outcomes Research clinical registry. The study outcome was in-hospital mortality. Model approaches included not updating, periodic refitting, rolling window, and dynamic logistic regression. Covariate adjustment was made in each model using variables included in the logistic European System for Cardiac Operative Risk Evaluation model. The association between in-hospital mortality and some variables changed with time. Notably, the intercept coefficient has been steadily decreasing during the study period, consistent with decreasing observed mortality. Some risk factors, such as operative urgency and postinfarct ventricular septal defect, have been relatively stable over time, whereas other risk factors, such as left ventricular function and surgery on the thoracic aorta, have been associated with lower risk relative to the static model. Conclusions-Dynamic models or periodic model refitting is necessary to counteract calibration drift. A dynamic modeling framework that uses contemporary and available historic data can provide a continuously smooth update mechanism that also allows for inferences to be made on individual risk factors. Better models that withstand the effects of time give advantages for governance, quality improvement, and patient-level decision making. © 2013 American Heart Association, Inc.","author":[{"dropping-particle":"","family":"Hickey","given":"Graeme L.","non-dropping-particle":"","parse-names":false,"suffix":""},{"dropping-particle":"","family":"Grant","given":"Stuart W.","non-dropping-particle":"","parse-names":false,"suffix":""},{"dropping-particle":"","family":"Caiado","given":"Camila","non-dropping-particle":"","parse-names":false,"suffix":""},{"dropping-particle":"","family":"Kendall","given":"Simon","non-dropping-particle":"","parse-names":false,"suffix":""},{"dropping-particle":"","family":"Dunning","given":"Joel","non-dropping-particle":"","parse-names":false,"suffix":""},{"dropping-particle":"","family":"Poullis","given":"Michael","non-dropping-particle":"","parse-names":false,"suffix":""},{"dropping-particle":"","family":"Buchan","given":"Iain","non-dropping-particle":"","parse-names":false,"suffix":""},{"dropping-particle":"","family":"Bridgewater","given":"Ben","non-dropping-particle":"","parse-names":false,"suffix":""}],"container-title":"Circulation: Cardiovascular Quality and Outcomes","id":"ITEM-2","issue":"6","issued":{"date-parts":[["2013"]]},"page":"649-658","title":"Dynamic prediction modeling approaches for cardiac surgery","type":"article-journal","volume":"6"},"uris":["http://www.mendeley.com/documents/?uuid=7f1fdbc7-b623-4c0d-b3b3-a8272776b389"]},{"id":"ITEM-3","itemData":{"DOI":"10.1002/sim.6860.A","ISBN":"0277-6715","abstract":"Dynamic prediction uses longitudinal biomarkers for real-time prediction of an individual patient's prognosis. This is critical for patients with an incurable disease such as cancer. Biomarker trajectories are usually not linear, nor even monotone, and vary greatly across individuals. Therefore, it is difficult to fit them with parametric models. With this consideration, we propose an approach for dynamic prediction that does not need to model the biomarker trajectories. Instead, as a trade-off, we assume that the biomarker effects on the risk of disease recurrence are smooth functions over time. This approach turns out to be computationally easier. Simulation studies show that the proposed approach achieves stable estimation of biomarker effects over time, has good predictive performance, and is robust against model misspecification. It is a good compromise between two major approaches, namely, (i) joint modeling of longitudinal and survival data and (ii) landmark analysis. The proposed method is applied to patients with chronic myeloid leukemia. At any time following their treatment with tyrosine kinase inhibitors, longitudinally measured BCR-ABL gene expression levels are used to predict the risk of disease progression. Copyright © 2016 John Wiley &amp; Sons, Ltd.","author":[{"dropping-particle":"","family":"Huang","given":"Xuelin","non-dropping-particle":"","parse-names":false,"suffix":""},{"dropping-particle":"","family":"Yan","given":"Fangrong","non-dropping-particle":"","parse-names":false,"suffix":""},{"dropping-particle":"","family":"Ning","given":"Jing","non-dropping-particle":"","parse-names":false,"suffix":""},{"dropping-particle":"","family":"Feng","given":"Ziding","non-dropping-particle":"","parse-names":false,"suffix":""},{"dropping-particle":"","family":"Choi","given":"Sangbum","non-dropping-particle":"","parse-names":false,"suffix":""},{"dropping-particle":"","family":"Cortes","given":"Jorge","non-dropping-particle":"","parse-names":false,"suffix":""}],"container-title":"Statistics in Medicine","id":"ITEM-3","issue":"13","issued":{"date-parts":[["2016"]]},"page":"2167-2182","title":"A two-stage approach for dynamic prediction of time-to-event distributions","type":"article-journal","volume":"35"},"uris":["http://www.mendeley.com/documents/?uuid=73cc8330-affc-4ba1-a55d-1c39c2d46f75"]},{"id":"ITEM-4","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Association","id":"ITEM-4","issue":"12","issued":{"date-parts":[["2019"]]},"page":"1675-1676","title":"Explicit causal reasoning is needed to prevent prognostic models being victims of their own success","type":"article-journal","volume":"26"},"uris":["http://www.mendeley.com/documents/?uuid=89ca11e4-e838-4fa8-bfc4-b1493b7f3253"]},{"id":"ITEM-5","itemData":{"DOI":"10.1002/sim.7913","ISSN":"10970258","abstract":"Clinical prediction models (CPMs) can inform decision making about treatment initiation, which requires predicted risks assuming no treatment is given. However, this is challenging since CPMs are usually derived using data sets where patients received treatment, often initiated postbaseline as “treatment drop-ins.” This study proposes the use of marginal structural models (MSMs) to adjust for treatment drop-in. We illustrate the use of MSMs in the CPM framework through simulation studies that represent randomized controlled trials and real-world observational data and the example of statin initiation for cardiovascular disease prevention. The simulations include a binary treatment and a covariate, each recorded at two timepoints and having a prognostic effect on a binary outcome. The bias in predicted risk was examined in a model ignoring treatment, a model fitted on treatment-naïve patients (at baseline), a model including baseline treatment, and the MSM. In all simulation scenarios, all models except the MSM underestimated the risk of outcome given absence of treatment. These results were supported in the statin initiation example, which showed that ignoring statin initiation postbaseline resulted in models that significantly underestimated the risk of a cardiovascular disease event occurring within 10 years. Consequently, CPMs that do not acknowledge treatment drop-in can lead to underallocation of treatment. In conclusion, when developing CPMs to predict treatment-naïve risk, researchers should consider using MSMs to adjust for treatment drop-in, and also seek to exploit the ability of MSMs to allow estimation of individual treatment effects.","author":[{"dropping-particle":"","family":"Sperrin","given":"Matthew","non-dropping-particle":"","parse-names":false,"suffix":""},{"dropping-particle":"","family":"Martin","given":"Glen P.","non-dropping-particle":"","parse-names":false,"suffix":""},{"dropping-particle":"","family":"Pate","given":"Alexander","non-dropping-particle":"","parse-names":false,"suffix":""},{"dropping-particle":"","family":"Staa","given":"Tjeerd","non-dropping-particle":"Van","parse-names":false,"suffix":""},{"dropping-particle":"","family":"Peek","given":"Niels","non-dropping-particle":"","parse-names":false,"suffix":""},{"dropping-particle":"","family":"Buchan","given":"Iain","non-dropping-particle":"","parse-names":false,"suffix":""}],"container-title":"Statistics in Medicine","id":"ITEM-5","issue":"28","issued":{"date-parts":[["2018"]]},"page":"4142-4154","title":"Using marginal structural models to adjust for treatment drop-in when developing clinical prediction models","type":"article-journal","volume":"37"},"uris":["http://www.mendeley.com/documents/?uuid=52450dd0-0f99-41ee-adf8-7dc242cab719"]}],"mendeley":{"formattedCitation":"(Hickey, Grant, Caiado, et al., 2013; Huang et al., 2016; Sperrin et al., 2019, 2018; Su et al., 2018)","plainTextFormattedCitation":"(Hickey, Grant, Caiado, et al., 2013; Huang et al., 2016; Sperrin et al., 2019, 2018; Su et al., 2018)","previouslyFormattedCitation":"(Hickey, Grant, Caiado, et al., 2013; Huang et al., 2016; Sperrin et al., 2019, 2018; Su et al., 2018)"},"properties":{"noteIndex":0},"schema":"https://github.com/citation-style-language/schema/raw/master/csl-citation.json"}</w:instrText>
      </w:r>
      <w:r w:rsidR="008A0035" w:rsidRPr="00502C2A">
        <w:rPr>
          <w:color w:val="FF0000"/>
        </w:rPr>
        <w:fldChar w:fldCharType="separate"/>
      </w:r>
      <w:r w:rsidR="00440844" w:rsidRPr="00502C2A">
        <w:rPr>
          <w:noProof/>
          <w:color w:val="FF0000"/>
        </w:rPr>
        <w:t>(Hickey, Grant, Caiado, et al., 2013; Huang et al., 2016; Sperrin et al., 2019, 2018; Su et al., 2018)</w:t>
      </w:r>
      <w:r w:rsidR="008A0035" w:rsidRPr="00502C2A">
        <w:rPr>
          <w:color w:val="FF0000"/>
        </w:rPr>
        <w:fldChar w:fldCharType="end"/>
      </w:r>
      <w:r w:rsidR="00810D0C" w:rsidRPr="00502C2A">
        <w:rPr>
          <w:color w:val="FF0000"/>
        </w:rPr>
        <w:t>.</w:t>
      </w:r>
    </w:p>
    <w:p w14:paraId="6013784C" w14:textId="77777777" w:rsidR="00004E11" w:rsidRPr="00810D0C" w:rsidRDefault="00004E11" w:rsidP="00004E11"/>
    <w:p w14:paraId="3E8E62A2" w14:textId="1AD0E97B" w:rsidR="00745D0A" w:rsidRDefault="00745D0A" w:rsidP="00745D0A">
      <w:pPr>
        <w:pStyle w:val="Heading2"/>
      </w:pPr>
      <w:r>
        <w:t>M</w:t>
      </w:r>
      <w:r w:rsidR="003C1579">
        <w:t xml:space="preserve">achine </w:t>
      </w:r>
      <w:r>
        <w:t>L</w:t>
      </w:r>
      <w:r w:rsidR="003C1579">
        <w:t>earning</w:t>
      </w:r>
      <w:r>
        <w:t xml:space="preserve"> for data quality</w:t>
      </w:r>
    </w:p>
    <w:p w14:paraId="776ABE95" w14:textId="1083C777" w:rsidR="00745D0A" w:rsidRPr="00F700A2" w:rsidRDefault="00502C2A" w:rsidP="00B05D6C">
      <w:pPr>
        <w:rPr>
          <w:color w:val="4472C4" w:themeColor="accent5"/>
        </w:rPr>
      </w:pPr>
      <w:r w:rsidRPr="00502C2A">
        <w:rPr>
          <w:color w:val="FF0000"/>
        </w:rPr>
        <w:t>*Potential subsection</w:t>
      </w:r>
      <w:r w:rsidR="00B05D6C" w:rsidRPr="00502C2A">
        <w:rPr>
          <w:color w:val="FF0000"/>
        </w:rPr>
        <w:t xml:space="preserve"> discuss</w:t>
      </w:r>
      <w:r w:rsidRPr="00502C2A">
        <w:rPr>
          <w:color w:val="FF0000"/>
        </w:rPr>
        <w:t>ing</w:t>
      </w:r>
      <w:r w:rsidR="00B05D6C" w:rsidRPr="00502C2A">
        <w:rPr>
          <w:color w:val="FF0000"/>
        </w:rPr>
        <w:t xml:space="preserve"> the </w:t>
      </w:r>
      <w:r w:rsidRPr="00502C2A">
        <w:rPr>
          <w:color w:val="FF0000"/>
        </w:rPr>
        <w:t xml:space="preserve">use of </w:t>
      </w:r>
      <w:r w:rsidR="00B05D6C" w:rsidRPr="00502C2A">
        <w:rPr>
          <w:color w:val="FF0000"/>
        </w:rPr>
        <w:t xml:space="preserve">machine-learning methods to help ensure data quality, with special reference to work by </w:t>
      </w:r>
      <w:r w:rsidR="002F4F7F" w:rsidRPr="00502C2A">
        <w:rPr>
          <w:color w:val="FF0000"/>
        </w:rPr>
        <w:fldChar w:fldCharType="begin" w:fldLock="1"/>
      </w:r>
      <w:r w:rsidR="005D5021" w:rsidRPr="00502C2A">
        <w:rPr>
          <w:color w:val="FF0000"/>
        </w:rPr>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Algorithms","type":"chapter"},"uris":["http://www.mendeley.com/documents/?uuid=699b0d14-12d4-49ba-b0d1-6d7e58ce50d7"]}],"mendeley":{"formattedCitation":"(Sako et al., 2020)","manualFormatting":"Sako et al. (2020)","plainTextFormattedCitation":"(Sako et al., 2020)","previouslyFormattedCitation":"(Sako et al., 2020)"},"properties":{"noteIndex":0},"schema":"https://github.com/citation-style-language/schema/raw/master/csl-citation.json"}</w:instrText>
      </w:r>
      <w:r w:rsidR="002F4F7F" w:rsidRPr="00502C2A">
        <w:rPr>
          <w:color w:val="FF0000"/>
        </w:rPr>
        <w:fldChar w:fldCharType="separate"/>
      </w:r>
      <w:r w:rsidR="00B23B5B" w:rsidRPr="00502C2A">
        <w:rPr>
          <w:noProof/>
          <w:color w:val="FF0000"/>
        </w:rPr>
        <w:t xml:space="preserve">Sako et al. </w:t>
      </w:r>
      <w:r w:rsidR="00B05D6C" w:rsidRPr="00502C2A">
        <w:rPr>
          <w:noProof/>
          <w:color w:val="FF0000"/>
        </w:rPr>
        <w:t>(</w:t>
      </w:r>
      <w:r w:rsidR="00B23B5B" w:rsidRPr="00502C2A">
        <w:rPr>
          <w:noProof/>
          <w:color w:val="FF0000"/>
        </w:rPr>
        <w:t>2020)</w:t>
      </w:r>
      <w:r w:rsidR="002F4F7F" w:rsidRPr="00502C2A">
        <w:rPr>
          <w:color w:val="FF0000"/>
        </w:rPr>
        <w:fldChar w:fldCharType="end"/>
      </w:r>
      <w:r w:rsidR="00B05D6C" w:rsidRPr="00502C2A">
        <w:rPr>
          <w:color w:val="FF0000"/>
        </w:rPr>
        <w:t>.</w:t>
      </w:r>
    </w:p>
    <w:p w14:paraId="31864611" w14:textId="77777777" w:rsidR="00004E11" w:rsidRDefault="00004E11" w:rsidP="00B05D6C"/>
    <w:p w14:paraId="175414E6" w14:textId="25893E99" w:rsidR="00004E11" w:rsidRDefault="00004E11" w:rsidP="00004E11">
      <w:pPr>
        <w:pStyle w:val="Heading2"/>
      </w:pPr>
      <w:r>
        <w:t>Human Factors</w:t>
      </w:r>
    </w:p>
    <w:p w14:paraId="7E539A46" w14:textId="0F3DA78A" w:rsidR="00F700A2" w:rsidRPr="00502C2A" w:rsidRDefault="00004E11" w:rsidP="00004E11">
      <w:pPr>
        <w:rPr>
          <w:color w:val="FF0000"/>
        </w:rPr>
      </w:pPr>
      <w:r w:rsidRPr="00004E11">
        <w:rPr>
          <w:color w:val="FF0000"/>
        </w:rPr>
        <w:t>*</w:t>
      </w:r>
      <w:r w:rsidR="00AD734F">
        <w:rPr>
          <w:color w:val="FF0000"/>
        </w:rPr>
        <w:t xml:space="preserve">Suggestion: </w:t>
      </w:r>
      <w:r w:rsidRPr="00004E11">
        <w:rPr>
          <w:color w:val="FF0000"/>
        </w:rPr>
        <w:t>Jon Benn (UoL) to lead on this section*</w:t>
      </w:r>
    </w:p>
    <w:p w14:paraId="7BE2FF61" w14:textId="675AA904" w:rsidR="006D4CAF" w:rsidRDefault="006D4CAF" w:rsidP="006D4CAF"/>
    <w:p w14:paraId="1C12E183" w14:textId="77777777" w:rsidR="00EC546B" w:rsidRDefault="00EC546B" w:rsidP="006D4CAF"/>
    <w:p w14:paraId="4E6C1F67" w14:textId="77777777" w:rsidR="006D4CAF" w:rsidRDefault="006D4CAF" w:rsidP="00F700A2">
      <w:pPr>
        <w:pStyle w:val="Heading1"/>
      </w:pPr>
      <w:r>
        <w:t>Conclusion</w:t>
      </w:r>
    </w:p>
    <w:p w14:paraId="7E8D486A" w14:textId="7ACA8903" w:rsidR="006D4CAF" w:rsidRDefault="00502C2A" w:rsidP="006D4CAF">
      <w:pPr>
        <w:rPr>
          <w:color w:val="4472C4" w:themeColor="accent5"/>
        </w:rPr>
      </w:pPr>
      <w:r>
        <w:rPr>
          <w:color w:val="4472C4" w:themeColor="accent5"/>
        </w:rPr>
        <w:t xml:space="preserve">[Words &lt; 150] </w:t>
      </w:r>
      <w:r w:rsidR="009B3EEC" w:rsidRPr="00F700A2">
        <w:rPr>
          <w:color w:val="4472C4" w:themeColor="accent5"/>
        </w:rPr>
        <w:t xml:space="preserve">The purposes of this section are to 1) summarise the intention of this first collaboration in the series, 2) succinctly summarise the </w:t>
      </w:r>
      <w:r w:rsidR="000C0B41">
        <w:rPr>
          <w:color w:val="4472C4" w:themeColor="accent5"/>
        </w:rPr>
        <w:t>characteristics</w:t>
      </w:r>
      <w:r w:rsidR="009B3EEC" w:rsidRPr="00F700A2">
        <w:rPr>
          <w:color w:val="4472C4" w:themeColor="accent5"/>
        </w:rPr>
        <w:t xml:space="preserve"> of new and emerging </w:t>
      </w:r>
      <w:r w:rsidR="00AA6BB1" w:rsidRPr="00F700A2">
        <w:rPr>
          <w:color w:val="4472C4" w:themeColor="accent5"/>
        </w:rPr>
        <w:t>health information tech</w:t>
      </w:r>
      <w:r w:rsidR="009B3EEC" w:rsidRPr="00F700A2">
        <w:rPr>
          <w:color w:val="4472C4" w:themeColor="accent5"/>
        </w:rPr>
        <w:t xml:space="preserve">nologies, 3) succinctly summarise the </w:t>
      </w:r>
      <w:r w:rsidR="000C0B41">
        <w:rPr>
          <w:color w:val="4472C4" w:themeColor="accent5"/>
        </w:rPr>
        <w:t>classes</w:t>
      </w:r>
      <w:r w:rsidR="009B3EEC" w:rsidRPr="00F700A2">
        <w:rPr>
          <w:color w:val="4472C4" w:themeColor="accent5"/>
        </w:rPr>
        <w:t xml:space="preserve"> of </w:t>
      </w:r>
      <w:r w:rsidR="000C0B41">
        <w:rPr>
          <w:color w:val="4472C4" w:themeColor="accent5"/>
        </w:rPr>
        <w:t>patient-safety</w:t>
      </w:r>
      <w:r w:rsidR="009B3EEC" w:rsidRPr="00F700A2">
        <w:rPr>
          <w:color w:val="4472C4" w:themeColor="accent5"/>
        </w:rPr>
        <w:t xml:space="preserve"> </w:t>
      </w:r>
      <w:r w:rsidR="000C0B41">
        <w:rPr>
          <w:color w:val="4472C4" w:themeColor="accent5"/>
        </w:rPr>
        <w:t>challenges and their safety implications</w:t>
      </w:r>
      <w:r w:rsidR="009B3EEC" w:rsidRPr="00F700A2">
        <w:rPr>
          <w:color w:val="4472C4" w:themeColor="accent5"/>
        </w:rPr>
        <w:t xml:space="preserve">, 4) succinctly summarise </w:t>
      </w:r>
      <w:r w:rsidR="000C0B41">
        <w:rPr>
          <w:color w:val="4472C4" w:themeColor="accent5"/>
        </w:rPr>
        <w:t>our suggested approaches to address the patient-safety challenges</w:t>
      </w:r>
      <w:r w:rsidR="009B3EEC" w:rsidRPr="00F700A2">
        <w:rPr>
          <w:color w:val="4472C4" w:themeColor="accent5"/>
        </w:rPr>
        <w:t xml:space="preserve">, 5) suggest the next steps required to facilitate these </w:t>
      </w:r>
      <w:r w:rsidR="000C0B41">
        <w:rPr>
          <w:color w:val="4472C4" w:themeColor="accent5"/>
        </w:rPr>
        <w:t>approaches</w:t>
      </w:r>
      <w:r w:rsidR="009B3EEC" w:rsidRPr="00F700A2">
        <w:rPr>
          <w:color w:val="4472C4" w:themeColor="accent5"/>
        </w:rPr>
        <w:t>, 6) foreshadow the subsequent collaboration in the series “</w:t>
      </w:r>
      <w:r w:rsidR="009B3EEC" w:rsidRPr="00F700A2">
        <w:rPr>
          <w:i/>
          <w:color w:val="4472C4" w:themeColor="accent5"/>
        </w:rPr>
        <w:t>The implications of contemporary safety theory (Safety-I and Safety-II) for digital innovation</w:t>
      </w:r>
      <w:r w:rsidR="00250CF3" w:rsidRPr="00F700A2">
        <w:rPr>
          <w:i/>
          <w:color w:val="4472C4" w:themeColor="accent5"/>
        </w:rPr>
        <w:t xml:space="preserve"> in healthcare</w:t>
      </w:r>
      <w:r w:rsidR="009B3EEC" w:rsidRPr="00F700A2">
        <w:rPr>
          <w:color w:val="4472C4" w:themeColor="accent5"/>
        </w:rPr>
        <w:t>”.</w:t>
      </w:r>
    </w:p>
    <w:p w14:paraId="46F73A51" w14:textId="131FE7D4" w:rsidR="00502C2A" w:rsidRPr="00F700A2" w:rsidRDefault="00F76262" w:rsidP="006D4CAF">
      <w:pPr>
        <w:rPr>
          <w:color w:val="4472C4" w:themeColor="accent5"/>
        </w:rPr>
      </w:pPr>
      <w:r w:rsidRPr="00F76262">
        <w:rPr>
          <w:color w:val="FF0000"/>
        </w:rPr>
        <w:lastRenderedPageBreak/>
        <w:t>*</w:t>
      </w:r>
      <w:r w:rsidR="00502C2A" w:rsidRPr="00F76262">
        <w:rPr>
          <w:color w:val="FF0000"/>
        </w:rPr>
        <w:t>Space permitting, we might make the publication relevant to the COVID-19 pandemic by discussing patient-safety concerns arising from sudden atypical growth in remote monitoring, remote testing, remote imaging, robotic care, and personal preventive medicine.</w:t>
      </w:r>
    </w:p>
    <w:p w14:paraId="219726D7" w14:textId="5B836341" w:rsidR="000B2D7E" w:rsidRDefault="000B2D7E" w:rsidP="006D4CAF"/>
    <w:p w14:paraId="5A83A754" w14:textId="752395E8" w:rsidR="000B2D7E" w:rsidRDefault="000B2D7E" w:rsidP="006D4CAF"/>
    <w:p w14:paraId="713ACB55" w14:textId="2B739829" w:rsidR="000B2D7E" w:rsidRDefault="000B2D7E" w:rsidP="00F700A2">
      <w:pPr>
        <w:pStyle w:val="Heading1"/>
      </w:pPr>
      <w:r>
        <w:t>References</w:t>
      </w:r>
    </w:p>
    <w:p w14:paraId="0DBA5E66" w14:textId="4432C948" w:rsidR="00DB76AA" w:rsidRPr="00DB76AA" w:rsidRDefault="000B2D7E" w:rsidP="00DB76AA">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DB76AA" w:rsidRPr="00DB76AA">
        <w:rPr>
          <w:rFonts w:ascii="Calibri" w:hAnsi="Calibri" w:cs="Calibri"/>
          <w:noProof/>
          <w:szCs w:val="24"/>
        </w:rPr>
        <w:t xml:space="preserve">Banerjee, A. (2019). Digital health interventions and inequalities: The case for a new paradigm. </w:t>
      </w:r>
      <w:r w:rsidR="00DB76AA" w:rsidRPr="00DB76AA">
        <w:rPr>
          <w:rFonts w:ascii="Calibri" w:hAnsi="Calibri" w:cs="Calibri"/>
          <w:i/>
          <w:iCs/>
          <w:noProof/>
          <w:szCs w:val="24"/>
        </w:rPr>
        <w:t>BMJ Evidence-Based Medicine</w:t>
      </w:r>
      <w:r w:rsidR="00DB76AA" w:rsidRPr="00DB76AA">
        <w:rPr>
          <w:rFonts w:ascii="Calibri" w:hAnsi="Calibri" w:cs="Calibri"/>
          <w:noProof/>
          <w:szCs w:val="24"/>
        </w:rPr>
        <w:t xml:space="preserve">, </w:t>
      </w:r>
      <w:r w:rsidR="00DB76AA" w:rsidRPr="00DB76AA">
        <w:rPr>
          <w:rFonts w:ascii="Calibri" w:hAnsi="Calibri" w:cs="Calibri"/>
          <w:i/>
          <w:iCs/>
          <w:noProof/>
          <w:szCs w:val="24"/>
        </w:rPr>
        <w:t>2</w:t>
      </w:r>
      <w:r w:rsidR="00DB76AA" w:rsidRPr="00DB76AA">
        <w:rPr>
          <w:rFonts w:ascii="Calibri" w:hAnsi="Calibri" w:cs="Calibri"/>
          <w:noProof/>
          <w:szCs w:val="24"/>
        </w:rPr>
        <w:t>, 2–5. https://doi.org/10.1136/bmjebm-2019-111282</w:t>
      </w:r>
    </w:p>
    <w:p w14:paraId="41C414AB"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Baxevanis, A. D., &amp; Ouellette, B. F. F. (Eds.). (2020). </w:t>
      </w:r>
      <w:r w:rsidRPr="00DB76AA">
        <w:rPr>
          <w:rFonts w:ascii="Calibri" w:hAnsi="Calibri" w:cs="Calibri"/>
          <w:i/>
          <w:iCs/>
          <w:noProof/>
          <w:szCs w:val="24"/>
        </w:rPr>
        <w:t>Bioinformatics: A Practical Guide to the Analysis of Genes and Proteins</w:t>
      </w:r>
      <w:r w:rsidRPr="00DB76AA">
        <w:rPr>
          <w:rFonts w:ascii="Calibri" w:hAnsi="Calibri" w:cs="Calibri"/>
          <w:noProof/>
          <w:szCs w:val="24"/>
        </w:rPr>
        <w:t xml:space="preserve"> (2nd ed.). https://doi.org/10.1007/s10439-006-9105-9</w:t>
      </w:r>
    </w:p>
    <w:p w14:paraId="1A59C502"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Benbya, H., Nan, N., Tanriverdi, H., &amp; Yoo, Y. (2020). Complexity and Information Systems Research in the Emerging Digital World. </w:t>
      </w:r>
      <w:r w:rsidRPr="00DB76AA">
        <w:rPr>
          <w:rFonts w:ascii="Calibri" w:hAnsi="Calibri" w:cs="Calibri"/>
          <w:i/>
          <w:iCs/>
          <w:noProof/>
          <w:szCs w:val="24"/>
        </w:rPr>
        <w:t>Management Information Systems Quarterly</w:t>
      </w:r>
      <w:r w:rsidRPr="00DB76AA">
        <w:rPr>
          <w:rFonts w:ascii="Calibri" w:hAnsi="Calibri" w:cs="Calibri"/>
          <w:noProof/>
          <w:szCs w:val="24"/>
        </w:rPr>
        <w:t xml:space="preserve">, </w:t>
      </w:r>
      <w:r w:rsidRPr="00DB76AA">
        <w:rPr>
          <w:rFonts w:ascii="Calibri" w:hAnsi="Calibri" w:cs="Calibri"/>
          <w:i/>
          <w:iCs/>
          <w:noProof/>
          <w:szCs w:val="24"/>
        </w:rPr>
        <w:t>44</w:t>
      </w:r>
      <w:r w:rsidRPr="00DB76AA">
        <w:rPr>
          <w:rFonts w:ascii="Calibri" w:hAnsi="Calibri" w:cs="Calibri"/>
          <w:noProof/>
          <w:szCs w:val="24"/>
        </w:rPr>
        <w:t>(1), 1.</w:t>
      </w:r>
    </w:p>
    <w:p w14:paraId="00E78BE3"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Benson, T., &amp; Grieve, G. (2016). </w:t>
      </w:r>
      <w:r w:rsidRPr="00DB76AA">
        <w:rPr>
          <w:rFonts w:ascii="Calibri" w:hAnsi="Calibri" w:cs="Calibri"/>
          <w:i/>
          <w:iCs/>
          <w:noProof/>
          <w:szCs w:val="24"/>
        </w:rPr>
        <w:t>Principles of Health Interoperability: SNOMED CT, HL7 and FHIR</w:t>
      </w:r>
      <w:r w:rsidRPr="00DB76AA">
        <w:rPr>
          <w:rFonts w:ascii="Calibri" w:hAnsi="Calibri" w:cs="Calibri"/>
          <w:noProof/>
          <w:szCs w:val="24"/>
        </w:rPr>
        <w:t xml:space="preserve"> (3rd ed.). Retrieved from https://s3.amazonaws.com/academia.edu.documents/62118976/Principles_of_Health_Interoperability_-_SNOMED_CT__HL7__and_FHIR20200217-30649-712nov.pdf?response-content-disposition=inline%3B filename%3DPrinciples_of_Health_Interoperability.pdf&amp;X-Amz-Algorithm=</w:t>
      </w:r>
    </w:p>
    <w:p w14:paraId="4DEE32BE"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Bot, B. M., Suver, C., Neto, E. C., Kellen, M., Klein, A., Bare, C., … Trister, A. D. (2016). The mPower study, Parkinson disease mobile data collected using ResearchKit. </w:t>
      </w:r>
      <w:r w:rsidRPr="00DB76AA">
        <w:rPr>
          <w:rFonts w:ascii="Calibri" w:hAnsi="Calibri" w:cs="Calibri"/>
          <w:i/>
          <w:iCs/>
          <w:noProof/>
          <w:szCs w:val="24"/>
        </w:rPr>
        <w:t>Scientific Data</w:t>
      </w:r>
      <w:r w:rsidRPr="00DB76AA">
        <w:rPr>
          <w:rFonts w:ascii="Calibri" w:hAnsi="Calibri" w:cs="Calibri"/>
          <w:noProof/>
          <w:szCs w:val="24"/>
        </w:rPr>
        <w:t xml:space="preserve">, </w:t>
      </w:r>
      <w:r w:rsidRPr="00DB76AA">
        <w:rPr>
          <w:rFonts w:ascii="Calibri" w:hAnsi="Calibri" w:cs="Calibri"/>
          <w:i/>
          <w:iCs/>
          <w:noProof/>
          <w:szCs w:val="24"/>
        </w:rPr>
        <w:t>3</w:t>
      </w:r>
      <w:r w:rsidRPr="00DB76AA">
        <w:rPr>
          <w:rFonts w:ascii="Calibri" w:hAnsi="Calibri" w:cs="Calibri"/>
          <w:noProof/>
          <w:szCs w:val="24"/>
        </w:rPr>
        <w:t>, 1–9. https://doi.org/10.1038/sdata.2016.11</w:t>
      </w:r>
    </w:p>
    <w:p w14:paraId="461D9477"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Chadwick, L., Fallon, E. F., Van Der Putten, W. J., &amp; Kirrane, F. (2012). Functional safety of health information technology. </w:t>
      </w:r>
      <w:r w:rsidRPr="00DB76AA">
        <w:rPr>
          <w:rFonts w:ascii="Calibri" w:hAnsi="Calibri" w:cs="Calibri"/>
          <w:i/>
          <w:iCs/>
          <w:noProof/>
          <w:szCs w:val="24"/>
        </w:rPr>
        <w:t>Health Informatics Journal</w:t>
      </w:r>
      <w:r w:rsidRPr="00DB76AA">
        <w:rPr>
          <w:rFonts w:ascii="Calibri" w:hAnsi="Calibri" w:cs="Calibri"/>
          <w:noProof/>
          <w:szCs w:val="24"/>
        </w:rPr>
        <w:t xml:space="preserve">, </w:t>
      </w:r>
      <w:r w:rsidRPr="00DB76AA">
        <w:rPr>
          <w:rFonts w:ascii="Calibri" w:hAnsi="Calibri" w:cs="Calibri"/>
          <w:i/>
          <w:iCs/>
          <w:noProof/>
          <w:szCs w:val="24"/>
        </w:rPr>
        <w:t>18</w:t>
      </w:r>
      <w:r w:rsidRPr="00DB76AA">
        <w:rPr>
          <w:rFonts w:ascii="Calibri" w:hAnsi="Calibri" w:cs="Calibri"/>
          <w:noProof/>
          <w:szCs w:val="24"/>
        </w:rPr>
        <w:t>(1), 36–49. https://doi.org/10.1177/1460458211432587</w:t>
      </w:r>
    </w:p>
    <w:p w14:paraId="77D57EAE"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Degoulet, P., &amp; Fieschi, M. (2012). </w:t>
      </w:r>
      <w:r w:rsidRPr="00DB76AA">
        <w:rPr>
          <w:rFonts w:ascii="Calibri" w:hAnsi="Calibri" w:cs="Calibri"/>
          <w:i/>
          <w:iCs/>
          <w:noProof/>
          <w:szCs w:val="24"/>
        </w:rPr>
        <w:t>Introduction to clinical informatics</w:t>
      </w:r>
      <w:r w:rsidRPr="00DB76AA">
        <w:rPr>
          <w:rFonts w:ascii="Calibri" w:hAnsi="Calibri" w:cs="Calibri"/>
          <w:noProof/>
          <w:szCs w:val="24"/>
        </w:rPr>
        <w:t>. New York: Springer.</w:t>
      </w:r>
    </w:p>
    <w:p w14:paraId="5469D72A"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Denney, E., Pai, G., &amp; Habli, I. (2015). Dynamic Safety Cases for Through-Life Safety Assurance. </w:t>
      </w:r>
      <w:r w:rsidRPr="00DB76AA">
        <w:rPr>
          <w:rFonts w:ascii="Calibri" w:hAnsi="Calibri" w:cs="Calibri"/>
          <w:i/>
          <w:iCs/>
          <w:noProof/>
          <w:szCs w:val="24"/>
        </w:rPr>
        <w:t>Proceedings - International Conference on Software Engineering</w:t>
      </w:r>
      <w:r w:rsidRPr="00DB76AA">
        <w:rPr>
          <w:rFonts w:ascii="Calibri" w:hAnsi="Calibri" w:cs="Calibri"/>
          <w:noProof/>
          <w:szCs w:val="24"/>
        </w:rPr>
        <w:t xml:space="preserve">, </w:t>
      </w:r>
      <w:r w:rsidRPr="00DB76AA">
        <w:rPr>
          <w:rFonts w:ascii="Calibri" w:hAnsi="Calibri" w:cs="Calibri"/>
          <w:i/>
          <w:iCs/>
          <w:noProof/>
          <w:szCs w:val="24"/>
        </w:rPr>
        <w:t>2</w:t>
      </w:r>
      <w:r w:rsidRPr="00DB76AA">
        <w:rPr>
          <w:rFonts w:ascii="Calibri" w:hAnsi="Calibri" w:cs="Calibri"/>
          <w:noProof/>
          <w:szCs w:val="24"/>
        </w:rPr>
        <w:t>(2), 587–590. https://doi.org/10.1109/ICSE.2015.199</w:t>
      </w:r>
    </w:p>
    <w:p w14:paraId="7B704D22"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Despotou, G., White, S., Kelly, T., &amp; Ryan, M. (2012). Introducing safety cases for health IT. </w:t>
      </w:r>
      <w:r w:rsidRPr="00DB76AA">
        <w:rPr>
          <w:rFonts w:ascii="Calibri" w:hAnsi="Calibri" w:cs="Calibri"/>
          <w:i/>
          <w:iCs/>
          <w:noProof/>
          <w:szCs w:val="24"/>
        </w:rPr>
        <w:t>2012 4th International Workshop on Software Engineering in Health Care, SEHC 2012 - Proceedings</w:t>
      </w:r>
      <w:r w:rsidRPr="00DB76AA">
        <w:rPr>
          <w:rFonts w:ascii="Calibri" w:hAnsi="Calibri" w:cs="Calibri"/>
          <w:noProof/>
          <w:szCs w:val="24"/>
        </w:rPr>
        <w:t>, 44–50. https://doi.org/10.1109/SEHC.2012.6227010</w:t>
      </w:r>
    </w:p>
    <w:p w14:paraId="1E4BFA41"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Facchinetti, A. (2016). Continuous glucose monitoring sensors: Past, present and future algorithmic challenges. </w:t>
      </w:r>
      <w:r w:rsidRPr="00DB76AA">
        <w:rPr>
          <w:rFonts w:ascii="Calibri" w:hAnsi="Calibri" w:cs="Calibri"/>
          <w:i/>
          <w:iCs/>
          <w:noProof/>
          <w:szCs w:val="24"/>
        </w:rPr>
        <w:t>Sensors (Switzerland)</w:t>
      </w:r>
      <w:r w:rsidRPr="00DB76AA">
        <w:rPr>
          <w:rFonts w:ascii="Calibri" w:hAnsi="Calibri" w:cs="Calibri"/>
          <w:noProof/>
          <w:szCs w:val="24"/>
        </w:rPr>
        <w:t xml:space="preserve">, </w:t>
      </w:r>
      <w:r w:rsidRPr="00DB76AA">
        <w:rPr>
          <w:rFonts w:ascii="Calibri" w:hAnsi="Calibri" w:cs="Calibri"/>
          <w:i/>
          <w:iCs/>
          <w:noProof/>
          <w:szCs w:val="24"/>
        </w:rPr>
        <w:t>16</w:t>
      </w:r>
      <w:r w:rsidRPr="00DB76AA">
        <w:rPr>
          <w:rFonts w:ascii="Calibri" w:hAnsi="Calibri" w:cs="Calibri"/>
          <w:noProof/>
          <w:szCs w:val="24"/>
        </w:rPr>
        <w:t>(12), 1–12. https://doi.org/10.3390/s16122093</w:t>
      </w:r>
    </w:p>
    <w:p w14:paraId="63CC4E7A"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Flood, M., &amp; Habli, I. (2011). Multi-view safety cases. </w:t>
      </w:r>
      <w:r w:rsidRPr="00DB76AA">
        <w:rPr>
          <w:rFonts w:ascii="Calibri" w:hAnsi="Calibri" w:cs="Calibri"/>
          <w:i/>
          <w:iCs/>
          <w:noProof/>
          <w:szCs w:val="24"/>
        </w:rPr>
        <w:t>IET Conference Publications</w:t>
      </w:r>
      <w:r w:rsidRPr="00DB76AA">
        <w:rPr>
          <w:rFonts w:ascii="Calibri" w:hAnsi="Calibri" w:cs="Calibri"/>
          <w:noProof/>
          <w:szCs w:val="24"/>
        </w:rPr>
        <w:t xml:space="preserve">, </w:t>
      </w:r>
      <w:r w:rsidRPr="00DB76AA">
        <w:rPr>
          <w:rFonts w:ascii="Calibri" w:hAnsi="Calibri" w:cs="Calibri"/>
          <w:i/>
          <w:iCs/>
          <w:noProof/>
          <w:szCs w:val="24"/>
        </w:rPr>
        <w:t>2011</w:t>
      </w:r>
      <w:r w:rsidRPr="00DB76AA">
        <w:rPr>
          <w:rFonts w:ascii="Calibri" w:hAnsi="Calibri" w:cs="Calibri"/>
          <w:noProof/>
          <w:szCs w:val="24"/>
        </w:rPr>
        <w:t>(578 CP), 1–6. https://doi.org/10.1049/cp.2011.0260</w:t>
      </w:r>
    </w:p>
    <w:p w14:paraId="2FEB875F"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Furlong, E., Darley, A., Fox, P., &amp; et al. (2019). Adaptation and Implementation of a Mobile Phone–Based Remote Symptom Monitoring System for People With Cancer in Europe. </w:t>
      </w:r>
      <w:r w:rsidRPr="00DB76AA">
        <w:rPr>
          <w:rFonts w:ascii="Calibri" w:hAnsi="Calibri" w:cs="Calibri"/>
          <w:i/>
          <w:iCs/>
          <w:noProof/>
          <w:szCs w:val="24"/>
        </w:rPr>
        <w:t>JMIR Cancer</w:t>
      </w:r>
      <w:r w:rsidRPr="00DB76AA">
        <w:rPr>
          <w:rFonts w:ascii="Calibri" w:hAnsi="Calibri" w:cs="Calibri"/>
          <w:noProof/>
          <w:szCs w:val="24"/>
        </w:rPr>
        <w:t xml:space="preserve">, </w:t>
      </w:r>
      <w:r w:rsidRPr="00DB76AA">
        <w:rPr>
          <w:rFonts w:ascii="Calibri" w:hAnsi="Calibri" w:cs="Calibri"/>
          <w:i/>
          <w:iCs/>
          <w:noProof/>
          <w:szCs w:val="24"/>
        </w:rPr>
        <w:t>5</w:t>
      </w:r>
      <w:r w:rsidRPr="00DB76AA">
        <w:rPr>
          <w:rFonts w:ascii="Calibri" w:hAnsi="Calibri" w:cs="Calibri"/>
          <w:noProof/>
          <w:szCs w:val="24"/>
        </w:rPr>
        <w:t>(1), e10813. https://doi.org/10.2196/10813</w:t>
      </w:r>
    </w:p>
    <w:p w14:paraId="79B5144F"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Gammack, J., Hobbs, V., &amp; Pigott, D. (2011). </w:t>
      </w:r>
      <w:r w:rsidRPr="00DB76AA">
        <w:rPr>
          <w:rFonts w:ascii="Calibri" w:hAnsi="Calibri" w:cs="Calibri"/>
          <w:i/>
          <w:iCs/>
          <w:noProof/>
          <w:szCs w:val="24"/>
        </w:rPr>
        <w:t>The Book of Informatics</w:t>
      </w:r>
      <w:r w:rsidRPr="00DB76AA">
        <w:rPr>
          <w:rFonts w:ascii="Calibri" w:hAnsi="Calibri" w:cs="Calibri"/>
          <w:noProof/>
          <w:szCs w:val="24"/>
        </w:rPr>
        <w:t>. Cengage Learning.</w:t>
      </w:r>
    </w:p>
    <w:p w14:paraId="32D921DF"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Gómez-González, E., Gomez, E., Márquez-Rivas, J., Guerrero-Claro, M., Fernández-Lizaranzu, I., Relimpio-López, M. I., … Capitán-Morales, L. (2020). Artificial intelligence in medicine and </w:t>
      </w:r>
      <w:r w:rsidRPr="00DB76AA">
        <w:rPr>
          <w:rFonts w:ascii="Calibri" w:hAnsi="Calibri" w:cs="Calibri"/>
          <w:noProof/>
          <w:szCs w:val="24"/>
        </w:rPr>
        <w:lastRenderedPageBreak/>
        <w:t xml:space="preserve">healthcare: a review and classification of current and near-future applications and their ethical and social Impact. </w:t>
      </w:r>
      <w:r w:rsidRPr="00DB76AA">
        <w:rPr>
          <w:rFonts w:ascii="Calibri" w:hAnsi="Calibri" w:cs="Calibri"/>
          <w:i/>
          <w:iCs/>
          <w:noProof/>
          <w:szCs w:val="24"/>
        </w:rPr>
        <w:t>ArXiv</w:t>
      </w:r>
      <w:r w:rsidRPr="00DB76AA">
        <w:rPr>
          <w:rFonts w:ascii="Calibri" w:hAnsi="Calibri" w:cs="Calibri"/>
          <w:noProof/>
          <w:szCs w:val="24"/>
        </w:rPr>
        <w:t>. Retrieved from http://arxiv.org/abs/2001.09778</w:t>
      </w:r>
    </w:p>
    <w:p w14:paraId="4EF53590"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Greenhalgh, T., Wherton, J., Papoutsi, C., Lynch, J., Hughes, G., A’Court, C., … Shaw, S. (2017). Beyond adoption: A new framework for theorizing and evaluating nonadoption, abandonment, and challenges to the scale-up, spread, and sustainability of health and care technologies. </w:t>
      </w:r>
      <w:r w:rsidRPr="00DB76AA">
        <w:rPr>
          <w:rFonts w:ascii="Calibri" w:hAnsi="Calibri" w:cs="Calibri"/>
          <w:i/>
          <w:iCs/>
          <w:noProof/>
          <w:szCs w:val="24"/>
        </w:rPr>
        <w:t>Journal of Medical Internet Research</w:t>
      </w:r>
      <w:r w:rsidRPr="00DB76AA">
        <w:rPr>
          <w:rFonts w:ascii="Calibri" w:hAnsi="Calibri" w:cs="Calibri"/>
          <w:noProof/>
          <w:szCs w:val="24"/>
        </w:rPr>
        <w:t xml:space="preserve">, </w:t>
      </w:r>
      <w:r w:rsidRPr="00DB76AA">
        <w:rPr>
          <w:rFonts w:ascii="Calibri" w:hAnsi="Calibri" w:cs="Calibri"/>
          <w:i/>
          <w:iCs/>
          <w:noProof/>
          <w:szCs w:val="24"/>
        </w:rPr>
        <w:t>19</w:t>
      </w:r>
      <w:r w:rsidRPr="00DB76AA">
        <w:rPr>
          <w:rFonts w:ascii="Calibri" w:hAnsi="Calibri" w:cs="Calibri"/>
          <w:noProof/>
          <w:szCs w:val="24"/>
        </w:rPr>
        <w:t>(11). https://doi.org/10.2196/jmir.8775</w:t>
      </w:r>
    </w:p>
    <w:p w14:paraId="3014AF14"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Habli, I., Jia, Y., White, S., Gabriel, G., Lawton, T., Sujan, M., &amp; Tomsett, C. (2019). Development and piloting of a software tool to facilitate proactive hazard and risk analysis of Health Information Technology. </w:t>
      </w:r>
      <w:r w:rsidRPr="00DB76AA">
        <w:rPr>
          <w:rFonts w:ascii="Calibri" w:hAnsi="Calibri" w:cs="Calibri"/>
          <w:i/>
          <w:iCs/>
          <w:noProof/>
          <w:szCs w:val="24"/>
        </w:rPr>
        <w:t>Health Informatics Journal</w:t>
      </w:r>
      <w:r w:rsidRPr="00DB76AA">
        <w:rPr>
          <w:rFonts w:ascii="Calibri" w:hAnsi="Calibri" w:cs="Calibri"/>
          <w:noProof/>
          <w:szCs w:val="24"/>
        </w:rPr>
        <w:t xml:space="preserve">, </w:t>
      </w:r>
      <w:r w:rsidRPr="00DB76AA">
        <w:rPr>
          <w:rFonts w:ascii="Calibri" w:hAnsi="Calibri" w:cs="Calibri"/>
          <w:i/>
          <w:iCs/>
          <w:noProof/>
          <w:szCs w:val="24"/>
        </w:rPr>
        <w:t>5</w:t>
      </w:r>
      <w:r w:rsidRPr="00DB76AA">
        <w:rPr>
          <w:rFonts w:ascii="Calibri" w:hAnsi="Calibri" w:cs="Calibri"/>
          <w:noProof/>
          <w:szCs w:val="24"/>
        </w:rPr>
        <w:t>. https://doi.org/10.1177/1460458219852789</w:t>
      </w:r>
    </w:p>
    <w:p w14:paraId="248D5CF9"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Heeks, R. (2006). Health information systems: Failure, success and improvisation. </w:t>
      </w:r>
      <w:r w:rsidRPr="00DB76AA">
        <w:rPr>
          <w:rFonts w:ascii="Calibri" w:hAnsi="Calibri" w:cs="Calibri"/>
          <w:i/>
          <w:iCs/>
          <w:noProof/>
          <w:szCs w:val="24"/>
        </w:rPr>
        <w:t>International Journal of Medical Informatics</w:t>
      </w:r>
      <w:r w:rsidRPr="00DB76AA">
        <w:rPr>
          <w:rFonts w:ascii="Calibri" w:hAnsi="Calibri" w:cs="Calibri"/>
          <w:noProof/>
          <w:szCs w:val="24"/>
        </w:rPr>
        <w:t xml:space="preserve">, </w:t>
      </w:r>
      <w:r w:rsidRPr="00DB76AA">
        <w:rPr>
          <w:rFonts w:ascii="Calibri" w:hAnsi="Calibri" w:cs="Calibri"/>
          <w:i/>
          <w:iCs/>
          <w:noProof/>
          <w:szCs w:val="24"/>
        </w:rPr>
        <w:t>75</w:t>
      </w:r>
      <w:r w:rsidRPr="00DB76AA">
        <w:rPr>
          <w:rFonts w:ascii="Calibri" w:hAnsi="Calibri" w:cs="Calibri"/>
          <w:noProof/>
          <w:szCs w:val="24"/>
        </w:rPr>
        <w:t>(2), 125–137. https://doi.org/10.1016/j.ijmedinf.2005.07.024</w:t>
      </w:r>
    </w:p>
    <w:p w14:paraId="5E34739A"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Hickey, G. L., Grant, S. W., Caiado, C., Kendall, S., Dunning, J., Poullis, M., … Bridgewater, B. (2013). Dynamic prediction modeling approaches for cardiac surgery. </w:t>
      </w:r>
      <w:r w:rsidRPr="00DB76AA">
        <w:rPr>
          <w:rFonts w:ascii="Calibri" w:hAnsi="Calibri" w:cs="Calibri"/>
          <w:i/>
          <w:iCs/>
          <w:noProof/>
          <w:szCs w:val="24"/>
        </w:rPr>
        <w:t>Circulation: Cardiovascular Quality and Outcomes</w:t>
      </w:r>
      <w:r w:rsidRPr="00DB76AA">
        <w:rPr>
          <w:rFonts w:ascii="Calibri" w:hAnsi="Calibri" w:cs="Calibri"/>
          <w:noProof/>
          <w:szCs w:val="24"/>
        </w:rPr>
        <w:t xml:space="preserve">, </w:t>
      </w:r>
      <w:r w:rsidRPr="00DB76AA">
        <w:rPr>
          <w:rFonts w:ascii="Calibri" w:hAnsi="Calibri" w:cs="Calibri"/>
          <w:i/>
          <w:iCs/>
          <w:noProof/>
          <w:szCs w:val="24"/>
        </w:rPr>
        <w:t>6</w:t>
      </w:r>
      <w:r w:rsidRPr="00DB76AA">
        <w:rPr>
          <w:rFonts w:ascii="Calibri" w:hAnsi="Calibri" w:cs="Calibri"/>
          <w:noProof/>
          <w:szCs w:val="24"/>
        </w:rPr>
        <w:t>(6), 649–658. https://doi.org/10.1161/CIRCOUTCOMES.111.000012</w:t>
      </w:r>
    </w:p>
    <w:p w14:paraId="1D43CF29"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Hickey, G. L., Grant, S. W., Murphy, G. J., Bhabra, M., Pagano, D., McAllister, K., … Bridgewater, B. (2013). Dynamic trends in cardiac surgery: Why the logistic euroscore is no longer suitable for contemporary cardiac surgery and implications for future risk models. </w:t>
      </w:r>
      <w:r w:rsidRPr="00DB76AA">
        <w:rPr>
          <w:rFonts w:ascii="Calibri" w:hAnsi="Calibri" w:cs="Calibri"/>
          <w:i/>
          <w:iCs/>
          <w:noProof/>
          <w:szCs w:val="24"/>
        </w:rPr>
        <w:t>European Journal of Cardio-Thoracic Surgery</w:t>
      </w:r>
      <w:r w:rsidRPr="00DB76AA">
        <w:rPr>
          <w:rFonts w:ascii="Calibri" w:hAnsi="Calibri" w:cs="Calibri"/>
          <w:noProof/>
          <w:szCs w:val="24"/>
        </w:rPr>
        <w:t xml:space="preserve">, </w:t>
      </w:r>
      <w:r w:rsidRPr="00DB76AA">
        <w:rPr>
          <w:rFonts w:ascii="Calibri" w:hAnsi="Calibri" w:cs="Calibri"/>
          <w:i/>
          <w:iCs/>
          <w:noProof/>
          <w:szCs w:val="24"/>
        </w:rPr>
        <w:t>43</w:t>
      </w:r>
      <w:r w:rsidRPr="00DB76AA">
        <w:rPr>
          <w:rFonts w:ascii="Calibri" w:hAnsi="Calibri" w:cs="Calibri"/>
          <w:noProof/>
          <w:szCs w:val="24"/>
        </w:rPr>
        <w:t>(6), 1146–1152. https://doi.org/10.1093/ejcts/ezs584</w:t>
      </w:r>
    </w:p>
    <w:p w14:paraId="4D6F272B"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Huang, X., Yan, F., Ning, J., Feng, Z., Choi, S., &amp; Cortes, J. (2016). A two-stage approach for dynamic prediction of time-to-event distributions. </w:t>
      </w:r>
      <w:r w:rsidRPr="00DB76AA">
        <w:rPr>
          <w:rFonts w:ascii="Calibri" w:hAnsi="Calibri" w:cs="Calibri"/>
          <w:i/>
          <w:iCs/>
          <w:noProof/>
          <w:szCs w:val="24"/>
        </w:rPr>
        <w:t>Statistics in Medicine</w:t>
      </w:r>
      <w:r w:rsidRPr="00DB76AA">
        <w:rPr>
          <w:rFonts w:ascii="Calibri" w:hAnsi="Calibri" w:cs="Calibri"/>
          <w:noProof/>
          <w:szCs w:val="24"/>
        </w:rPr>
        <w:t xml:space="preserve">, </w:t>
      </w:r>
      <w:r w:rsidRPr="00DB76AA">
        <w:rPr>
          <w:rFonts w:ascii="Calibri" w:hAnsi="Calibri" w:cs="Calibri"/>
          <w:i/>
          <w:iCs/>
          <w:noProof/>
          <w:szCs w:val="24"/>
        </w:rPr>
        <w:t>35</w:t>
      </w:r>
      <w:r w:rsidRPr="00DB76AA">
        <w:rPr>
          <w:rFonts w:ascii="Calibri" w:hAnsi="Calibri" w:cs="Calibri"/>
          <w:noProof/>
          <w:szCs w:val="24"/>
        </w:rPr>
        <w:t>(13), 2167–2182. https://doi.org/10.1002/sim.6860.A</w:t>
      </w:r>
    </w:p>
    <w:p w14:paraId="3C3E7D34"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IEC. (2006). </w:t>
      </w:r>
      <w:r w:rsidRPr="00DB76AA">
        <w:rPr>
          <w:rFonts w:ascii="Calibri" w:hAnsi="Calibri" w:cs="Calibri"/>
          <w:i/>
          <w:iCs/>
          <w:noProof/>
          <w:szCs w:val="24"/>
        </w:rPr>
        <w:t>International Electrotechnical Commission 62304:2006. Medical device software–Software life-cycle processes</w:t>
      </w:r>
      <w:r w:rsidRPr="00DB76AA">
        <w:rPr>
          <w:rFonts w:ascii="Calibri" w:hAnsi="Calibri" w:cs="Calibri"/>
          <w:noProof/>
          <w:szCs w:val="24"/>
        </w:rPr>
        <w:t>. Geneva: International Electrotechnical Commission.</w:t>
      </w:r>
    </w:p>
    <w:p w14:paraId="445612E6"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IEC. (2009). </w:t>
      </w:r>
      <w:r w:rsidRPr="00DB76AA">
        <w:rPr>
          <w:rFonts w:ascii="Calibri" w:hAnsi="Calibri" w:cs="Calibri"/>
          <w:i/>
          <w:iCs/>
          <w:noProof/>
          <w:szCs w:val="24"/>
        </w:rPr>
        <w:t>International Electrotechnical Commission PD IEC/TR 80002:2009. Medical device software.</w:t>
      </w:r>
      <w:r w:rsidRPr="00DB76AA">
        <w:rPr>
          <w:rFonts w:ascii="Calibri" w:hAnsi="Calibri" w:cs="Calibri"/>
          <w:noProof/>
          <w:szCs w:val="24"/>
        </w:rPr>
        <w:t xml:space="preserve"> Geneva: International Electrotechnical Commission.</w:t>
      </w:r>
    </w:p>
    <w:p w14:paraId="351FE7AF"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IEC. (2011). </w:t>
      </w:r>
      <w:r w:rsidRPr="00DB76AA">
        <w:rPr>
          <w:rFonts w:ascii="Calibri" w:hAnsi="Calibri" w:cs="Calibri"/>
          <w:i/>
          <w:iCs/>
          <w:noProof/>
          <w:szCs w:val="24"/>
        </w:rPr>
        <w:t>International Electrotechnical Commission 80001:2011. Application of risk management to information technology (IT) networks incorporating medical devices</w:t>
      </w:r>
      <w:r w:rsidRPr="00DB76AA">
        <w:rPr>
          <w:rFonts w:ascii="Calibri" w:hAnsi="Calibri" w:cs="Calibri"/>
          <w:noProof/>
          <w:szCs w:val="24"/>
        </w:rPr>
        <w:t>. Geneva: International Electrotechnical Commission.</w:t>
      </w:r>
    </w:p>
    <w:p w14:paraId="2407EE28"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IMIA. (2020). </w:t>
      </w:r>
      <w:r w:rsidRPr="00DB76AA">
        <w:rPr>
          <w:rFonts w:ascii="Calibri" w:hAnsi="Calibri" w:cs="Calibri"/>
          <w:i/>
          <w:iCs/>
          <w:noProof/>
          <w:szCs w:val="24"/>
        </w:rPr>
        <w:t>International Medical Informatics Association</w:t>
      </w:r>
      <w:r w:rsidRPr="00DB76AA">
        <w:rPr>
          <w:rFonts w:ascii="Calibri" w:hAnsi="Calibri" w:cs="Calibri"/>
          <w:noProof/>
          <w:szCs w:val="24"/>
        </w:rPr>
        <w:t>. Retrieved from https://imia-medinfo.org</w:t>
      </w:r>
    </w:p>
    <w:p w14:paraId="5F48363E"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IMIA WG7. (2018). </w:t>
      </w:r>
      <w:r w:rsidRPr="00DB76AA">
        <w:rPr>
          <w:rFonts w:ascii="Calibri" w:hAnsi="Calibri" w:cs="Calibri"/>
          <w:i/>
          <w:iCs/>
          <w:noProof/>
          <w:szCs w:val="24"/>
        </w:rPr>
        <w:t>WG7 - IMIA Working Group on Health Informatics for Patient Safety</w:t>
      </w:r>
      <w:r w:rsidRPr="00DB76AA">
        <w:rPr>
          <w:rFonts w:ascii="Calibri" w:hAnsi="Calibri" w:cs="Calibri"/>
          <w:noProof/>
          <w:szCs w:val="24"/>
        </w:rPr>
        <w:t>.</w:t>
      </w:r>
    </w:p>
    <w:p w14:paraId="7055CDD3"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Jenkins, D. A., Sperrin, M., Martin, G. P., &amp; Peek, N. (2018). Dynamic models to predict health outcomes: current status and methodological challenges. </w:t>
      </w:r>
      <w:r w:rsidRPr="00DB76AA">
        <w:rPr>
          <w:rFonts w:ascii="Calibri" w:hAnsi="Calibri" w:cs="Calibri"/>
          <w:i/>
          <w:iCs/>
          <w:noProof/>
          <w:szCs w:val="24"/>
        </w:rPr>
        <w:t>Diagnostic and Prognostic Research</w:t>
      </w:r>
      <w:r w:rsidRPr="00DB76AA">
        <w:rPr>
          <w:rFonts w:ascii="Calibri" w:hAnsi="Calibri" w:cs="Calibri"/>
          <w:noProof/>
          <w:szCs w:val="24"/>
        </w:rPr>
        <w:t xml:space="preserve">, </w:t>
      </w:r>
      <w:r w:rsidRPr="00DB76AA">
        <w:rPr>
          <w:rFonts w:ascii="Calibri" w:hAnsi="Calibri" w:cs="Calibri"/>
          <w:i/>
          <w:iCs/>
          <w:noProof/>
          <w:szCs w:val="24"/>
        </w:rPr>
        <w:t>2</w:t>
      </w:r>
      <w:r w:rsidRPr="00DB76AA">
        <w:rPr>
          <w:rFonts w:ascii="Calibri" w:hAnsi="Calibri" w:cs="Calibri"/>
          <w:noProof/>
          <w:szCs w:val="24"/>
        </w:rPr>
        <w:t>(1), 1–9. https://doi.org/10.1186/s41512-018-0045-2</w:t>
      </w:r>
    </w:p>
    <w:p w14:paraId="26C607AC"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Kostkova, P. (2015). Grand challenges in digital health. </w:t>
      </w:r>
      <w:r w:rsidRPr="00DB76AA">
        <w:rPr>
          <w:rFonts w:ascii="Calibri" w:hAnsi="Calibri" w:cs="Calibri"/>
          <w:i/>
          <w:iCs/>
          <w:noProof/>
          <w:szCs w:val="24"/>
        </w:rPr>
        <w:t>Frontiers in Public Health</w:t>
      </w:r>
      <w:r w:rsidRPr="00DB76AA">
        <w:rPr>
          <w:rFonts w:ascii="Calibri" w:hAnsi="Calibri" w:cs="Calibri"/>
          <w:noProof/>
          <w:szCs w:val="24"/>
        </w:rPr>
        <w:t xml:space="preserve">, </w:t>
      </w:r>
      <w:r w:rsidRPr="00DB76AA">
        <w:rPr>
          <w:rFonts w:ascii="Calibri" w:hAnsi="Calibri" w:cs="Calibri"/>
          <w:i/>
          <w:iCs/>
          <w:noProof/>
          <w:szCs w:val="24"/>
        </w:rPr>
        <w:t>3</w:t>
      </w:r>
      <w:r w:rsidRPr="00DB76AA">
        <w:rPr>
          <w:rFonts w:ascii="Calibri" w:hAnsi="Calibri" w:cs="Calibri"/>
          <w:noProof/>
          <w:szCs w:val="24"/>
        </w:rPr>
        <w:t>(134), 1–5. https://doi.org/10.3389/fpubh.2015.00134</w:t>
      </w:r>
    </w:p>
    <w:p w14:paraId="16211A3E"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Kuhn, K. A., Knoll, A., Mewes, H. W., Schwaiger, M., Bode, A., Broy, M., … Ziegler, S. (2008). Informatics and Medicine - From Molecules to Populations. </w:t>
      </w:r>
      <w:r w:rsidRPr="00DB76AA">
        <w:rPr>
          <w:rFonts w:ascii="Calibri" w:hAnsi="Calibri" w:cs="Calibri"/>
          <w:i/>
          <w:iCs/>
          <w:noProof/>
          <w:szCs w:val="24"/>
        </w:rPr>
        <w:t>Methods of Information in Medicine</w:t>
      </w:r>
      <w:r w:rsidRPr="00DB76AA">
        <w:rPr>
          <w:rFonts w:ascii="Calibri" w:hAnsi="Calibri" w:cs="Calibri"/>
          <w:noProof/>
          <w:szCs w:val="24"/>
        </w:rPr>
        <w:t xml:space="preserve">, </w:t>
      </w:r>
      <w:r w:rsidRPr="00DB76AA">
        <w:rPr>
          <w:rFonts w:ascii="Calibri" w:hAnsi="Calibri" w:cs="Calibri"/>
          <w:i/>
          <w:iCs/>
          <w:noProof/>
          <w:szCs w:val="24"/>
        </w:rPr>
        <w:t>47</w:t>
      </w:r>
      <w:r w:rsidRPr="00DB76AA">
        <w:rPr>
          <w:rFonts w:ascii="Calibri" w:hAnsi="Calibri" w:cs="Calibri"/>
          <w:noProof/>
          <w:szCs w:val="24"/>
        </w:rPr>
        <w:t>(4), 283–295. https://doi.org/10.3414/ME9117</w:t>
      </w:r>
    </w:p>
    <w:p w14:paraId="0EF87E50"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Kux, B. R., &amp; Majeed, R. W. (2017). Factors Influencing the Implementation and Distribution of Clinical Decision Support Systems (CDSS). </w:t>
      </w:r>
      <w:r w:rsidRPr="00DB76AA">
        <w:rPr>
          <w:rFonts w:ascii="Calibri" w:hAnsi="Calibri" w:cs="Calibri"/>
          <w:i/>
          <w:iCs/>
          <w:noProof/>
          <w:szCs w:val="24"/>
        </w:rPr>
        <w:t>Studies in Health Technology and Informatics</w:t>
      </w:r>
      <w:r w:rsidRPr="00DB76AA">
        <w:rPr>
          <w:rFonts w:ascii="Calibri" w:hAnsi="Calibri" w:cs="Calibri"/>
          <w:noProof/>
          <w:szCs w:val="24"/>
        </w:rPr>
        <w:t xml:space="preserve">, </w:t>
      </w:r>
      <w:r w:rsidRPr="00DB76AA">
        <w:rPr>
          <w:rFonts w:ascii="Calibri" w:hAnsi="Calibri" w:cs="Calibri"/>
          <w:i/>
          <w:iCs/>
          <w:noProof/>
          <w:szCs w:val="24"/>
        </w:rPr>
        <w:t>243</w:t>
      </w:r>
      <w:r w:rsidRPr="00DB76AA">
        <w:rPr>
          <w:rFonts w:ascii="Calibri" w:hAnsi="Calibri" w:cs="Calibri"/>
          <w:noProof/>
          <w:szCs w:val="24"/>
        </w:rPr>
        <w:t>, 127–131. https://doi.org/10.3233/978-1-61499-808-2-127</w:t>
      </w:r>
    </w:p>
    <w:p w14:paraId="6E1288F8"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Leveson, N. G. (1986). Software Safety: Why, What, and How. </w:t>
      </w:r>
      <w:r w:rsidRPr="00DB76AA">
        <w:rPr>
          <w:rFonts w:ascii="Calibri" w:hAnsi="Calibri" w:cs="Calibri"/>
          <w:i/>
          <w:iCs/>
          <w:noProof/>
          <w:szCs w:val="24"/>
        </w:rPr>
        <w:t>Computing Surveys</w:t>
      </w:r>
      <w:r w:rsidRPr="00DB76AA">
        <w:rPr>
          <w:rFonts w:ascii="Calibri" w:hAnsi="Calibri" w:cs="Calibri"/>
          <w:noProof/>
          <w:szCs w:val="24"/>
        </w:rPr>
        <w:t xml:space="preserve">, </w:t>
      </w:r>
      <w:r w:rsidRPr="00DB76AA">
        <w:rPr>
          <w:rFonts w:ascii="Calibri" w:hAnsi="Calibri" w:cs="Calibri"/>
          <w:i/>
          <w:iCs/>
          <w:noProof/>
          <w:szCs w:val="24"/>
        </w:rPr>
        <w:t>18</w:t>
      </w:r>
      <w:r w:rsidRPr="00DB76AA">
        <w:rPr>
          <w:rFonts w:ascii="Calibri" w:hAnsi="Calibri" w:cs="Calibri"/>
          <w:noProof/>
          <w:szCs w:val="24"/>
        </w:rPr>
        <w:t>(2).</w:t>
      </w:r>
    </w:p>
    <w:p w14:paraId="581D7DFD"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lastRenderedPageBreak/>
        <w:t xml:space="preserve">Lupton, D. (2017). </w:t>
      </w:r>
      <w:r w:rsidRPr="00DB76AA">
        <w:rPr>
          <w:rFonts w:ascii="Calibri" w:hAnsi="Calibri" w:cs="Calibri"/>
          <w:i/>
          <w:iCs/>
          <w:noProof/>
          <w:szCs w:val="24"/>
        </w:rPr>
        <w:t>Digital Health: Critical and Cross-Disciplinary Perspectives</w:t>
      </w:r>
      <w:r w:rsidRPr="00DB76AA">
        <w:rPr>
          <w:rFonts w:ascii="Calibri" w:hAnsi="Calibri" w:cs="Calibri"/>
          <w:noProof/>
          <w:szCs w:val="24"/>
        </w:rPr>
        <w:t xml:space="preserve"> (K. Chamberlain &amp; A. Lyons, Eds.). Retrieved from https://books.google.co.uk/books?hl=en&amp;lr=&amp;id=09srDwAAQBAJ&amp;oi=fnd&amp;pg=PT8&amp;dq=Novel+challenges+of+new+and+emerging+digital+health+technologies&amp;ots=5dgCyGehlJ&amp;sig=OTsQkQj_iHtz5W12G_z5aSUt8F4&amp;redir_esc=y#v=onepage&amp;q&amp;f=false</w:t>
      </w:r>
    </w:p>
    <w:p w14:paraId="7E774253"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Macrae, C. (2019). Governing the safety of artificial intelligence in healthcare. </w:t>
      </w:r>
      <w:r w:rsidRPr="00DB76AA">
        <w:rPr>
          <w:rFonts w:ascii="Calibri" w:hAnsi="Calibri" w:cs="Calibri"/>
          <w:i/>
          <w:iCs/>
          <w:noProof/>
          <w:szCs w:val="24"/>
        </w:rPr>
        <w:t>BMJ Qual Saf</w:t>
      </w:r>
      <w:r w:rsidRPr="00DB76AA">
        <w:rPr>
          <w:rFonts w:ascii="Calibri" w:hAnsi="Calibri" w:cs="Calibri"/>
          <w:noProof/>
          <w:szCs w:val="24"/>
        </w:rPr>
        <w:t xml:space="preserve">, </w:t>
      </w:r>
      <w:r w:rsidRPr="00DB76AA">
        <w:rPr>
          <w:rFonts w:ascii="Calibri" w:hAnsi="Calibri" w:cs="Calibri"/>
          <w:i/>
          <w:iCs/>
          <w:noProof/>
          <w:szCs w:val="24"/>
        </w:rPr>
        <w:t>28</w:t>
      </w:r>
      <w:r w:rsidRPr="00DB76AA">
        <w:rPr>
          <w:rFonts w:ascii="Calibri" w:hAnsi="Calibri" w:cs="Calibri"/>
          <w:noProof/>
          <w:szCs w:val="24"/>
        </w:rPr>
        <w:t>, 495–498. https://doi.org/10.1136/bmjqs-2019-009484</w:t>
      </w:r>
    </w:p>
    <w:p w14:paraId="40386E2D"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Magnusson, J. A., &amp; Fu Jr., P. C. (Eds.). (2013). </w:t>
      </w:r>
      <w:r w:rsidRPr="00DB76AA">
        <w:rPr>
          <w:rFonts w:ascii="Calibri" w:hAnsi="Calibri" w:cs="Calibri"/>
          <w:i/>
          <w:iCs/>
          <w:noProof/>
          <w:szCs w:val="24"/>
        </w:rPr>
        <w:t>Public health informatics and information systems</w:t>
      </w:r>
      <w:r w:rsidRPr="00DB76AA">
        <w:rPr>
          <w:rFonts w:ascii="Calibri" w:hAnsi="Calibri" w:cs="Calibri"/>
          <w:noProof/>
          <w:szCs w:val="24"/>
        </w:rPr>
        <w:t xml:space="preserve"> (2nd ed.). London: Springer.</w:t>
      </w:r>
    </w:p>
    <w:p w14:paraId="4FE79049"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Masum, H., Lackman, R., &amp; Bartleson, K. (2013). Developing global health technology standards: what can other industries teach us? </w:t>
      </w:r>
      <w:r w:rsidRPr="00DB76AA">
        <w:rPr>
          <w:rFonts w:ascii="Calibri" w:hAnsi="Calibri" w:cs="Calibri"/>
          <w:i/>
          <w:iCs/>
          <w:noProof/>
          <w:szCs w:val="24"/>
        </w:rPr>
        <w:t>Globalization and Health</w:t>
      </w:r>
      <w:r w:rsidRPr="00DB76AA">
        <w:rPr>
          <w:rFonts w:ascii="Calibri" w:hAnsi="Calibri" w:cs="Calibri"/>
          <w:noProof/>
          <w:szCs w:val="24"/>
        </w:rPr>
        <w:t xml:space="preserve">, </w:t>
      </w:r>
      <w:r w:rsidRPr="00DB76AA">
        <w:rPr>
          <w:rFonts w:ascii="Calibri" w:hAnsi="Calibri" w:cs="Calibri"/>
          <w:i/>
          <w:iCs/>
          <w:noProof/>
          <w:szCs w:val="24"/>
        </w:rPr>
        <w:t>9</w:t>
      </w:r>
      <w:r w:rsidRPr="00DB76AA">
        <w:rPr>
          <w:rFonts w:ascii="Calibri" w:hAnsi="Calibri" w:cs="Calibri"/>
          <w:noProof/>
          <w:szCs w:val="24"/>
        </w:rPr>
        <w:t>(49).</w:t>
      </w:r>
    </w:p>
    <w:p w14:paraId="0197157E"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McAuley, A. (2014). Digital health interventions: Widening access or widening inequalities? </w:t>
      </w:r>
      <w:r w:rsidRPr="00DB76AA">
        <w:rPr>
          <w:rFonts w:ascii="Calibri" w:hAnsi="Calibri" w:cs="Calibri"/>
          <w:i/>
          <w:iCs/>
          <w:noProof/>
          <w:szCs w:val="24"/>
        </w:rPr>
        <w:t>Public Health</w:t>
      </w:r>
      <w:r w:rsidRPr="00DB76AA">
        <w:rPr>
          <w:rFonts w:ascii="Calibri" w:hAnsi="Calibri" w:cs="Calibri"/>
          <w:noProof/>
          <w:szCs w:val="24"/>
        </w:rPr>
        <w:t xml:space="preserve">, </w:t>
      </w:r>
      <w:r w:rsidRPr="00DB76AA">
        <w:rPr>
          <w:rFonts w:ascii="Calibri" w:hAnsi="Calibri" w:cs="Calibri"/>
          <w:i/>
          <w:iCs/>
          <w:noProof/>
          <w:szCs w:val="24"/>
        </w:rPr>
        <w:t>128</w:t>
      </w:r>
      <w:r w:rsidRPr="00DB76AA">
        <w:rPr>
          <w:rFonts w:ascii="Calibri" w:hAnsi="Calibri" w:cs="Calibri"/>
          <w:noProof/>
          <w:szCs w:val="24"/>
        </w:rPr>
        <w:t>(12), 1118–1120. https://doi.org/10.1016/j.puhe.2014.10.008</w:t>
      </w:r>
    </w:p>
    <w:p w14:paraId="1C203581"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McCormick, K., &amp; Saba, V. (2015). </w:t>
      </w:r>
      <w:r w:rsidRPr="00DB76AA">
        <w:rPr>
          <w:rFonts w:ascii="Calibri" w:hAnsi="Calibri" w:cs="Calibri"/>
          <w:i/>
          <w:iCs/>
          <w:noProof/>
          <w:szCs w:val="24"/>
        </w:rPr>
        <w:t>Essentials of nursing informatics</w:t>
      </w:r>
      <w:r w:rsidRPr="00DB76AA">
        <w:rPr>
          <w:rFonts w:ascii="Calibri" w:hAnsi="Calibri" w:cs="Calibri"/>
          <w:noProof/>
          <w:szCs w:val="24"/>
        </w:rPr>
        <w:t xml:space="preserve"> (6th ed.). Retrieved from https://lib.hpu.edu.vn/handle/123456789/32430</w:t>
      </w:r>
    </w:p>
    <w:p w14:paraId="1AB14838"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Moghimi, H., Wickramasinghe, N., &amp; Adya, M. (2020). </w:t>
      </w:r>
      <w:r w:rsidRPr="00DB76AA">
        <w:rPr>
          <w:rFonts w:ascii="Calibri" w:hAnsi="Calibri" w:cs="Calibri"/>
          <w:i/>
          <w:iCs/>
          <w:noProof/>
          <w:szCs w:val="24"/>
        </w:rPr>
        <w:t>Intelligent Risk Detection in Health Care: Integrating Social and Technical Factors to Manage Health Outcomes</w:t>
      </w:r>
      <w:r w:rsidRPr="00DB76AA">
        <w:rPr>
          <w:rFonts w:ascii="Calibri" w:hAnsi="Calibri" w:cs="Calibri"/>
          <w:noProof/>
          <w:szCs w:val="24"/>
        </w:rPr>
        <w:t>. https://doi.org/10.1007/978-3-030-17347-0_11</w:t>
      </w:r>
    </w:p>
    <w:p w14:paraId="1E2C4DB9"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Onik, M. F. A., Fielt, E., &amp; Gable, G. G. (2017). Complex Adaptive Systems Theory in Information Systems Research - A Systematic Literature Review. In S. C. Ling, S. Bahri, &amp; P. Finnegan (Eds.), </w:t>
      </w:r>
      <w:r w:rsidRPr="00DB76AA">
        <w:rPr>
          <w:rFonts w:ascii="Calibri" w:hAnsi="Calibri" w:cs="Calibri"/>
          <w:i/>
          <w:iCs/>
          <w:noProof/>
          <w:szCs w:val="24"/>
        </w:rPr>
        <w:t>Pacific Asia Conference on Information Systems (PACIS)</w:t>
      </w:r>
      <w:r w:rsidRPr="00DB76AA">
        <w:rPr>
          <w:rFonts w:ascii="Calibri" w:hAnsi="Calibri" w:cs="Calibri"/>
          <w:noProof/>
          <w:szCs w:val="24"/>
        </w:rPr>
        <w:t xml:space="preserve"> (pp. 1–14). Retrieved from https://eprints.qut.edu.au/111589/1/pacis - 2017 - Complex Adaptive Systems Theory in Information Systems Research - A Systematic Literature Review.pdf</w:t>
      </w:r>
    </w:p>
    <w:p w14:paraId="24AE64F9"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Paxton, N. C., &amp; Branca, D. L. (2020). Managing the Risks of Emerging IoT Devices. In N. Wickramasinghe &amp; F. Bodendorf (Eds.), </w:t>
      </w:r>
      <w:r w:rsidRPr="00DB76AA">
        <w:rPr>
          <w:rFonts w:ascii="Calibri" w:hAnsi="Calibri" w:cs="Calibri"/>
          <w:i/>
          <w:iCs/>
          <w:noProof/>
          <w:szCs w:val="24"/>
        </w:rPr>
        <w:t>Delivering Superior Health and Wellness Management with IoT and Analytics</w:t>
      </w:r>
      <w:r w:rsidRPr="00DB76AA">
        <w:rPr>
          <w:rFonts w:ascii="Calibri" w:hAnsi="Calibri" w:cs="Calibri"/>
          <w:noProof/>
          <w:szCs w:val="24"/>
        </w:rPr>
        <w:t xml:space="preserve"> (pp. 447–467). https://doi.org/10.1007/978-3-030-17347-0_22</w:t>
      </w:r>
    </w:p>
    <w:p w14:paraId="51646D79"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Pilotto, A., Boi, R., &amp; Petermans, J. (2018). Technology in geriatrics. </w:t>
      </w:r>
      <w:r w:rsidRPr="00DB76AA">
        <w:rPr>
          <w:rFonts w:ascii="Calibri" w:hAnsi="Calibri" w:cs="Calibri"/>
          <w:i/>
          <w:iCs/>
          <w:noProof/>
          <w:szCs w:val="24"/>
        </w:rPr>
        <w:t>Age and Ageing</w:t>
      </w:r>
      <w:r w:rsidRPr="00DB76AA">
        <w:rPr>
          <w:rFonts w:ascii="Calibri" w:hAnsi="Calibri" w:cs="Calibri"/>
          <w:noProof/>
          <w:szCs w:val="24"/>
        </w:rPr>
        <w:t xml:space="preserve">, </w:t>
      </w:r>
      <w:r w:rsidRPr="00DB76AA">
        <w:rPr>
          <w:rFonts w:ascii="Calibri" w:hAnsi="Calibri" w:cs="Calibri"/>
          <w:i/>
          <w:iCs/>
          <w:noProof/>
          <w:szCs w:val="24"/>
        </w:rPr>
        <w:t>47</w:t>
      </w:r>
      <w:r w:rsidRPr="00DB76AA">
        <w:rPr>
          <w:rFonts w:ascii="Calibri" w:hAnsi="Calibri" w:cs="Calibri"/>
          <w:noProof/>
          <w:szCs w:val="24"/>
        </w:rPr>
        <w:t>(6), 771–774. https://doi.org/10.1093/ageing/afy026</w:t>
      </w:r>
    </w:p>
    <w:p w14:paraId="14C8A851"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Richesson, R. L., &amp; Andrews, J. E. (Eds.). (2019). </w:t>
      </w:r>
      <w:r w:rsidRPr="00DB76AA">
        <w:rPr>
          <w:rFonts w:ascii="Calibri" w:hAnsi="Calibri" w:cs="Calibri"/>
          <w:i/>
          <w:iCs/>
          <w:noProof/>
          <w:szCs w:val="24"/>
        </w:rPr>
        <w:t>Clinical research informatics</w:t>
      </w:r>
      <w:r w:rsidRPr="00DB76AA">
        <w:rPr>
          <w:rFonts w:ascii="Calibri" w:hAnsi="Calibri" w:cs="Calibri"/>
          <w:noProof/>
          <w:szCs w:val="24"/>
        </w:rPr>
        <w:t xml:space="preserve"> (2nd ed.). Springer.</w:t>
      </w:r>
    </w:p>
    <w:p w14:paraId="70EDF60D"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Robinson, L., Cotten, S. R., Ono, H., Quan-Haase, A., Mesch, G., Chen, W., … Stern, M. J. (2015). Digital inequalities and why they matter. </w:t>
      </w:r>
      <w:r w:rsidRPr="00DB76AA">
        <w:rPr>
          <w:rFonts w:ascii="Calibri" w:hAnsi="Calibri" w:cs="Calibri"/>
          <w:i/>
          <w:iCs/>
          <w:noProof/>
          <w:szCs w:val="24"/>
        </w:rPr>
        <w:t>Information Communication and Society</w:t>
      </w:r>
      <w:r w:rsidRPr="00DB76AA">
        <w:rPr>
          <w:rFonts w:ascii="Calibri" w:hAnsi="Calibri" w:cs="Calibri"/>
          <w:noProof/>
          <w:szCs w:val="24"/>
        </w:rPr>
        <w:t xml:space="preserve">, </w:t>
      </w:r>
      <w:r w:rsidRPr="00DB76AA">
        <w:rPr>
          <w:rFonts w:ascii="Calibri" w:hAnsi="Calibri" w:cs="Calibri"/>
          <w:i/>
          <w:iCs/>
          <w:noProof/>
          <w:szCs w:val="24"/>
        </w:rPr>
        <w:t>18</w:t>
      </w:r>
      <w:r w:rsidRPr="00DB76AA">
        <w:rPr>
          <w:rFonts w:ascii="Calibri" w:hAnsi="Calibri" w:cs="Calibri"/>
          <w:noProof/>
          <w:szCs w:val="24"/>
        </w:rPr>
        <w:t>(5), 569–582. https://doi.org/10.1080/1369118X.2015.1012532</w:t>
      </w:r>
    </w:p>
    <w:p w14:paraId="74054DA0"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Sako, Z., Adibi, S., &amp; Wickramasinghe, N. (2020). </w:t>
      </w:r>
      <w:r w:rsidRPr="00DB76AA">
        <w:rPr>
          <w:rFonts w:ascii="Calibri" w:hAnsi="Calibri" w:cs="Calibri"/>
          <w:i/>
          <w:iCs/>
          <w:noProof/>
          <w:szCs w:val="24"/>
        </w:rPr>
        <w:t>Addressing Data Accuracy and Information Integrity in mHealth Solutions Using Machine Learning Algorithms</w:t>
      </w:r>
      <w:r w:rsidRPr="00DB76AA">
        <w:rPr>
          <w:rFonts w:ascii="Calibri" w:hAnsi="Calibri" w:cs="Calibri"/>
          <w:noProof/>
          <w:szCs w:val="24"/>
        </w:rPr>
        <w:t>. https://doi.org/10.1007/978-3-030-17347-0_16</w:t>
      </w:r>
    </w:p>
    <w:p w14:paraId="0A7FEB8A"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Shortliffe, E. H., &amp; Cimino, J. J. (Eds.). (2013). </w:t>
      </w:r>
      <w:r w:rsidRPr="00DB76AA">
        <w:rPr>
          <w:rFonts w:ascii="Calibri" w:hAnsi="Calibri" w:cs="Calibri"/>
          <w:i/>
          <w:iCs/>
          <w:noProof/>
          <w:szCs w:val="24"/>
        </w:rPr>
        <w:t>Biomedical Informatics: Computer applications in healthcare and biomedicine</w:t>
      </w:r>
      <w:r w:rsidRPr="00DB76AA">
        <w:rPr>
          <w:rFonts w:ascii="Calibri" w:hAnsi="Calibri" w:cs="Calibri"/>
          <w:noProof/>
          <w:szCs w:val="24"/>
        </w:rPr>
        <w:t xml:space="preserve"> (4th ed.). New York: Springer.</w:t>
      </w:r>
    </w:p>
    <w:p w14:paraId="687BBCB6"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Singh, H., &amp; Sittig, D. F. (2016). Measuring and improving patient safety through health information technology: The health IT safety framework. </w:t>
      </w:r>
      <w:r w:rsidRPr="00DB76AA">
        <w:rPr>
          <w:rFonts w:ascii="Calibri" w:hAnsi="Calibri" w:cs="Calibri"/>
          <w:i/>
          <w:iCs/>
          <w:noProof/>
          <w:szCs w:val="24"/>
        </w:rPr>
        <w:t>BMJ Quality and Safety</w:t>
      </w:r>
      <w:r w:rsidRPr="00DB76AA">
        <w:rPr>
          <w:rFonts w:ascii="Calibri" w:hAnsi="Calibri" w:cs="Calibri"/>
          <w:noProof/>
          <w:szCs w:val="24"/>
        </w:rPr>
        <w:t xml:space="preserve">, </w:t>
      </w:r>
      <w:r w:rsidRPr="00DB76AA">
        <w:rPr>
          <w:rFonts w:ascii="Calibri" w:hAnsi="Calibri" w:cs="Calibri"/>
          <w:i/>
          <w:iCs/>
          <w:noProof/>
          <w:szCs w:val="24"/>
        </w:rPr>
        <w:t>25</w:t>
      </w:r>
      <w:r w:rsidRPr="00DB76AA">
        <w:rPr>
          <w:rFonts w:ascii="Calibri" w:hAnsi="Calibri" w:cs="Calibri"/>
          <w:noProof/>
          <w:szCs w:val="24"/>
        </w:rPr>
        <w:t>(4), 226–232. https://doi.org/10.1136/bmjqs-2015-004486</w:t>
      </w:r>
    </w:p>
    <w:p w14:paraId="6E037911"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Sittig, D. F., Wright, A., Coiera, E., Magrabi, F., Ratwant, R., Bates, D. W., &amp; Singh, H. (2018). Current challenges in health information technology–related patient safety. </w:t>
      </w:r>
      <w:r w:rsidRPr="00DB76AA">
        <w:rPr>
          <w:rFonts w:ascii="Calibri" w:hAnsi="Calibri" w:cs="Calibri"/>
          <w:i/>
          <w:iCs/>
          <w:noProof/>
          <w:szCs w:val="24"/>
        </w:rPr>
        <w:t>Health Informatics Journal</w:t>
      </w:r>
      <w:r w:rsidRPr="00DB76AA">
        <w:rPr>
          <w:rFonts w:ascii="Calibri" w:hAnsi="Calibri" w:cs="Calibri"/>
          <w:noProof/>
          <w:szCs w:val="24"/>
        </w:rPr>
        <w:t>, (2), 1–9. https://doi.org/10.1177/1460458218814893</w:t>
      </w:r>
    </w:p>
    <w:p w14:paraId="1648710C"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lastRenderedPageBreak/>
        <w:t xml:space="preserve">Sperrin, M., Jenkins, D., Martin, G. P., &amp; Peek, N. (2019). Explicit causal reasoning is needed to prevent prognostic models being victims of their own success. </w:t>
      </w:r>
      <w:r w:rsidRPr="00DB76AA">
        <w:rPr>
          <w:rFonts w:ascii="Calibri" w:hAnsi="Calibri" w:cs="Calibri"/>
          <w:i/>
          <w:iCs/>
          <w:noProof/>
          <w:szCs w:val="24"/>
        </w:rPr>
        <w:t>Journal of the American Medical Informatics Association</w:t>
      </w:r>
      <w:r w:rsidRPr="00DB76AA">
        <w:rPr>
          <w:rFonts w:ascii="Calibri" w:hAnsi="Calibri" w:cs="Calibri"/>
          <w:noProof/>
          <w:szCs w:val="24"/>
        </w:rPr>
        <w:t xml:space="preserve">, </w:t>
      </w:r>
      <w:r w:rsidRPr="00DB76AA">
        <w:rPr>
          <w:rFonts w:ascii="Calibri" w:hAnsi="Calibri" w:cs="Calibri"/>
          <w:i/>
          <w:iCs/>
          <w:noProof/>
          <w:szCs w:val="24"/>
        </w:rPr>
        <w:t>26</w:t>
      </w:r>
      <w:r w:rsidRPr="00DB76AA">
        <w:rPr>
          <w:rFonts w:ascii="Calibri" w:hAnsi="Calibri" w:cs="Calibri"/>
          <w:noProof/>
          <w:szCs w:val="24"/>
        </w:rPr>
        <w:t>(12), 1675–1676. https://doi.org/10.1093/jamia/ocz197</w:t>
      </w:r>
    </w:p>
    <w:p w14:paraId="7425942D"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Sperrin, M., Martin, G. P., Pate, A., Van Staa, T., Peek, N., &amp; Buchan, I. (2018). Using marginal structural models to adjust for treatment drop-in when developing clinical prediction models. </w:t>
      </w:r>
      <w:r w:rsidRPr="00DB76AA">
        <w:rPr>
          <w:rFonts w:ascii="Calibri" w:hAnsi="Calibri" w:cs="Calibri"/>
          <w:i/>
          <w:iCs/>
          <w:noProof/>
          <w:szCs w:val="24"/>
        </w:rPr>
        <w:t>Statistics in Medicine</w:t>
      </w:r>
      <w:r w:rsidRPr="00DB76AA">
        <w:rPr>
          <w:rFonts w:ascii="Calibri" w:hAnsi="Calibri" w:cs="Calibri"/>
          <w:noProof/>
          <w:szCs w:val="24"/>
        </w:rPr>
        <w:t xml:space="preserve">, </w:t>
      </w:r>
      <w:r w:rsidRPr="00DB76AA">
        <w:rPr>
          <w:rFonts w:ascii="Calibri" w:hAnsi="Calibri" w:cs="Calibri"/>
          <w:i/>
          <w:iCs/>
          <w:noProof/>
          <w:szCs w:val="24"/>
        </w:rPr>
        <w:t>37</w:t>
      </w:r>
      <w:r w:rsidRPr="00DB76AA">
        <w:rPr>
          <w:rFonts w:ascii="Calibri" w:hAnsi="Calibri" w:cs="Calibri"/>
          <w:noProof/>
          <w:szCs w:val="24"/>
        </w:rPr>
        <w:t>(28), 4142–4154. https://doi.org/10.1002/sim.7913</w:t>
      </w:r>
    </w:p>
    <w:p w14:paraId="60B272BD"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Steinbuch, K. (1957). Informatik: Automatische Informationsverarbeitung. </w:t>
      </w:r>
      <w:r w:rsidRPr="00DB76AA">
        <w:rPr>
          <w:rFonts w:ascii="Calibri" w:hAnsi="Calibri" w:cs="Calibri"/>
          <w:i/>
          <w:iCs/>
          <w:noProof/>
          <w:szCs w:val="24"/>
        </w:rPr>
        <w:t>SEG-Nachrichten</w:t>
      </w:r>
      <w:r w:rsidRPr="00DB76AA">
        <w:rPr>
          <w:rFonts w:ascii="Calibri" w:hAnsi="Calibri" w:cs="Calibri"/>
          <w:noProof/>
          <w:szCs w:val="24"/>
        </w:rPr>
        <w:t xml:space="preserve">, </w:t>
      </w:r>
      <w:r w:rsidRPr="00DB76AA">
        <w:rPr>
          <w:rFonts w:ascii="Calibri" w:hAnsi="Calibri" w:cs="Calibri"/>
          <w:i/>
          <w:iCs/>
          <w:noProof/>
          <w:szCs w:val="24"/>
        </w:rPr>
        <w:t>4</w:t>
      </w:r>
      <w:r w:rsidRPr="00DB76AA">
        <w:rPr>
          <w:rFonts w:ascii="Calibri" w:hAnsi="Calibri" w:cs="Calibri"/>
          <w:noProof/>
          <w:szCs w:val="24"/>
        </w:rPr>
        <w:t>.</w:t>
      </w:r>
    </w:p>
    <w:p w14:paraId="38E8A82F"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Stock, W. G., &amp; Stock, M. (2013). </w:t>
      </w:r>
      <w:r w:rsidRPr="00DB76AA">
        <w:rPr>
          <w:rFonts w:ascii="Calibri" w:hAnsi="Calibri" w:cs="Calibri"/>
          <w:i/>
          <w:iCs/>
          <w:noProof/>
          <w:szCs w:val="24"/>
        </w:rPr>
        <w:t>Handbook of Information Science</w:t>
      </w:r>
      <w:r w:rsidRPr="00DB76AA">
        <w:rPr>
          <w:rFonts w:ascii="Calibri" w:hAnsi="Calibri" w:cs="Calibri"/>
          <w:noProof/>
          <w:szCs w:val="24"/>
        </w:rPr>
        <w:t>. Berlin: De Gruyter.</w:t>
      </w:r>
    </w:p>
    <w:p w14:paraId="5088DFA6"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Su, T. L., Jaki, T., Hickey, G. L., Buchan, I., &amp; Sperrin, M. (2018). A review of statistical updating methods for clinical prediction models. </w:t>
      </w:r>
      <w:r w:rsidRPr="00DB76AA">
        <w:rPr>
          <w:rFonts w:ascii="Calibri" w:hAnsi="Calibri" w:cs="Calibri"/>
          <w:i/>
          <w:iCs/>
          <w:noProof/>
          <w:szCs w:val="24"/>
        </w:rPr>
        <w:t>Statistical Methods in Medical Research</w:t>
      </w:r>
      <w:r w:rsidRPr="00DB76AA">
        <w:rPr>
          <w:rFonts w:ascii="Calibri" w:hAnsi="Calibri" w:cs="Calibri"/>
          <w:noProof/>
          <w:szCs w:val="24"/>
        </w:rPr>
        <w:t xml:space="preserve">, </w:t>
      </w:r>
      <w:r w:rsidRPr="00DB76AA">
        <w:rPr>
          <w:rFonts w:ascii="Calibri" w:hAnsi="Calibri" w:cs="Calibri"/>
          <w:i/>
          <w:iCs/>
          <w:noProof/>
          <w:szCs w:val="24"/>
        </w:rPr>
        <w:t>27</w:t>
      </w:r>
      <w:r w:rsidRPr="00DB76AA">
        <w:rPr>
          <w:rFonts w:ascii="Calibri" w:hAnsi="Calibri" w:cs="Calibri"/>
          <w:noProof/>
          <w:szCs w:val="24"/>
        </w:rPr>
        <w:t>(1), 185–197. https://doi.org/10.1177/0962280215626466</w:t>
      </w:r>
    </w:p>
    <w:p w14:paraId="2DF8D592"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Sujan, M. A., Habli, I., Kelly, T. P., Pozzi, S., &amp; Johnson, C. W. (2016). Should healthcare providers do safety cases? Lessons from a cross-industry review of safety case practices. </w:t>
      </w:r>
      <w:r w:rsidRPr="00DB76AA">
        <w:rPr>
          <w:rFonts w:ascii="Calibri" w:hAnsi="Calibri" w:cs="Calibri"/>
          <w:i/>
          <w:iCs/>
          <w:noProof/>
          <w:szCs w:val="24"/>
        </w:rPr>
        <w:t>Safety Science</w:t>
      </w:r>
      <w:r w:rsidRPr="00DB76AA">
        <w:rPr>
          <w:rFonts w:ascii="Calibri" w:hAnsi="Calibri" w:cs="Calibri"/>
          <w:noProof/>
          <w:szCs w:val="24"/>
        </w:rPr>
        <w:t xml:space="preserve">, </w:t>
      </w:r>
      <w:r w:rsidRPr="00DB76AA">
        <w:rPr>
          <w:rFonts w:ascii="Calibri" w:hAnsi="Calibri" w:cs="Calibri"/>
          <w:i/>
          <w:iCs/>
          <w:noProof/>
          <w:szCs w:val="24"/>
        </w:rPr>
        <w:t>84</w:t>
      </w:r>
      <w:r w:rsidRPr="00DB76AA">
        <w:rPr>
          <w:rFonts w:ascii="Calibri" w:hAnsi="Calibri" w:cs="Calibri"/>
          <w:noProof/>
          <w:szCs w:val="24"/>
        </w:rPr>
        <w:t>, 181–189. https://doi.org/10.1016/j.ssci.2015.12.021</w:t>
      </w:r>
    </w:p>
    <w:p w14:paraId="3E261BF4"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Sujan, M. A., Koornneef, F., Chozos, N., Pozzi, S., &amp; Kelly, T. (2013). Safety cases for medical devices and health information technology: Involving health-care organisations in the assurance of safety. </w:t>
      </w:r>
      <w:r w:rsidRPr="00DB76AA">
        <w:rPr>
          <w:rFonts w:ascii="Calibri" w:hAnsi="Calibri" w:cs="Calibri"/>
          <w:i/>
          <w:iCs/>
          <w:noProof/>
          <w:szCs w:val="24"/>
        </w:rPr>
        <w:t>Health Informatics Journal</w:t>
      </w:r>
      <w:r w:rsidRPr="00DB76AA">
        <w:rPr>
          <w:rFonts w:ascii="Calibri" w:hAnsi="Calibri" w:cs="Calibri"/>
          <w:noProof/>
          <w:szCs w:val="24"/>
        </w:rPr>
        <w:t xml:space="preserve">, </w:t>
      </w:r>
      <w:r w:rsidRPr="00DB76AA">
        <w:rPr>
          <w:rFonts w:ascii="Calibri" w:hAnsi="Calibri" w:cs="Calibri"/>
          <w:i/>
          <w:iCs/>
          <w:noProof/>
          <w:szCs w:val="24"/>
        </w:rPr>
        <w:t>19</w:t>
      </w:r>
      <w:r w:rsidRPr="00DB76AA">
        <w:rPr>
          <w:rFonts w:ascii="Calibri" w:hAnsi="Calibri" w:cs="Calibri"/>
          <w:noProof/>
          <w:szCs w:val="24"/>
        </w:rPr>
        <w:t>(3), 165–182. https://doi.org/10.1177/1460458212462079</w:t>
      </w:r>
    </w:p>
    <w:p w14:paraId="570B3848"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Sujan, M. A., Spurgeon, P., Cooke, M., Weale, A., Debenham, P., &amp; Cross, S. (2015). The development of safety cases for healthcare services: Practical experiences, opportunities and challenges. </w:t>
      </w:r>
      <w:r w:rsidRPr="00DB76AA">
        <w:rPr>
          <w:rFonts w:ascii="Calibri" w:hAnsi="Calibri" w:cs="Calibri"/>
          <w:i/>
          <w:iCs/>
          <w:noProof/>
          <w:szCs w:val="24"/>
        </w:rPr>
        <w:t>Reliability Engineering and System Safety</w:t>
      </w:r>
      <w:r w:rsidRPr="00DB76AA">
        <w:rPr>
          <w:rFonts w:ascii="Calibri" w:hAnsi="Calibri" w:cs="Calibri"/>
          <w:noProof/>
          <w:szCs w:val="24"/>
        </w:rPr>
        <w:t xml:space="preserve">, </w:t>
      </w:r>
      <w:r w:rsidRPr="00DB76AA">
        <w:rPr>
          <w:rFonts w:ascii="Calibri" w:hAnsi="Calibri" w:cs="Calibri"/>
          <w:i/>
          <w:iCs/>
          <w:noProof/>
          <w:szCs w:val="24"/>
        </w:rPr>
        <w:t>140</w:t>
      </w:r>
      <w:r w:rsidRPr="00DB76AA">
        <w:rPr>
          <w:rFonts w:ascii="Calibri" w:hAnsi="Calibri" w:cs="Calibri"/>
          <w:noProof/>
          <w:szCs w:val="24"/>
        </w:rPr>
        <w:t>, 200–207. https://doi.org/10.1016/j.ress.2015.03.033</w:t>
      </w:r>
    </w:p>
    <w:p w14:paraId="647AF76C"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Wickramasinghe, N., &amp; Bodendorf, F. (Eds.). (2020). </w:t>
      </w:r>
      <w:r w:rsidRPr="00DB76AA">
        <w:rPr>
          <w:rFonts w:ascii="Calibri" w:hAnsi="Calibri" w:cs="Calibri"/>
          <w:i/>
          <w:iCs/>
          <w:noProof/>
          <w:szCs w:val="24"/>
        </w:rPr>
        <w:t>Delivering Superior Health and Wellness Management with IoT and Analytics</w:t>
      </w:r>
      <w:r w:rsidRPr="00DB76AA">
        <w:rPr>
          <w:rFonts w:ascii="Calibri" w:hAnsi="Calibri" w:cs="Calibri"/>
          <w:noProof/>
          <w:szCs w:val="24"/>
        </w:rPr>
        <w:t>. https://doi.org/10.1007/978-3-030-17347-0</w:t>
      </w:r>
    </w:p>
    <w:p w14:paraId="5C72DF32"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Widrow, B., Hartenstein, R., &amp; Hecht-Nielsen, R. (2005). Eulogy: Karl Steinbuch 1917-2005. </w:t>
      </w:r>
      <w:r w:rsidRPr="00DB76AA">
        <w:rPr>
          <w:rFonts w:ascii="Calibri" w:hAnsi="Calibri" w:cs="Calibri"/>
          <w:i/>
          <w:iCs/>
          <w:noProof/>
          <w:szCs w:val="24"/>
        </w:rPr>
        <w:t>IEEE Computational Intelligence Society</w:t>
      </w:r>
      <w:r w:rsidRPr="00DB76AA">
        <w:rPr>
          <w:rFonts w:ascii="Calibri" w:hAnsi="Calibri" w:cs="Calibri"/>
          <w:noProof/>
          <w:szCs w:val="24"/>
        </w:rPr>
        <w:t xml:space="preserve">, </w:t>
      </w:r>
      <w:r w:rsidRPr="00DB76AA">
        <w:rPr>
          <w:rFonts w:ascii="Calibri" w:hAnsi="Calibri" w:cs="Calibri"/>
          <w:i/>
          <w:iCs/>
          <w:noProof/>
          <w:szCs w:val="24"/>
        </w:rPr>
        <w:t>5</w:t>
      </w:r>
      <w:r w:rsidRPr="00DB76AA">
        <w:rPr>
          <w:rFonts w:ascii="Calibri" w:hAnsi="Calibri" w:cs="Calibri"/>
          <w:noProof/>
          <w:szCs w:val="24"/>
        </w:rPr>
        <w:t>. Retrieved from http://helios.informatik.uni-kl.de/euology.pdf</w:t>
      </w:r>
    </w:p>
    <w:p w14:paraId="3DE96FC2"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Wismar, M., Palm, W., Figueras, J., Ernst, K., &amp; van Ginneken, E. (2011). </w:t>
      </w:r>
      <w:r w:rsidRPr="00DB76AA">
        <w:rPr>
          <w:rFonts w:ascii="Calibri" w:hAnsi="Calibri" w:cs="Calibri"/>
          <w:i/>
          <w:iCs/>
          <w:noProof/>
          <w:szCs w:val="24"/>
        </w:rPr>
        <w:t>Cross-border Health Care in the European Union: Mapping and analysing practices and policies</w:t>
      </w:r>
      <w:r w:rsidRPr="00DB76AA">
        <w:rPr>
          <w:rFonts w:ascii="Calibri" w:hAnsi="Calibri" w:cs="Calibri"/>
          <w:noProof/>
          <w:szCs w:val="24"/>
        </w:rPr>
        <w:t>. Retrieved from https://apps.who.int/iris/bitstream/handle/10665/327961/9789289002219-eng.pdf</w:t>
      </w:r>
    </w:p>
    <w:p w14:paraId="3F714336"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szCs w:val="24"/>
        </w:rPr>
      </w:pPr>
      <w:r w:rsidRPr="00DB76AA">
        <w:rPr>
          <w:rFonts w:ascii="Calibri" w:hAnsi="Calibri" w:cs="Calibri"/>
          <w:noProof/>
          <w:szCs w:val="24"/>
        </w:rPr>
        <w:t xml:space="preserve">Wright, A., Sittig, D. F., Ash, J. S., Bates, D. W., Feblowitz, J., Fraser, G., … Middleton, B. (2011). Governance for clinical decision support: case studies and recommended practices from leading institutions. </w:t>
      </w:r>
      <w:r w:rsidRPr="00DB76AA">
        <w:rPr>
          <w:rFonts w:ascii="Calibri" w:hAnsi="Calibri" w:cs="Calibri"/>
          <w:i/>
          <w:iCs/>
          <w:noProof/>
          <w:szCs w:val="24"/>
        </w:rPr>
        <w:t>J Am Med Inform Assoc 2011;18:187e194.</w:t>
      </w:r>
      <w:r w:rsidRPr="00DB76AA">
        <w:rPr>
          <w:rFonts w:ascii="Calibri" w:hAnsi="Calibri" w:cs="Calibri"/>
          <w:noProof/>
          <w:szCs w:val="24"/>
        </w:rPr>
        <w:t xml:space="preserve">, </w:t>
      </w:r>
      <w:r w:rsidRPr="00DB76AA">
        <w:rPr>
          <w:rFonts w:ascii="Calibri" w:hAnsi="Calibri" w:cs="Calibri"/>
          <w:i/>
          <w:iCs/>
          <w:noProof/>
          <w:szCs w:val="24"/>
        </w:rPr>
        <w:t>18</w:t>
      </w:r>
      <w:r w:rsidRPr="00DB76AA">
        <w:rPr>
          <w:rFonts w:ascii="Calibri" w:hAnsi="Calibri" w:cs="Calibri"/>
          <w:noProof/>
          <w:szCs w:val="24"/>
        </w:rPr>
        <w:t>, 187–194. https://doi.org/10.1136/jamia.2009.002030</w:t>
      </w:r>
    </w:p>
    <w:p w14:paraId="772C515F" w14:textId="77777777" w:rsidR="00DB76AA" w:rsidRPr="00DB76AA" w:rsidRDefault="00DB76AA" w:rsidP="00DB76AA">
      <w:pPr>
        <w:widowControl w:val="0"/>
        <w:autoSpaceDE w:val="0"/>
        <w:autoSpaceDN w:val="0"/>
        <w:adjustRightInd w:val="0"/>
        <w:spacing w:line="240" w:lineRule="auto"/>
        <w:ind w:left="480" w:hanging="480"/>
        <w:rPr>
          <w:rFonts w:ascii="Calibri" w:hAnsi="Calibri" w:cs="Calibri"/>
          <w:noProof/>
        </w:rPr>
      </w:pPr>
      <w:r w:rsidRPr="00DB76AA">
        <w:rPr>
          <w:rFonts w:ascii="Calibri" w:hAnsi="Calibri" w:cs="Calibri"/>
          <w:noProof/>
          <w:szCs w:val="24"/>
        </w:rPr>
        <w:t xml:space="preserve">Yaqoob, T., Abbas, H., &amp; Atiquzzaman, M. (2019). Security Vulnerabilities, Attacks, Countermeasures, and Regulations of Networked Medical Devices-A Review. </w:t>
      </w:r>
      <w:r w:rsidRPr="00DB76AA">
        <w:rPr>
          <w:rFonts w:ascii="Calibri" w:hAnsi="Calibri" w:cs="Calibri"/>
          <w:i/>
          <w:iCs/>
          <w:noProof/>
          <w:szCs w:val="24"/>
        </w:rPr>
        <w:t>IEEE Communications Surveys and Tutorials</w:t>
      </w:r>
      <w:r w:rsidRPr="00DB76AA">
        <w:rPr>
          <w:rFonts w:ascii="Calibri" w:hAnsi="Calibri" w:cs="Calibri"/>
          <w:noProof/>
          <w:szCs w:val="24"/>
        </w:rPr>
        <w:t xml:space="preserve">, </w:t>
      </w:r>
      <w:r w:rsidRPr="00DB76AA">
        <w:rPr>
          <w:rFonts w:ascii="Calibri" w:hAnsi="Calibri" w:cs="Calibri"/>
          <w:i/>
          <w:iCs/>
          <w:noProof/>
          <w:szCs w:val="24"/>
        </w:rPr>
        <w:t>21</w:t>
      </w:r>
      <w:r w:rsidRPr="00DB76AA">
        <w:rPr>
          <w:rFonts w:ascii="Calibri" w:hAnsi="Calibri" w:cs="Calibri"/>
          <w:noProof/>
          <w:szCs w:val="24"/>
        </w:rPr>
        <w:t>(4), 3723–3768. https://doi.org/10.1109/COMST.2019.2914094</w:t>
      </w:r>
    </w:p>
    <w:p w14:paraId="0CA11EC3" w14:textId="56D98AAC" w:rsidR="000B2D7E" w:rsidRPr="000B2D7E" w:rsidRDefault="000B2D7E" w:rsidP="000B2D7E">
      <w:r>
        <w:fldChar w:fldCharType="end"/>
      </w:r>
    </w:p>
    <w:sectPr w:rsidR="000B2D7E" w:rsidRPr="000B2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106B6"/>
    <w:rsid w:val="00010BDA"/>
    <w:rsid w:val="00021296"/>
    <w:rsid w:val="00034A72"/>
    <w:rsid w:val="00091076"/>
    <w:rsid w:val="000B1500"/>
    <w:rsid w:val="000B2D7E"/>
    <w:rsid w:val="000C0B41"/>
    <w:rsid w:val="000C3285"/>
    <w:rsid w:val="000C464D"/>
    <w:rsid w:val="000C78E4"/>
    <w:rsid w:val="000D3D43"/>
    <w:rsid w:val="000F3C4B"/>
    <w:rsid w:val="00106D11"/>
    <w:rsid w:val="00145866"/>
    <w:rsid w:val="00151E77"/>
    <w:rsid w:val="00176F47"/>
    <w:rsid w:val="001809FF"/>
    <w:rsid w:val="001D250F"/>
    <w:rsid w:val="001D63F3"/>
    <w:rsid w:val="001E6930"/>
    <w:rsid w:val="001F1F11"/>
    <w:rsid w:val="001F4ED1"/>
    <w:rsid w:val="00202BF3"/>
    <w:rsid w:val="002042AB"/>
    <w:rsid w:val="0022366B"/>
    <w:rsid w:val="002374E8"/>
    <w:rsid w:val="00250CF3"/>
    <w:rsid w:val="002555AF"/>
    <w:rsid w:val="0026776C"/>
    <w:rsid w:val="00273975"/>
    <w:rsid w:val="00284465"/>
    <w:rsid w:val="00284512"/>
    <w:rsid w:val="00297CAF"/>
    <w:rsid w:val="002B1538"/>
    <w:rsid w:val="002B4E34"/>
    <w:rsid w:val="002C09D8"/>
    <w:rsid w:val="002D0046"/>
    <w:rsid w:val="002D033C"/>
    <w:rsid w:val="002E4B1D"/>
    <w:rsid w:val="002F4F7F"/>
    <w:rsid w:val="00300119"/>
    <w:rsid w:val="00317D7E"/>
    <w:rsid w:val="00322A06"/>
    <w:rsid w:val="0032493D"/>
    <w:rsid w:val="00327447"/>
    <w:rsid w:val="0033423D"/>
    <w:rsid w:val="003406D7"/>
    <w:rsid w:val="0035003E"/>
    <w:rsid w:val="00387EBD"/>
    <w:rsid w:val="00396FBF"/>
    <w:rsid w:val="003A21A3"/>
    <w:rsid w:val="003C1579"/>
    <w:rsid w:val="003D3C2C"/>
    <w:rsid w:val="003D5C61"/>
    <w:rsid w:val="003E432A"/>
    <w:rsid w:val="003F2662"/>
    <w:rsid w:val="003F4D89"/>
    <w:rsid w:val="00404DCD"/>
    <w:rsid w:val="0042675A"/>
    <w:rsid w:val="00427C91"/>
    <w:rsid w:val="00436C11"/>
    <w:rsid w:val="00440844"/>
    <w:rsid w:val="0044234D"/>
    <w:rsid w:val="004500F4"/>
    <w:rsid w:val="00460357"/>
    <w:rsid w:val="00471B5D"/>
    <w:rsid w:val="00484E71"/>
    <w:rsid w:val="00485BDA"/>
    <w:rsid w:val="004B6407"/>
    <w:rsid w:val="004D1594"/>
    <w:rsid w:val="004D3B59"/>
    <w:rsid w:val="004E1810"/>
    <w:rsid w:val="004E5CE1"/>
    <w:rsid w:val="00502C2A"/>
    <w:rsid w:val="005433AE"/>
    <w:rsid w:val="005669B6"/>
    <w:rsid w:val="005843D6"/>
    <w:rsid w:val="0058573C"/>
    <w:rsid w:val="005951F5"/>
    <w:rsid w:val="005B1194"/>
    <w:rsid w:val="005B384E"/>
    <w:rsid w:val="005C188E"/>
    <w:rsid w:val="005C22CE"/>
    <w:rsid w:val="005C3899"/>
    <w:rsid w:val="005D1861"/>
    <w:rsid w:val="005D5021"/>
    <w:rsid w:val="0060263F"/>
    <w:rsid w:val="00645B3A"/>
    <w:rsid w:val="00656305"/>
    <w:rsid w:val="00660180"/>
    <w:rsid w:val="00660BE3"/>
    <w:rsid w:val="00660F62"/>
    <w:rsid w:val="00664690"/>
    <w:rsid w:val="006655F1"/>
    <w:rsid w:val="00696E91"/>
    <w:rsid w:val="006A63CC"/>
    <w:rsid w:val="006B1420"/>
    <w:rsid w:val="006D4CAF"/>
    <w:rsid w:val="006F40D7"/>
    <w:rsid w:val="006F548D"/>
    <w:rsid w:val="007013C0"/>
    <w:rsid w:val="00726CBE"/>
    <w:rsid w:val="0074365C"/>
    <w:rsid w:val="00745D0A"/>
    <w:rsid w:val="007768B1"/>
    <w:rsid w:val="007A4AE6"/>
    <w:rsid w:val="007E3C62"/>
    <w:rsid w:val="00806240"/>
    <w:rsid w:val="00810D0C"/>
    <w:rsid w:val="0084507D"/>
    <w:rsid w:val="00845B9A"/>
    <w:rsid w:val="00851E30"/>
    <w:rsid w:val="00865867"/>
    <w:rsid w:val="008A0035"/>
    <w:rsid w:val="008E287D"/>
    <w:rsid w:val="008F18E2"/>
    <w:rsid w:val="0091758F"/>
    <w:rsid w:val="0092381F"/>
    <w:rsid w:val="00925D03"/>
    <w:rsid w:val="00942589"/>
    <w:rsid w:val="0094634B"/>
    <w:rsid w:val="009667C9"/>
    <w:rsid w:val="00970743"/>
    <w:rsid w:val="0097113D"/>
    <w:rsid w:val="00977D1D"/>
    <w:rsid w:val="00982746"/>
    <w:rsid w:val="00986243"/>
    <w:rsid w:val="009A7847"/>
    <w:rsid w:val="009B3EEC"/>
    <w:rsid w:val="009D0ABB"/>
    <w:rsid w:val="009D445B"/>
    <w:rsid w:val="009E6042"/>
    <w:rsid w:val="00A01C74"/>
    <w:rsid w:val="00A20FF2"/>
    <w:rsid w:val="00A37072"/>
    <w:rsid w:val="00A66B8C"/>
    <w:rsid w:val="00A85774"/>
    <w:rsid w:val="00AA168B"/>
    <w:rsid w:val="00AA3B35"/>
    <w:rsid w:val="00AA44BF"/>
    <w:rsid w:val="00AA6BB1"/>
    <w:rsid w:val="00AB2605"/>
    <w:rsid w:val="00AB3439"/>
    <w:rsid w:val="00AC4731"/>
    <w:rsid w:val="00AC7E1A"/>
    <w:rsid w:val="00AD4971"/>
    <w:rsid w:val="00AD734F"/>
    <w:rsid w:val="00AE6E53"/>
    <w:rsid w:val="00B05D6C"/>
    <w:rsid w:val="00B11DC6"/>
    <w:rsid w:val="00B16CD2"/>
    <w:rsid w:val="00B23B5B"/>
    <w:rsid w:val="00B257BA"/>
    <w:rsid w:val="00B56E66"/>
    <w:rsid w:val="00B63A48"/>
    <w:rsid w:val="00B80719"/>
    <w:rsid w:val="00BA1042"/>
    <w:rsid w:val="00BA5A47"/>
    <w:rsid w:val="00BA7B39"/>
    <w:rsid w:val="00BB64DA"/>
    <w:rsid w:val="00BC5580"/>
    <w:rsid w:val="00BE037C"/>
    <w:rsid w:val="00BE66F8"/>
    <w:rsid w:val="00BF31E9"/>
    <w:rsid w:val="00BF751D"/>
    <w:rsid w:val="00C104AB"/>
    <w:rsid w:val="00C17F5B"/>
    <w:rsid w:val="00C4621B"/>
    <w:rsid w:val="00C630E0"/>
    <w:rsid w:val="00C87DCA"/>
    <w:rsid w:val="00C903CD"/>
    <w:rsid w:val="00C94FC0"/>
    <w:rsid w:val="00CB61D2"/>
    <w:rsid w:val="00CC11BB"/>
    <w:rsid w:val="00CE48ED"/>
    <w:rsid w:val="00D00A14"/>
    <w:rsid w:val="00D018E4"/>
    <w:rsid w:val="00D10464"/>
    <w:rsid w:val="00D43272"/>
    <w:rsid w:val="00D432FD"/>
    <w:rsid w:val="00D55A92"/>
    <w:rsid w:val="00D6264E"/>
    <w:rsid w:val="00D70CDB"/>
    <w:rsid w:val="00D90488"/>
    <w:rsid w:val="00DB6DEE"/>
    <w:rsid w:val="00DB76AA"/>
    <w:rsid w:val="00DB7CE8"/>
    <w:rsid w:val="00DC3CBB"/>
    <w:rsid w:val="00DE29AB"/>
    <w:rsid w:val="00E171F3"/>
    <w:rsid w:val="00E20652"/>
    <w:rsid w:val="00E20AE5"/>
    <w:rsid w:val="00E377E5"/>
    <w:rsid w:val="00E619A1"/>
    <w:rsid w:val="00E72FB6"/>
    <w:rsid w:val="00E801B5"/>
    <w:rsid w:val="00E947B2"/>
    <w:rsid w:val="00E971A6"/>
    <w:rsid w:val="00E97300"/>
    <w:rsid w:val="00EA677C"/>
    <w:rsid w:val="00EB41D2"/>
    <w:rsid w:val="00EC0EB1"/>
    <w:rsid w:val="00EC546B"/>
    <w:rsid w:val="00EC5B1F"/>
    <w:rsid w:val="00ED7385"/>
    <w:rsid w:val="00EE1801"/>
    <w:rsid w:val="00EE6CBD"/>
    <w:rsid w:val="00F044CF"/>
    <w:rsid w:val="00F10EA6"/>
    <w:rsid w:val="00F13924"/>
    <w:rsid w:val="00F33529"/>
    <w:rsid w:val="00F403E4"/>
    <w:rsid w:val="00F63C3E"/>
    <w:rsid w:val="00F700A2"/>
    <w:rsid w:val="00F76262"/>
    <w:rsid w:val="00F90BA4"/>
    <w:rsid w:val="00FB2A79"/>
    <w:rsid w:val="00FC11C7"/>
    <w:rsid w:val="00FC1B5E"/>
    <w:rsid w:val="00FD1560"/>
    <w:rsid w:val="00FD2F1D"/>
    <w:rsid w:val="00FD6AAD"/>
    <w:rsid w:val="00FD7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FC86"/>
  <w15:chartTrackingRefBased/>
  <w15:docId w15:val="{E0496641-6E31-4892-83BC-4E3FC724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semiHidden/>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semiHidden/>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4DCC9-CBAB-4943-B2F0-744E30F053E7}">
  <ds:schemaRefs>
    <ds:schemaRef ds:uri="http://schemas.microsoft.com/office/2006/metadata/properties"/>
    <ds:schemaRef ds:uri="http://purl.org/dc/elements/1.1/"/>
    <ds:schemaRef ds:uri="http://schemas.openxmlformats.org/package/2006/metadata/core-properties"/>
    <ds:schemaRef ds:uri="http://purl.org/dc/dcmitype/"/>
    <ds:schemaRef ds:uri="http://purl.org/dc/terms/"/>
    <ds:schemaRef ds:uri="http://schemas.microsoft.com/office/infopath/2007/PartnerControls"/>
    <ds:schemaRef ds:uri="http://schemas.microsoft.com/office/2006/documentManagement/types"/>
    <ds:schemaRef ds:uri="5e36aeda-f48f-46f3-9de8-7474189645c5"/>
    <ds:schemaRef ds:uri="bbd61249-83b9-438e-a84b-789da273a8cb"/>
    <ds:schemaRef ds:uri="http://www.w3.org/XML/1998/namespace"/>
  </ds:schemaRefs>
</ds:datastoreItem>
</file>

<file path=customXml/itemProps2.xml><?xml version="1.0" encoding="utf-8"?>
<ds:datastoreItem xmlns:ds="http://schemas.openxmlformats.org/officeDocument/2006/customXml" ds:itemID="{1590F1AF-3903-49DB-AC15-287A591AB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4.xml><?xml version="1.0" encoding="utf-8"?>
<ds:datastoreItem xmlns:ds="http://schemas.openxmlformats.org/officeDocument/2006/customXml" ds:itemID="{EBAD6C20-8E7B-4D59-BFB2-D0145DAF8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9</Pages>
  <Words>22243</Words>
  <Characters>126789</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148735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29</cp:revision>
  <dcterms:created xsi:type="dcterms:W3CDTF">2020-05-13T09:27:00Z</dcterms:created>
  <dcterms:modified xsi:type="dcterms:W3CDTF">2020-05-19T11:08:00Z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https://csl.mendeley.com/styles/450365071/apa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https://csl.mendeley.com/styles/450365071/apa</vt:lpwstr>
  </property>
  <property fmtid="{D5CDD505-2E9C-101B-9397-08002B2CF9AE}" pid="12" name="Mendeley Recent Style Name 3_1">
    <vt:lpwstr>American Psychological Association 6th edition - Guntur Kusuma</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0x0101006DE130CAEB37044C9F27A096B751B6FA</vt:lpwstr>
  </property>
</Properties>
</file>