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34308E21"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0"/>
      <w:r w:rsidR="0077572A">
        <w:t>Healthcare providers have quickly responded with rapid adaptations like video consultation</w:t>
      </w:r>
      <w:commentRangeEnd w:id="0"/>
      <w:r w:rsidR="00E1344E">
        <w:rPr>
          <w:rStyle w:val="CommentReference"/>
        </w:rPr>
        <w:commentReference w:id="0"/>
      </w:r>
      <w:r w:rsidR="0077572A">
        <w:t xml:space="preserve">, which has accelerated community learning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is even more urgent given the accelerated development and adoption during the </w:t>
      </w:r>
      <w:r w:rsidR="00026387">
        <w:t>COVID-19</w:t>
      </w:r>
      <w:r w:rsidR="007D064F">
        <w:t xml:space="preserve"> pandemic.</w:t>
      </w:r>
    </w:p>
    <w:p w14:paraId="2029E978" w14:textId="036786E6" w:rsidR="009D0ABB" w:rsidRDefault="00636CC5" w:rsidP="009D0ABB">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9D0ABB">
        <w:t>safety 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4CF7E00E"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challenges and patient-safety implications of emerging health information technologies</w:t>
      </w:r>
      <w:r w:rsidR="007B37B8">
        <w:t xml:space="preserve"> and recommendations to address them.</w:t>
      </w:r>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r w:rsidR="005843D6">
        <w:t xml:space="preserve">Patient </w:t>
      </w:r>
      <w:r w:rsidR="000C663C">
        <w:t>S</w:t>
      </w:r>
      <w:r w:rsidR="005843D6">
        <w:t xml:space="preserve">afety and </w:t>
      </w:r>
      <w:r>
        <w:t>Safety Informatics</w:t>
      </w:r>
    </w:p>
    <w:p w14:paraId="7C2132CA" w14:textId="6583D271"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7E7366">
        <w:t>.</w:t>
      </w:r>
      <w:r w:rsidR="00C361D0">
        <w:t xml:space="preserve"> This sets healthcare apart from other safety-critical industries</w:t>
      </w:r>
      <w:r w:rsidR="008A7803">
        <w:t xml:space="preserve"> that </w:t>
      </w:r>
      <w:r w:rsidR="00C361D0">
        <w:t>predominantly focus on only one of these approaches.</w:t>
      </w:r>
    </w:p>
    <w:p w14:paraId="719DA8A2" w14:textId="7A084770"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r w:rsidR="00C76854">
        <w:rPr>
          <w:rFonts w:cstheme="minorHAnsi"/>
        </w:rPr>
        <w:t xml:space="preserve">HIT is becoming increasingly networked </w:t>
      </w:r>
      <w:r w:rsidR="00C76854" w:rsidRPr="00484E71">
        <w:rPr>
          <w:rFonts w:cstheme="minorHAnsi"/>
        </w:rPr>
        <w:fldChar w:fldCharType="begin" w:fldLock="1"/>
      </w:r>
      <w:r w:rsidR="00C76854">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C76854" w:rsidRPr="00484E71">
        <w:rPr>
          <w:rFonts w:cstheme="minorHAnsi"/>
        </w:rPr>
        <w:fldChar w:fldCharType="separate"/>
      </w:r>
      <w:r w:rsidR="00C76854" w:rsidRPr="00351A05">
        <w:rPr>
          <w:rFonts w:cstheme="minorHAnsi"/>
          <w:noProof/>
        </w:rPr>
        <w:t>(Wickramasinghe and Bodendorf, 2020)</w:t>
      </w:r>
      <w:r w:rsidR="00C76854" w:rsidRPr="00484E71">
        <w:rPr>
          <w:rFonts w:cstheme="minorHAnsi"/>
        </w:rPr>
        <w:fldChar w:fldCharType="end"/>
      </w:r>
      <w:r w:rsidR="00C76854">
        <w:rPr>
          <w:rFonts w:cstheme="minorHAnsi"/>
        </w:rPr>
        <w:t xml:space="preserve">, </w:t>
      </w:r>
      <w:r w:rsidRPr="00484E71">
        <w:rPr>
          <w:rFonts w:eastAsia="Times New Roman" w:cstheme="minorHAnsi"/>
          <w:lang w:eastAsia="en-GB"/>
        </w:rPr>
        <w:t>pos</w:t>
      </w:r>
      <w:r w:rsidR="00C76854">
        <w:rPr>
          <w:rFonts w:eastAsia="Times New Roman" w:cstheme="minorHAnsi"/>
          <w:lang w:eastAsia="en-GB"/>
        </w:rPr>
        <w:t>ing</w:t>
      </w:r>
      <w:r w:rsidRPr="00484E71">
        <w:rPr>
          <w:rFonts w:eastAsia="Times New Roman" w:cstheme="minorHAnsi"/>
          <w:lang w:eastAsia="en-GB"/>
        </w:rPr>
        <w:t xml:space="preserve"> novel </w:t>
      </w:r>
      <w:r w:rsidR="00C76854">
        <w:rPr>
          <w:rFonts w:eastAsia="Times New Roman" w:cstheme="minorHAnsi"/>
          <w:lang w:eastAsia="en-GB"/>
        </w:rPr>
        <w:t>safety issues as technologies interact</w:t>
      </w:r>
      <w:r w:rsidR="00C76854" w:rsidRPr="00484E71">
        <w:rPr>
          <w:rFonts w:eastAsia="Times New Roman" w:cstheme="minorHAnsi"/>
          <w:lang w:eastAsia="en-GB"/>
        </w:rPr>
        <w:t xml:space="preserve">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w:t>
      </w:r>
      <w:r w:rsidR="007B1433">
        <w:rPr>
          <w:rFonts w:cstheme="minorHAnsi"/>
        </w:rPr>
        <w:t>HITs</w:t>
      </w:r>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commentRangeStart w:id="1"/>
      <w:r w:rsidR="00D77B4B">
        <w:rPr>
          <w:rFonts w:cstheme="minorHAnsi"/>
        </w:rPr>
        <w:t xml:space="preserve">health information system </w:t>
      </w:r>
      <w:commentRangeEnd w:id="1"/>
      <w:r w:rsidR="00E1344E">
        <w:rPr>
          <w:rStyle w:val="CommentReference"/>
        </w:rPr>
        <w:commentReference w:id="1"/>
      </w:r>
      <w:r w:rsidR="00D77B4B">
        <w:rPr>
          <w:rFonts w:cstheme="minorHAnsi"/>
        </w:rPr>
        <w:t>(</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C76854">
        <w:rPr>
          <w:rFonts w:cstheme="minorHAnsi"/>
        </w:rPr>
        <w:t>, t</w:t>
      </w:r>
      <w:r w:rsidR="00EC26A9">
        <w:rPr>
          <w:rFonts w:cstheme="minorHAnsi"/>
        </w:rPr>
        <w:t xml:space="preserve">he </w:t>
      </w:r>
      <w:r w:rsidR="004D2509">
        <w:rPr>
          <w:rFonts w:cstheme="minorHAnsi"/>
        </w:rPr>
        <w:t>success or fail</w:t>
      </w:r>
      <w:r w:rsidR="007551CF">
        <w:rPr>
          <w:rFonts w:cstheme="minorHAnsi"/>
        </w:rPr>
        <w:t>ure</w:t>
      </w:r>
      <w:r w:rsidR="004D2509">
        <w:rPr>
          <w:rFonts w:cstheme="minorHAnsi"/>
        </w:rPr>
        <w:t xml:space="preserve"> </w:t>
      </w:r>
      <w:r w:rsidR="00EC26A9">
        <w:rPr>
          <w:rFonts w:cstheme="minorHAnsi"/>
        </w:rPr>
        <w:t xml:space="preserve">of </w:t>
      </w:r>
      <w:r w:rsidR="00C76854">
        <w:rPr>
          <w:rFonts w:cstheme="minorHAnsi"/>
        </w:rPr>
        <w:t xml:space="preserve">which </w:t>
      </w:r>
      <w:r w:rsidR="004D2509">
        <w:rPr>
          <w:rFonts w:cstheme="minorHAnsi"/>
        </w:rPr>
        <w:t xml:space="preserve">is </w:t>
      </w:r>
      <w:r w:rsidR="00C76854">
        <w:rPr>
          <w:rFonts w:cstheme="minorHAnsi"/>
        </w:rPr>
        <w:t xml:space="preserve">partly </w:t>
      </w:r>
      <w:r w:rsidR="007551CF">
        <w:rPr>
          <w:rFonts w:cstheme="minorHAnsi"/>
        </w:rPr>
        <w:t xml:space="preserve">due to </w:t>
      </w:r>
      <w:r w:rsidR="00EC26A9">
        <w:rPr>
          <w:rFonts w:cstheme="minorHAnsi"/>
        </w:rPr>
        <w:t>emergent rather than planned change</w:t>
      </w:r>
      <w:r w:rsidR="004D2509">
        <w:rPr>
          <w:rFonts w:cstheme="minorHAnsi"/>
        </w:rPr>
        <w:t xml:space="preserve"> </w:t>
      </w:r>
      <w:r w:rsidR="00C60DFC">
        <w:rPr>
          <w:rFonts w:cstheme="minorHAnsi"/>
        </w:rPr>
        <w:t>result</w:t>
      </w:r>
      <w:r w:rsidR="007551CF">
        <w:rPr>
          <w:rFonts w:cstheme="minorHAnsi"/>
        </w:rPr>
        <w:t>ing</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p>
    <w:p w14:paraId="3BB0EAC7" w14:textId="56DBE4D9" w:rsidR="0032493D" w:rsidRDefault="006B300B" w:rsidP="0032493D">
      <w:pPr>
        <w:rPr>
          <w:color w:val="4472C4" w:themeColor="accent5"/>
        </w:rPr>
      </w:pPr>
      <w:r>
        <w:t>C</w:t>
      </w:r>
      <w:r w:rsidR="00484E71">
        <w:t xml:space="preserve">hallenges posed by </w:t>
      </w:r>
      <w:r w:rsidR="00D10464">
        <w:t xml:space="preserve">an increasingly-complex </w:t>
      </w:r>
      <w:r w:rsidR="00CB1C67">
        <w:t>HIS</w:t>
      </w:r>
      <w:r w:rsidR="00D10464">
        <w:t xml:space="preserve"> </w:t>
      </w:r>
      <w:commentRangeStart w:id="2"/>
      <w:r w:rsidR="00484E71" w:rsidRPr="0032493D">
        <w:t>include</w:t>
      </w:r>
      <w:commentRangeEnd w:id="2"/>
      <w:r w:rsidR="00256640">
        <w:rPr>
          <w:rStyle w:val="CommentReference"/>
        </w:rPr>
        <w:commentReference w:id="2"/>
      </w:r>
      <w:r w:rsidR="004E5CE1">
        <w:t>:</w:t>
      </w:r>
      <w:r w:rsidR="00484E71" w:rsidRPr="0032493D">
        <w:t xml:space="preserve"> </w:t>
      </w:r>
      <w:r w:rsidR="00D10464">
        <w:t xml:space="preserve">innovations </w:t>
      </w:r>
      <w:r w:rsidR="00484E71" w:rsidRPr="0032493D">
        <w:t xml:space="preserve">that 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7551CF">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r w:rsidR="00D9344B">
        <w:t xml:space="preserve"> </w:t>
      </w:r>
      <w:r w:rsidR="00F27F17">
        <w:t xml:space="preserve">There is a need for rigorous study of the relationship between HISs and patient safety, i.e. a Safety Informatics. </w:t>
      </w:r>
    </w:p>
    <w:p w14:paraId="3BC4C3AE" w14:textId="0BA7C6D0" w:rsidR="004E5CE1" w:rsidRPr="00322A06" w:rsidRDefault="00EE199C" w:rsidP="004E5CE1">
      <w:r>
        <w:t>Although there is no official definition of 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w:t>
      </w:r>
      <w:r w:rsidR="00CF5587">
        <w:t xml:space="preserve">The aim of </w:t>
      </w:r>
      <w:r w:rsidR="000C464D">
        <w:t>Safety Informatics</w:t>
      </w:r>
      <w:r w:rsidR="00CF5587">
        <w:t xml:space="preserve"> is to </w:t>
      </w:r>
      <w:r w:rsidR="00B613F9">
        <w:t xml:space="preserve">address </w:t>
      </w:r>
      <w:r w:rsidR="00CF5587">
        <w:t xml:space="preserve">these </w:t>
      </w:r>
      <w:r w:rsidR="00B613F9">
        <w:t>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32A60303" w:rsidR="00656305" w:rsidRDefault="006A63CC" w:rsidP="00656305">
      <w:r>
        <w:t xml:space="preserve">A workshop of </w:t>
      </w:r>
      <w:commentRangeStart w:id="3"/>
      <w:r w:rsidR="00D77B4B">
        <w:t>14</w:t>
      </w:r>
      <w:r>
        <w:t xml:space="preserve"> </w:t>
      </w:r>
      <w:r w:rsidR="00FC78F5">
        <w:t xml:space="preserve">health informatics </w:t>
      </w:r>
      <w:commentRangeEnd w:id="3"/>
      <w:r w:rsidR="00256640">
        <w:rPr>
          <w:rStyle w:val="CommentReference"/>
        </w:rPr>
        <w:commentReference w:id="3"/>
      </w:r>
      <w:r w:rsidR="00FC78F5">
        <w:t>researchers</w:t>
      </w:r>
      <w:r w:rsidR="00FC78F5" w:rsidRPr="00AA44BF">
        <w:t xml:space="preserve"> </w:t>
      </w:r>
      <w:r>
        <w:t>was convened who represent those who develop</w:t>
      </w:r>
      <w:r w:rsidR="00E124EC">
        <w:t xml:space="preserve"> and</w:t>
      </w:r>
      <w:r>
        <w:t xml:space="preserve"> evaluate </w:t>
      </w:r>
      <w:r w:rsidR="00E124EC">
        <w:t>HIT</w:t>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w:t>
      </w:r>
      <w:r w:rsidR="00E124EC">
        <w:t>HITs</w:t>
      </w:r>
      <w:r w:rsidR="005646F8">
        <w:t xml:space="preserve"> that</w:t>
      </w:r>
      <w:r w:rsidR="00B11DC6" w:rsidRPr="001809FF">
        <w:t xml:space="preserve"> were collated from a scoping review of the academic, commercial and grey literature relating to </w:t>
      </w:r>
      <w:r w:rsidR="00256640">
        <w:t xml:space="preserve">HITs and </w:t>
      </w:r>
      <w:r w:rsidR="00CB1C67">
        <w:t>HIS</w:t>
      </w:r>
      <w:r w:rsidR="00B11DC6" w:rsidRPr="001809FF">
        <w:t>s.</w:t>
      </w:r>
      <w:r w:rsidR="001809FF" w:rsidRPr="001809FF">
        <w:t xml:space="preserve"> In subsequent meetings, the group collated and synthesised contributions to 1) describe characteristics of new and emerging </w:t>
      </w:r>
      <w:r w:rsidR="001846F5">
        <w:t>HITs</w:t>
      </w:r>
      <w:r w:rsidR="001809FF" w:rsidRPr="001809FF">
        <w:t>, 2) describe the challenges posed</w:t>
      </w:r>
      <w:r w:rsidR="00256640">
        <w:t xml:space="preserve"> when HITs are brought together within</w:t>
      </w:r>
      <w:r w:rsidR="001809FF" w:rsidRPr="001809FF">
        <w:t xml:space="preserve"> </w:t>
      </w:r>
      <w:r w:rsidR="00CB1C67">
        <w:t>HIS</w:t>
      </w:r>
      <w:r w:rsidR="00AC4FD6">
        <w:t>s</w:t>
      </w:r>
      <w:r w:rsidR="001809FF" w:rsidRPr="001809FF">
        <w:t>, 3) describe the patient-safety implications of the</w:t>
      </w:r>
      <w:r w:rsidR="001846F5">
        <w:t>se</w:t>
      </w:r>
      <w:r w:rsidR="001809FF" w:rsidRPr="001809FF">
        <w:t xml:space="preserve"> challenges, and 4) recommend approaches to address the patient-safety implications</w:t>
      </w:r>
      <w:r w:rsidR="001809FF">
        <w:t>.</w:t>
      </w:r>
    </w:p>
    <w:p w14:paraId="53476F43" w14:textId="3357A3B4" w:rsidR="00906431" w:rsidRPr="00F76262" w:rsidRDefault="00906431" w:rsidP="00906431">
      <w:r>
        <w:t>We define</w:t>
      </w:r>
      <w:r w:rsidR="007B37B8">
        <w:t>d</w:t>
      </w:r>
      <w:r>
        <w:t xml:space="preserve"> emerging technology as innovation, novel application of an existing technology, or </w:t>
      </w:r>
      <w:commentRangeStart w:id="4"/>
      <w:r>
        <w:t>novel uptake or use of an existing technology by an organisation or user</w:t>
      </w:r>
      <w:commentRangeEnd w:id="4"/>
      <w:r w:rsidR="00256640">
        <w:rPr>
          <w:rStyle w:val="CommentReference"/>
        </w:rPr>
        <w:commentReference w:id="4"/>
      </w:r>
      <w:r>
        <w:t>.</w:t>
      </w:r>
      <w:r w:rsidRPr="00F76262">
        <w:t xml:space="preserve"> </w:t>
      </w:r>
      <w:r>
        <w:t>Table x</w:t>
      </w:r>
      <w:r w:rsidRPr="00D77B4B">
        <w:rPr>
          <w:highlight w:val="yellow"/>
        </w:rPr>
        <w:t>1</w:t>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90AE88C" w:rsidR="009D0ABB" w:rsidRDefault="009D0ABB" w:rsidP="00F700A2">
      <w:pPr>
        <w:pStyle w:val="Heading1"/>
      </w:pPr>
      <w:r>
        <w:t xml:space="preserve">Section 3: </w:t>
      </w:r>
      <w:commentRangeStart w:id="5"/>
      <w:r w:rsidR="00D256B8">
        <w:t>Results</w:t>
      </w:r>
      <w:commentRangeEnd w:id="5"/>
      <w:r w:rsidR="00BF0C1C">
        <w:rPr>
          <w:rStyle w:val="CommentReference"/>
          <w:rFonts w:asciiTheme="minorHAnsi" w:eastAsiaTheme="minorHAnsi" w:hAnsiTheme="minorHAnsi" w:cstheme="minorBidi"/>
        </w:rPr>
        <w:commentReference w:id="5"/>
      </w:r>
    </w:p>
    <w:p w14:paraId="770E149C" w14:textId="3425A1A3" w:rsidR="007B37B8" w:rsidRDefault="00A330D1" w:rsidP="000A1BAC">
      <w:r>
        <w:t xml:space="preserve">The workshop produced seven challenges that </w:t>
      </w:r>
      <w:r w:rsidR="007B37B8">
        <w:t>new and emerging HIT</w:t>
      </w:r>
      <w:r>
        <w:t xml:space="preserve"> posed</w:t>
      </w:r>
      <w:r w:rsidR="009978E4">
        <w:t>, each with implications for patient safety</w:t>
      </w:r>
      <w:r w:rsidR="000A1BAC">
        <w:t xml:space="preserve">. </w:t>
      </w:r>
      <w:commentRangeStart w:id="6"/>
      <w:r w:rsidR="007B37B8">
        <w:t xml:space="preserve">Table </w:t>
      </w:r>
      <w:commentRangeEnd w:id="6"/>
      <w:r w:rsidR="00BF0C1C">
        <w:rPr>
          <w:rStyle w:val="CommentReference"/>
        </w:rPr>
        <w:commentReference w:id="6"/>
      </w:r>
      <w:proofErr w:type="spellStart"/>
      <w:r w:rsidR="007B37B8" w:rsidRPr="007B37B8">
        <w:rPr>
          <w:shd w:val="clear" w:color="auto" w:fill="FFFF00"/>
        </w:rPr>
        <w:t>xC.I.R.x</w:t>
      </w:r>
      <w:proofErr w:type="spellEnd"/>
      <w:r w:rsidR="007B37B8">
        <w:t xml:space="preserve"> summarises the challenges and our </w:t>
      </w:r>
      <w:r w:rsidR="001F1127">
        <w:t xml:space="preserve">theoretical and practical </w:t>
      </w:r>
      <w:r w:rsidR="007B37B8">
        <w:t>recommendations to address the safety concerns.</w:t>
      </w:r>
      <w:r>
        <w:t xml:space="preserve"> Each is </w:t>
      </w:r>
      <w:r w:rsidR="001F1127">
        <w:t xml:space="preserve">only </w:t>
      </w:r>
      <w:r>
        <w:t>briefly presented below</w:t>
      </w:r>
      <w:r w:rsidR="00A47A44">
        <w:t xml:space="preserve"> with references for further reading.</w:t>
      </w:r>
    </w:p>
    <w:p w14:paraId="1870A5C0" w14:textId="77777777" w:rsidR="007B37B8" w:rsidRDefault="007B37B8" w:rsidP="000A1BAC"/>
    <w:p w14:paraId="09C7AF0A" w14:textId="6C96ECCD" w:rsidR="007B37B8" w:rsidRDefault="007B37B8" w:rsidP="00DE355E">
      <w:pPr>
        <w:pStyle w:val="Heading2"/>
      </w:pPr>
      <w:r>
        <w:t>Difficulty conceptualising threats to patient safety</w:t>
      </w:r>
    </w:p>
    <w:p w14:paraId="14A59AD8" w14:textId="43A279F4" w:rsidR="00AC4FD6" w:rsidRDefault="000A1BAC" w:rsidP="000A1BAC">
      <w:r w:rsidRPr="00A47A44">
        <w:rPr>
          <w:shd w:val="clear" w:color="auto" w:fill="ED7D31" w:themeFill="accent2"/>
        </w:rPr>
        <w:t>Firstly, much of the innovation is not physical</w:t>
      </w:r>
      <w:r w:rsidR="00B16B1C" w:rsidRPr="00A47A44">
        <w:rPr>
          <w:shd w:val="clear" w:color="auto" w:fill="ED7D31" w:themeFill="accent2"/>
        </w:rPr>
        <w:t>,</w:t>
      </w:r>
      <w:r w:rsidRPr="00A47A44">
        <w:rPr>
          <w:shd w:val="clear" w:color="auto" w:fill="ED7D31" w:themeFill="accent2"/>
        </w:rPr>
        <w:t xml:space="preserve"> instead leveraging existing hardware in novel ways. This manifests as software, systems architecture </w:t>
      </w:r>
      <w:r w:rsidR="005646F8" w:rsidRPr="00A47A44">
        <w:rPr>
          <w:shd w:val="clear" w:color="auto" w:fill="ED7D31" w:themeFill="accent2"/>
        </w:rPr>
        <w:t>and</w:t>
      </w:r>
      <w:r w:rsidRPr="00A47A44">
        <w:rPr>
          <w:shd w:val="clear" w:color="auto" w:fill="ED7D31" w:themeFill="accent2"/>
        </w:rPr>
        <w:t xml:space="preserve"> communication protocols. It </w:t>
      </w:r>
      <w:r w:rsidR="005646F8" w:rsidRPr="00A47A44">
        <w:rPr>
          <w:shd w:val="clear" w:color="auto" w:fill="ED7D31" w:themeFill="accent2"/>
        </w:rPr>
        <w:t>is challenging</w:t>
      </w:r>
      <w:r w:rsidRPr="00A47A44">
        <w:rPr>
          <w:shd w:val="clear" w:color="auto" w:fill="ED7D31" w:themeFill="accent2"/>
        </w:rPr>
        <w:t xml:space="preserve"> to conceptualise threats to patient safety from </w:t>
      </w:r>
      <w:r w:rsidR="00AC4FD6" w:rsidRPr="00A47A44">
        <w:rPr>
          <w:shd w:val="clear" w:color="auto" w:fill="ED7D31" w:themeFill="accent2"/>
        </w:rPr>
        <w:t xml:space="preserve">these </w:t>
      </w:r>
      <w:r w:rsidRPr="00A47A44">
        <w:rPr>
          <w:shd w:val="clear" w:color="auto" w:fill="ED7D31" w:themeFill="accent2"/>
        </w:rPr>
        <w:t>non-physical influences</w:t>
      </w:r>
      <w:r w:rsidR="005646F8" w:rsidRPr="00A47A44">
        <w:rPr>
          <w:shd w:val="clear" w:color="auto" w:fill="ED7D31" w:themeFill="accent2"/>
        </w:rPr>
        <w:t xml:space="preserve"> because it </w:t>
      </w:r>
      <w:r w:rsidRPr="00A47A44">
        <w:rPr>
          <w:shd w:val="clear" w:color="auto" w:fill="ED7D31" w:themeFill="accent2"/>
        </w:rPr>
        <w:t>require</w:t>
      </w:r>
      <w:r w:rsidR="005646F8" w:rsidRPr="00A47A44">
        <w:rPr>
          <w:shd w:val="clear" w:color="auto" w:fill="ED7D31" w:themeFill="accent2"/>
        </w:rPr>
        <w:t>s</w:t>
      </w:r>
      <w:r w:rsidRPr="00A47A44">
        <w:rPr>
          <w:shd w:val="clear" w:color="auto" w:fill="ED7D31" w:themeFill="accent2"/>
        </w:rPr>
        <w:t xml:space="preserve"> more-abstract consideration</w:t>
      </w:r>
      <w:r w:rsidR="00B4439A" w:rsidRPr="00A47A44">
        <w:rPr>
          <w:shd w:val="clear" w:color="auto" w:fill="ED7D31" w:themeFill="accent2"/>
        </w:rPr>
        <w:t xml:space="preserve"> of interactions and effects.</w:t>
      </w:r>
      <w:r w:rsidR="007B37B8">
        <w:t xml:space="preserve"> </w:t>
      </w:r>
      <w:r w:rsidR="007B37B8" w:rsidRPr="00A47A44">
        <w:rPr>
          <w:shd w:val="clear" w:color="auto" w:fill="92D050"/>
        </w:rPr>
        <w:t>This can lead to inadequate consideration of threats to patient safety.</w:t>
      </w:r>
    </w:p>
    <w:p w14:paraId="46E976A4" w14:textId="76088487" w:rsidR="00BF12B0" w:rsidRDefault="00BF12B0" w:rsidP="00BF12B0">
      <w:r w:rsidRPr="00A47A44">
        <w:rPr>
          <w:shd w:val="clear" w:color="auto" w:fill="5B9BD5" w:themeFill="accent1"/>
        </w:rPr>
        <w:t xml:space="preserve">Safety cases might be a useful tool to help map the relationship between abstract influences and consequences. Safety cases are structured arguments supported by evidence that are used to justify why a system or a service in acceptably safety within a particular context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(Bishop and Bloomfield, 2000)</w:t>
      </w:r>
      <w:r w:rsidRPr="00A47A44">
        <w:rPr>
          <w:shd w:val="clear" w:color="auto" w:fill="5B9BD5" w:themeFill="accent1"/>
        </w:rPr>
        <w:fldChar w:fldCharType="end"/>
      </w:r>
      <w:r w:rsidRPr="00A47A44">
        <w:rPr>
          <w:shd w:val="clear" w:color="auto" w:fill="5B9BD5" w:themeFill="accent1"/>
        </w:rPr>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(Sujan </w:t>
      </w:r>
      <w:r w:rsidRPr="00A47A44">
        <w:rPr>
          <w:i/>
          <w:noProof/>
          <w:shd w:val="clear" w:color="auto" w:fill="5B9BD5" w:themeFill="accent1"/>
        </w:rPr>
        <w:t>et al.</w:t>
      </w:r>
      <w:r w:rsidRPr="00A47A44">
        <w:rPr>
          <w:noProof/>
          <w:shd w:val="clear" w:color="auto" w:fill="5B9BD5" w:themeFill="accent1"/>
        </w:rPr>
        <w:t>, 2016)</w:t>
      </w:r>
      <w:r w:rsidRPr="00A47A44">
        <w:rPr>
          <w:shd w:val="clear" w:color="auto" w:fill="5B9BD5" w:themeFill="accent1"/>
        </w:rPr>
        <w:fldChar w:fldCharType="end"/>
      </w:r>
      <w:r w:rsidRPr="00A47A44">
        <w:rPr>
          <w:shd w:val="clear" w:color="auto" w:fill="5B9BD5" w:themeFill="accent1"/>
        </w:rPr>
        <w:t>. The preparation of safety cases guides reflexivity that can be insightful when combined with a systems approach to conceptualising risk and safety</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delivery","type":"article-journal","volume":"31"},"uris":["http://www.mendeley.com/documents/?uuid=20338070-7ab9-4f20-b073-147222818f9e"]}],"mendeley":{"formattedCitation":"(Haimes, 2009a; Ravitz &lt;i&gt;et al.&lt;/i&gt;, 2013)","plainTextFormattedCitation":"(Haimes, 2009a; Ravitz et al., 2013)","previouslyFormattedCitation":"(Haimes, 2009a; Ravitz &lt;i&gt;et al.&lt;/i&gt;, 2013)"},"properties":{"noteIndex":0},"schema":"https://github.com/citation-style-language/schema/raw/master/csl-citation.json"}</w:instrText>
      </w:r>
      <w:r w:rsidR="008D06DB" w:rsidRPr="00A47A44">
        <w:rPr>
          <w:shd w:val="clear" w:color="auto" w:fill="5B9BD5" w:themeFill="accent1"/>
        </w:rPr>
        <w:fldChar w:fldCharType="separate"/>
      </w:r>
      <w:r w:rsidR="005E4F8F" w:rsidRPr="00A47A44">
        <w:rPr>
          <w:noProof/>
          <w:shd w:val="clear" w:color="auto" w:fill="5B9BD5" w:themeFill="accent1"/>
        </w:rPr>
        <w:t xml:space="preserve">(Haimes, 2009a; Ravitz </w:t>
      </w:r>
      <w:r w:rsidR="005E4F8F" w:rsidRPr="00A47A44">
        <w:rPr>
          <w:i/>
          <w:noProof/>
          <w:shd w:val="clear" w:color="auto" w:fill="5B9BD5" w:themeFill="accent1"/>
        </w:rPr>
        <w:t>et al.</w:t>
      </w:r>
      <w:r w:rsidR="005E4F8F" w:rsidRPr="00A47A44">
        <w:rPr>
          <w:noProof/>
          <w:shd w:val="clear" w:color="auto" w:fill="5B9BD5" w:themeFill="accent1"/>
        </w:rPr>
        <w:t>, 2013)</w:t>
      </w:r>
      <w:r w:rsidR="008D06DB" w:rsidRPr="00A47A44">
        <w:rPr>
          <w:shd w:val="clear" w:color="auto" w:fill="5B9BD5" w:themeFill="accent1"/>
        </w:rPr>
        <w:fldChar w:fldCharType="end"/>
      </w:r>
      <w:r w:rsidRPr="00A47A44">
        <w:rPr>
          <w:shd w:val="clear" w:color="auto" w:fill="5B9BD5" w:themeFill="accent1"/>
        </w:rPr>
        <w:t>.</w:t>
      </w:r>
      <w:r>
        <w:t xml:space="preserve"> </w:t>
      </w:r>
      <w:r w:rsidR="008D06DB" w:rsidRPr="00A47A44">
        <w:rPr>
          <w:shd w:val="clear" w:color="auto" w:fill="FFC000" w:themeFill="accent4"/>
        </w:rPr>
        <w:t>Thus, p</w:t>
      </w:r>
      <w:r w:rsidRPr="00A47A44">
        <w:rPr>
          <w:shd w:val="clear" w:color="auto" w:fill="FFC000" w:themeFill="accent4"/>
        </w:rPr>
        <w:t xml:space="preserve">atient safety might be facilitated by the use of dynamic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(Denney, Pai and Habli, 2015)</w:t>
      </w:r>
      <w:r w:rsidRPr="00A47A44">
        <w:rPr>
          <w:shd w:val="clear" w:color="auto" w:fill="FFC000" w:themeFill="accent4"/>
        </w:rPr>
        <w:fldChar w:fldCharType="end"/>
      </w:r>
      <w:r w:rsidRPr="00A47A44">
        <w:rPr>
          <w:shd w:val="clear" w:color="auto" w:fill="FFC000" w:themeFill="accent4"/>
        </w:rPr>
        <w:t xml:space="preserve">, multi-view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(Flood and Habli, 2011)</w:t>
      </w:r>
      <w:r w:rsidRPr="00A47A44">
        <w:rPr>
          <w:shd w:val="clear" w:color="auto" w:fill="FFC000" w:themeFill="accent4"/>
        </w:rPr>
        <w:fldChar w:fldCharType="end"/>
      </w:r>
      <w:r w:rsidRPr="00A47A44">
        <w:rPr>
          <w:shd w:val="clear" w:color="auto" w:fill="FFC000" w:themeFill="accent4"/>
        </w:rPr>
        <w:t xml:space="preserve"> safety cases for HIT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(Despotou </w:t>
      </w:r>
      <w:r w:rsidRPr="00A47A44">
        <w:rPr>
          <w:i/>
          <w:noProof/>
          <w:shd w:val="clear" w:color="auto" w:fill="FFC000" w:themeFill="accent4"/>
        </w:rPr>
        <w:t>et al.</w:t>
      </w:r>
      <w:r w:rsidRPr="00A47A44">
        <w:rPr>
          <w:noProof/>
          <w:shd w:val="clear" w:color="auto" w:fill="FFC000" w:themeFill="accent4"/>
        </w:rPr>
        <w:t xml:space="preserve">, 2012; Habli </w:t>
      </w:r>
      <w:r w:rsidRPr="00A47A44">
        <w:rPr>
          <w:i/>
          <w:noProof/>
          <w:shd w:val="clear" w:color="auto" w:fill="FFC000" w:themeFill="accent4"/>
        </w:rPr>
        <w:t>et al.</w:t>
      </w:r>
      <w:r w:rsidRPr="00A47A44">
        <w:rPr>
          <w:noProof/>
          <w:shd w:val="clear" w:color="auto" w:fill="FFC000" w:themeFill="accent4"/>
        </w:rPr>
        <w:t>, 2018)</w:t>
      </w:r>
      <w:r w:rsidRPr="00A47A44">
        <w:rPr>
          <w:shd w:val="clear" w:color="auto" w:fill="FFC000" w:themeFill="accent4"/>
        </w:rPr>
        <w:fldChar w:fldCharType="end"/>
      </w:r>
      <w:r w:rsidRPr="00A47A44">
        <w:rPr>
          <w:shd w:val="clear" w:color="auto" w:fill="FFC000" w:themeFill="accent4"/>
        </w:rPr>
        <w:t xml:space="preserve"> and for healthcare services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(Sujan </w:t>
      </w:r>
      <w:r w:rsidRPr="00A47A44">
        <w:rPr>
          <w:i/>
          <w:noProof/>
          <w:shd w:val="clear" w:color="auto" w:fill="FFC000" w:themeFill="accent4"/>
        </w:rPr>
        <w:t>et al.</w:t>
      </w:r>
      <w:r w:rsidRPr="00A47A44">
        <w:rPr>
          <w:noProof/>
          <w:shd w:val="clear" w:color="auto" w:fill="FFC000" w:themeFill="accent4"/>
        </w:rPr>
        <w:t>, 2015)</w:t>
      </w:r>
      <w:r w:rsidRPr="00A47A44">
        <w:rPr>
          <w:shd w:val="clear" w:color="auto" w:fill="FFC000" w:themeFill="accent4"/>
        </w:rPr>
        <w:fldChar w:fldCharType="end"/>
      </w:r>
      <w:r w:rsidRPr="00A47A44">
        <w:rPr>
          <w:shd w:val="clear" w:color="auto" w:fill="FFC000" w:themeFill="accent4"/>
        </w:rPr>
        <w:t>.</w:t>
      </w:r>
    </w:p>
    <w:p w14:paraId="0B0908D6" w14:textId="77777777" w:rsidR="00BF12B0" w:rsidRDefault="00BF12B0" w:rsidP="000A1BAC"/>
    <w:p w14:paraId="2E3DCD29" w14:textId="063A50D0" w:rsidR="007B37B8" w:rsidRDefault="007B37B8" w:rsidP="000A1BAC"/>
    <w:p w14:paraId="063AF99B" w14:textId="40FFC336" w:rsidR="007B37B8" w:rsidRDefault="007B37B8" w:rsidP="00DE355E">
      <w:pPr>
        <w:pStyle w:val="Heading2"/>
      </w:pPr>
      <w:commentRangeStart w:id="7"/>
      <w:r>
        <w:t>Unclear how to integrate and interpret data streams</w:t>
      </w:r>
      <w:commentRangeEnd w:id="7"/>
      <w:r w:rsidR="00DE355E">
        <w:rPr>
          <w:rStyle w:val="CommentReference"/>
          <w:rFonts w:asciiTheme="minorHAnsi" w:eastAsiaTheme="minorHAnsi" w:hAnsiTheme="minorHAnsi" w:cstheme="minorBidi"/>
        </w:rPr>
        <w:commentReference w:id="7"/>
      </w:r>
    </w:p>
    <w:p w14:paraId="7BAC3EB5" w14:textId="7ABC6A87" w:rsidR="00962238" w:rsidRDefault="00A62628" w:rsidP="00962238">
      <w:r>
        <w:rPr>
          <w:shd w:val="clear" w:color="auto" w:fill="ED7D31" w:themeFill="accent2"/>
        </w:rPr>
        <w:t>Secondly, more</w:t>
      </w:r>
      <w:r w:rsidR="00B4439A" w:rsidRPr="00A47A44">
        <w:rPr>
          <w:shd w:val="clear" w:color="auto" w:fill="ED7D31" w:themeFill="accent2"/>
        </w:rPr>
        <w:t xml:space="preserve"> data </w:t>
      </w:r>
      <w:r>
        <w:rPr>
          <w:shd w:val="clear" w:color="auto" w:fill="ED7D31" w:themeFill="accent2"/>
        </w:rPr>
        <w:t xml:space="preserve">of a greater variety can be collected with greater ease and speed </w:t>
      </w:r>
      <w:r w:rsidR="00B4439A" w:rsidRPr="00A47A44">
        <w:rPr>
          <w:shd w:val="clear" w:color="auto" w:fill="ED7D31" w:themeFill="accent2"/>
        </w:rPr>
        <w:t>but it is not clear how they can be sensibly integrated and interpreted</w:t>
      </w:r>
      <w:r w:rsidR="003C6222" w:rsidRPr="00A47A44">
        <w:rPr>
          <w:shd w:val="clear" w:color="auto" w:fill="ED7D31" w:themeFill="accent2"/>
        </w:rPr>
        <w:t xml:space="preserve"> </w:t>
      </w:r>
      <w:r w:rsidR="003C6222"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rsidRPr="00A47A44">
        <w:rPr>
          <w:shd w:val="clear" w:color="auto" w:fill="ED7D31" w:themeFill="accent2"/>
        </w:rPr>
        <w:fldChar w:fldCharType="separate"/>
      </w:r>
      <w:r w:rsidR="00351A05" w:rsidRPr="00A47A44">
        <w:rPr>
          <w:noProof/>
          <w:shd w:val="clear" w:color="auto" w:fill="ED7D31" w:themeFill="accent2"/>
        </w:rPr>
        <w:t xml:space="preserve">(Ranjan </w:t>
      </w:r>
      <w:r w:rsidR="00351A05" w:rsidRPr="00A47A44">
        <w:rPr>
          <w:i/>
          <w:noProof/>
          <w:shd w:val="clear" w:color="auto" w:fill="ED7D31" w:themeFill="accent2"/>
        </w:rPr>
        <w:t>et al.</w:t>
      </w:r>
      <w:r w:rsidR="00351A05" w:rsidRPr="00A47A44">
        <w:rPr>
          <w:noProof/>
          <w:shd w:val="clear" w:color="auto" w:fill="ED7D31" w:themeFill="accent2"/>
        </w:rPr>
        <w:t>, 2018)</w:t>
      </w:r>
      <w:r w:rsidR="003C6222" w:rsidRPr="00A47A44">
        <w:rPr>
          <w:shd w:val="clear" w:color="auto" w:fill="ED7D31" w:themeFill="accent2"/>
        </w:rPr>
        <w:fldChar w:fldCharType="end"/>
      </w:r>
      <w:r w:rsidR="007B37B8" w:rsidRPr="00A47A44">
        <w:rPr>
          <w:shd w:val="clear" w:color="auto" w:fill="ED7D31" w:themeFill="accent2"/>
        </w:rPr>
        <w:t>.</w:t>
      </w:r>
      <w:r w:rsidR="00962238">
        <w:t xml:space="preserve"> </w:t>
      </w:r>
      <w:r w:rsidR="00962238" w:rsidRPr="00A47A44">
        <w:rPr>
          <w:shd w:val="clear" w:color="auto" w:fill="92D050"/>
        </w:rPr>
        <w:t xml:space="preserve">There is a risk that opportunities will be missed to use data to improve safety, and </w:t>
      </w:r>
      <w:r w:rsidR="009B4077" w:rsidRPr="00A47A44">
        <w:rPr>
          <w:shd w:val="clear" w:color="auto" w:fill="92D050"/>
        </w:rPr>
        <w:t xml:space="preserve">there are </w:t>
      </w:r>
      <w:r w:rsidR="00962238" w:rsidRPr="00A47A44">
        <w:rPr>
          <w:shd w:val="clear" w:color="auto" w:fill="92D050"/>
        </w:rPr>
        <w:t>risks of inappropriate or biased use of d</w:t>
      </w:r>
      <w:r w:rsidR="008602F4" w:rsidRPr="00A47A44">
        <w:rPr>
          <w:shd w:val="clear" w:color="auto" w:fill="92D050"/>
        </w:rPr>
        <w:t>ata that threatens patient</w:t>
      </w:r>
      <w:r w:rsidR="00962238" w:rsidRPr="00A47A44">
        <w:rPr>
          <w:shd w:val="clear" w:color="auto" w:fill="92D050"/>
        </w:rPr>
        <w:t>s</w:t>
      </w:r>
      <w:r w:rsidR="008602F4" w:rsidRPr="00A47A44">
        <w:rPr>
          <w:shd w:val="clear" w:color="auto" w:fill="92D050"/>
        </w:rPr>
        <w:t>’</w:t>
      </w:r>
      <w:r w:rsidR="00962238" w:rsidRPr="00A47A44">
        <w:rPr>
          <w:shd w:val="clear" w:color="auto" w:fill="92D050"/>
        </w:rPr>
        <w:t xml:space="preserve"> safety. </w:t>
      </w:r>
      <w:r w:rsidR="00962238" w:rsidRPr="00A47A44">
        <w:rPr>
          <w:shd w:val="clear" w:color="auto" w:fill="5B9BD5" w:themeFill="accent1"/>
        </w:rPr>
        <w:t>To mitigate these hazards, safe development and use of middleware will be essential to provide an intermediary “</w:t>
      </w:r>
      <w:r w:rsidR="00962238" w:rsidRPr="00A47A44">
        <w:rPr>
          <w:i/>
          <w:shd w:val="clear" w:color="auto" w:fill="5B9BD5" w:themeFill="accent1"/>
        </w:rPr>
        <w:t xml:space="preserve">to abstract </w:t>
      </w:r>
      <w:r w:rsidR="00962238" w:rsidRPr="00A47A44">
        <w:rPr>
          <w:shd w:val="clear" w:color="auto" w:fill="5B9BD5" w:themeFill="accent1"/>
        </w:rPr>
        <w:t>[the]</w:t>
      </w:r>
      <w:r w:rsidR="00962238" w:rsidRPr="00A47A44">
        <w:rPr>
          <w:i/>
          <w:shd w:val="clear" w:color="auto" w:fill="5B9BD5" w:themeFill="accent1"/>
        </w:rPr>
        <w:t xml:space="preserve"> heterogeneity </w:t>
      </w:r>
      <w:r w:rsidR="00962238" w:rsidRPr="00A47A44">
        <w:rPr>
          <w:shd w:val="clear" w:color="auto" w:fill="5B9BD5" w:themeFill="accent1"/>
        </w:rPr>
        <w:t>[of HITs]</w:t>
      </w:r>
      <w:r w:rsidR="00962238" w:rsidRPr="00A47A44">
        <w:rPr>
          <w:i/>
          <w:shd w:val="clear" w:color="auto" w:fill="5B9BD5" w:themeFill="accent1"/>
        </w:rPr>
        <w:t xml:space="preserve"> … to achieve a seamless integration</w:t>
      </w:r>
      <w:r w:rsidR="00962238" w:rsidRPr="00A47A44">
        <w:rPr>
          <w:shd w:val="clear" w:color="auto" w:fill="5B9BD5" w:themeFill="accent1"/>
        </w:rPr>
        <w:t xml:space="preserve">”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(Díaz, Martín and Rubio, 2016)</w:t>
      </w:r>
      <w:r w:rsidR="00962238" w:rsidRPr="00A47A44">
        <w:rPr>
          <w:shd w:val="clear" w:color="auto" w:fill="5B9BD5" w:themeFill="accent1"/>
        </w:rPr>
        <w:fldChar w:fldCharType="end"/>
      </w:r>
      <w:r w:rsidR="00962238" w:rsidRPr="00A47A44">
        <w:rPr>
          <w:shd w:val="clear" w:color="auto" w:fill="5B9BD5" w:themeFill="accent1"/>
        </w:rPr>
        <w:t xml:space="preserve">. Proposed solutions include standards for exchanging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(Saripalle et al., 2019; see Houta et al., 2019 for application in epilepsy data)</w:t>
      </w:r>
      <w:r w:rsidR="00962238" w:rsidRPr="00A47A44">
        <w:rPr>
          <w:shd w:val="clear" w:color="auto" w:fill="5B9BD5" w:themeFill="accent1"/>
        </w:rPr>
        <w:fldChar w:fldCharType="end"/>
      </w:r>
      <w:r w:rsidR="00962238" w:rsidRPr="00A47A44">
        <w:rPr>
          <w:shd w:val="clear" w:color="auto" w:fill="5B9BD5" w:themeFill="accent1"/>
        </w:rPr>
        <w:t xml:space="preserve">, distributed architectures to integrate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 xml:space="preserve">(Roehrs, André and Righi, 2017; Roehrs, 2019; Roehrs </w:t>
      </w:r>
      <w:r w:rsidR="00962238" w:rsidRPr="00A47A44">
        <w:rPr>
          <w:i/>
          <w:noProof/>
          <w:shd w:val="clear" w:color="auto" w:fill="5B9BD5" w:themeFill="accent1"/>
        </w:rPr>
        <w:t>et al.</w:t>
      </w:r>
      <w:r w:rsidR="00962238" w:rsidRPr="00A47A44">
        <w:rPr>
          <w:noProof/>
          <w:shd w:val="clear" w:color="auto" w:fill="5B9BD5" w:themeFill="accent1"/>
        </w:rPr>
        <w:t>, 2019)</w:t>
      </w:r>
      <w:r w:rsidR="00962238" w:rsidRPr="00A47A44">
        <w:rPr>
          <w:shd w:val="clear" w:color="auto" w:fill="5B9BD5" w:themeFill="accent1"/>
        </w:rPr>
        <w:fldChar w:fldCharType="end"/>
      </w:r>
      <w:r w:rsidR="00962238" w:rsidRPr="00A47A44">
        <w:rPr>
          <w:shd w:val="clear" w:color="auto" w:fill="5B9BD5" w:themeFill="accent1"/>
        </w:rPr>
        <w:t>, and 3</w:t>
      </w:r>
      <w:r w:rsidR="00962238" w:rsidRPr="00A47A44">
        <w:rPr>
          <w:shd w:val="clear" w:color="auto" w:fill="5B9BD5" w:themeFill="accent1"/>
          <w:vertAlign w:val="superscript"/>
        </w:rPr>
        <w:t>rd</w:t>
      </w:r>
      <w:r w:rsidR="00962238" w:rsidRPr="00A47A44">
        <w:rPr>
          <w:shd w:val="clear" w:color="auto" w:fill="5B9BD5" w:themeFill="accent1"/>
        </w:rPr>
        <w:t xml:space="preserve">-party infrastructure for linkage and querying of electronic health records, e.g. the CSIRO Health Data Integration tool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(Hansen, Pang and Maeder, 2007)</w:t>
      </w:r>
      <w:r w:rsidR="00962238" w:rsidRPr="00A47A44">
        <w:rPr>
          <w:shd w:val="clear" w:color="auto" w:fill="5B9BD5" w:themeFill="accent1"/>
        </w:rPr>
        <w:fldChar w:fldCharType="end"/>
      </w:r>
      <w:r w:rsidR="00962238" w:rsidRPr="00A47A44">
        <w:rPr>
          <w:shd w:val="clear" w:color="auto" w:fill="5B9BD5" w:themeFill="accent1"/>
        </w:rPr>
        <w:t>.</w:t>
      </w:r>
      <w:r w:rsidR="00962238">
        <w:t xml:space="preserve"> </w:t>
      </w:r>
    </w:p>
    <w:p w14:paraId="0695BF48" w14:textId="255DDDC2" w:rsidR="00962238" w:rsidRPr="006A4C08" w:rsidRDefault="00962238" w:rsidP="00962238">
      <w:r w:rsidRPr="00A47A44">
        <w:rPr>
          <w:shd w:val="clear" w:color="auto" w:fill="5B9BD5" w:themeFill="accent1"/>
        </w:rPr>
        <w:lastRenderedPageBreak/>
        <w:t xml:space="preserve">Other contributing solutions include dynamic modelling of the data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(Jenkins </w:t>
      </w:r>
      <w:r w:rsidRPr="00A47A44">
        <w:rPr>
          <w:i/>
          <w:noProof/>
          <w:shd w:val="clear" w:color="auto" w:fill="5B9BD5" w:themeFill="accent1"/>
        </w:rPr>
        <w:t>et al.</w:t>
      </w:r>
      <w:r w:rsidRPr="00A47A44">
        <w:rPr>
          <w:noProof/>
          <w:shd w:val="clear" w:color="auto" w:fill="5B9BD5" w:themeFill="accent1"/>
        </w:rPr>
        <w:t>, 2018)</w:t>
      </w:r>
      <w:r w:rsidRPr="00A47A44">
        <w:rPr>
          <w:shd w:val="clear" w:color="auto" w:fill="5B9BD5" w:themeFill="accent1"/>
        </w:rPr>
        <w:fldChar w:fldCharType="end"/>
      </w:r>
      <w:r w:rsidRPr="00A47A44">
        <w:rPr>
          <w:shd w:val="clear" w:color="auto" w:fill="5B9BD5" w:themeFill="accent1"/>
        </w:rPr>
        <w:t xml:space="preserve">, which can provide a solution to the transient relevance of predictive models. Similarly, progress continues to be made developing models that respect the latent, data-generating processes underlying the phenomena of interest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(Sperrin </w:t>
      </w:r>
      <w:r w:rsidRPr="00A47A44">
        <w:rPr>
          <w:i/>
          <w:noProof/>
          <w:shd w:val="clear" w:color="auto" w:fill="5B9BD5" w:themeFill="accent1"/>
        </w:rPr>
        <w:t>et al.</w:t>
      </w:r>
      <w:r w:rsidRPr="00A47A44">
        <w:rPr>
          <w:noProof/>
          <w:shd w:val="clear" w:color="auto" w:fill="5B9BD5" w:themeFill="accent1"/>
        </w:rPr>
        <w:t>, 2019)</w:t>
      </w:r>
      <w:r w:rsidRPr="00A47A44">
        <w:rPr>
          <w:shd w:val="clear" w:color="auto" w:fill="5B9BD5" w:themeFill="accent1"/>
        </w:rPr>
        <w:fldChar w:fldCharType="end"/>
      </w:r>
      <w:r w:rsidRPr="00A47A44">
        <w:rPr>
          <w:shd w:val="clear" w:color="auto" w:fill="5B9BD5" w:themeFill="accent1"/>
        </w:rPr>
        <w:t xml:space="preserve">, which might clarify ‘Big healthcare data’ </w:t>
      </w:r>
      <w:r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Care","type":"article-journal","volume":"319"},"uris":["http://www.mendeley.com/documents/?uuid=e0bbc4ef-a292-4110-bb2d-058f603056f6"]}],"mendeley":{"formattedCitation":"(Beam and Kohane, 2018)","plainTextFormattedCitation":"(Beam and Kohane, 2018)","previouslyFormattedCitation":"(Beam and Kohane,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(Beam and Kohane, 2018)</w:t>
      </w:r>
      <w:r w:rsidRPr="00A47A44">
        <w:rPr>
          <w:shd w:val="clear" w:color="auto" w:fill="5B9BD5" w:themeFill="accent1"/>
        </w:rPr>
        <w:fldChar w:fldCharType="end"/>
      </w:r>
      <w:r w:rsidRPr="00A47A44">
        <w:rPr>
          <w:shd w:val="clear" w:color="auto" w:fill="5B9BD5" w:themeFill="accent1"/>
        </w:rPr>
        <w:t>.</w:t>
      </w:r>
      <w:r w:rsidR="0081714B" w:rsidRPr="00A47A44">
        <w:rPr>
          <w:shd w:val="clear" w:color="auto" w:fill="5B9BD5" w:themeFill="accent1"/>
        </w:rPr>
        <w:t xml:space="preserve"> Finally, progress in artificial intelligence (particularly anomaly detection) might help to mitigate problems arising from data errors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 xml:space="preserve">(Challen </w:t>
      </w:r>
      <w:r w:rsidR="0081714B" w:rsidRPr="00A47A44">
        <w:rPr>
          <w:i/>
          <w:noProof/>
          <w:shd w:val="clear" w:color="auto" w:fill="5B9BD5" w:themeFill="accent1"/>
        </w:rPr>
        <w:t>et al.</w:t>
      </w:r>
      <w:r w:rsidR="0081714B" w:rsidRPr="00A47A44">
        <w:rPr>
          <w:noProof/>
          <w:shd w:val="clear" w:color="auto" w:fill="5B9BD5" w:themeFill="accent1"/>
        </w:rPr>
        <w:t>, 2019; Macrae, 2019)</w:t>
      </w:r>
      <w:r w:rsidR="0081714B" w:rsidRPr="00A47A44">
        <w:rPr>
          <w:shd w:val="clear" w:color="auto" w:fill="5B9BD5" w:themeFill="accent1"/>
        </w:rPr>
        <w:fldChar w:fldCharType="end"/>
      </w:r>
      <w:r w:rsidR="0081714B" w:rsidRPr="00A47A44">
        <w:rPr>
          <w:shd w:val="clear" w:color="auto" w:fill="5B9BD5" w:themeFill="accent1"/>
        </w:rPr>
        <w:t xml:space="preserve">. For example, to minimise inappropriate decisions due to poor data quality,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Sako et al. (2020)</w:t>
      </w:r>
      <w:r w:rsidR="0081714B" w:rsidRPr="00A47A44">
        <w:rPr>
          <w:shd w:val="clear" w:color="auto" w:fill="5B9BD5" w:themeFill="accent1"/>
        </w:rPr>
        <w:fldChar w:fldCharType="end"/>
      </w:r>
      <w:r w:rsidR="0081714B" w:rsidRPr="00A47A44">
        <w:rPr>
          <w:shd w:val="clear" w:color="auto" w:fill="5B9BD5" w:themeFill="accent1"/>
        </w:rPr>
        <w:t xml:space="preserve"> provides a conceptual framework for automated assessment of data quality and information integrity</w:t>
      </w:r>
      <w:r w:rsidR="0081714B">
        <w:t>.</w:t>
      </w:r>
      <w:r w:rsidR="003E6B64">
        <w:t xml:space="preserve"> </w:t>
      </w:r>
      <w:r w:rsidR="003E6B64" w:rsidRPr="003E6B64">
        <w:rPr>
          <w:shd w:val="clear" w:color="auto" w:fill="FFC000" w:themeFill="accent4"/>
        </w:rPr>
        <w:t>These methods are examples of how HIT can be used to improve patient safety as well as help with safe use of HIT.</w:t>
      </w:r>
    </w:p>
    <w:p w14:paraId="34F914DE" w14:textId="77777777" w:rsidR="00962238" w:rsidRDefault="00962238" w:rsidP="000A1BAC"/>
    <w:p w14:paraId="123D50B9" w14:textId="6A15425B" w:rsidR="007B37B8" w:rsidRDefault="007B37B8" w:rsidP="000A1BAC"/>
    <w:p w14:paraId="4C9F8C1A" w14:textId="397C8BDA" w:rsidR="007B37B8" w:rsidRDefault="007B37B8" w:rsidP="00DE355E">
      <w:pPr>
        <w:pStyle w:val="Heading2"/>
      </w:pPr>
      <w:r>
        <w:t>Reactive regulations and standards</w:t>
      </w:r>
    </w:p>
    <w:p w14:paraId="6E348CBD" w14:textId="5F31411A" w:rsidR="003E2D52" w:rsidRDefault="00B4439A" w:rsidP="000A1BAC">
      <w:r w:rsidRPr="00A47A44">
        <w:rPr>
          <w:shd w:val="clear" w:color="auto" w:fill="ED7D31" w:themeFill="accent2"/>
        </w:rPr>
        <w:t>Thirdly, as the pace of innovation accelerates, the current reactive (rather than proactive) regulatory- and standards-based approaches to safety will be increasingly ineffective at assuring patients’ safety</w:t>
      </w:r>
      <w:r w:rsidR="00B44012">
        <w:rPr>
          <w:shd w:val="clear" w:color="auto" w:fill="ED7D31" w:themeFill="accent2"/>
        </w:rPr>
        <w:t xml:space="preserve"> (</w:t>
      </w:r>
      <w:proofErr w:type="spellStart"/>
      <w:r w:rsidR="00B44012">
        <w:rPr>
          <w:shd w:val="clear" w:color="auto" w:fill="ED7D31" w:themeFill="accent2"/>
        </w:rPr>
        <w:t>Xplaceholder</w:t>
      </w:r>
      <w:proofErr w:type="spellEnd"/>
      <w:r w:rsidR="00B44012">
        <w:rPr>
          <w:shd w:val="clear" w:color="auto" w:fill="ED7D31" w:themeFill="accent2"/>
        </w:rPr>
        <w:t xml:space="preserve"> – OJ and </w:t>
      </w:r>
      <w:proofErr w:type="spellStart"/>
      <w:r w:rsidR="00B44012">
        <w:rPr>
          <w:shd w:val="clear" w:color="auto" w:fill="ED7D31" w:themeFill="accent2"/>
        </w:rPr>
        <w:t>CMc</w:t>
      </w:r>
      <w:proofErr w:type="spellEnd"/>
      <w:r w:rsidR="00B44012">
        <w:rPr>
          <w:shd w:val="clear" w:color="auto" w:fill="ED7D31" w:themeFill="accent2"/>
        </w:rPr>
        <w:t xml:space="preserve"> </w:t>
      </w:r>
      <w:proofErr w:type="spellStart"/>
      <w:r w:rsidR="00B44012">
        <w:rPr>
          <w:shd w:val="clear" w:color="auto" w:fill="ED7D31" w:themeFill="accent2"/>
        </w:rPr>
        <w:t>paperX</w:t>
      </w:r>
      <w:proofErr w:type="spellEnd"/>
      <w:r w:rsidR="00B44012">
        <w:rPr>
          <w:shd w:val="clear" w:color="auto" w:fill="ED7D31" w:themeFill="accent2"/>
        </w:rPr>
        <w:t>)</w:t>
      </w:r>
      <w:r w:rsidRPr="00A47A44">
        <w:rPr>
          <w:shd w:val="clear" w:color="auto" w:fill="92D050"/>
        </w:rPr>
        <w:t>.</w:t>
      </w:r>
      <w:r w:rsidR="0081714B" w:rsidRPr="00A47A44">
        <w:rPr>
          <w:shd w:val="clear" w:color="auto" w:fill="92D050"/>
        </w:rPr>
        <w:t xml:space="preserve"> The implication is that avoidable harm might be experienced before mitigations are put in place.</w:t>
      </w:r>
      <w:r w:rsidR="003E2D52">
        <w:t xml:space="preserve"> </w:t>
      </w:r>
      <w:r w:rsidR="003E2D52" w:rsidRPr="00A47A44">
        <w:rPr>
          <w:shd w:val="clear" w:color="auto" w:fill="5B9BD5" w:themeFill="accent1"/>
        </w:rPr>
        <w:t xml:space="preserve">We recommend </w:t>
      </w:r>
      <w:r w:rsidR="009B4077" w:rsidRPr="00A47A44">
        <w:rPr>
          <w:shd w:val="clear" w:color="auto" w:fill="5B9BD5" w:themeFill="accent1"/>
        </w:rPr>
        <w:t>synchronisation</w:t>
      </w:r>
      <w:r w:rsidR="003E2D52" w:rsidRPr="00A47A44">
        <w:rPr>
          <w:shd w:val="clear" w:color="auto" w:fill="5B9BD5" w:themeFill="accent1"/>
        </w:rPr>
        <w:t xml:space="preserve"> of the development and evaluation of HIT, similar to the IDEAL framework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goal","type":"article-journal","volume":"353"},"uris":["http://www.mendeley.com/documents/?uuid=b5da7b4c-ff6c-45f7-acb2-0d1429b5e4f4"]}],"mendeley":{"formattedCitation":"(Sedrakyan &lt;i&gt;et al.&lt;/i&gt;, 2016)","plainTextFormattedCitation":"(Sedrakyan et al., 2016)","previouslyFormattedCitation":"(Sedrakyan &lt;i&gt;et al.&lt;/i&gt;, 2016)"},"properties":{"noteIndex":0},"schema":"https://github.com/citation-style-language/schema/raw/master/csl-citation.json"}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2016)</w:t>
      </w:r>
      <w:r w:rsidR="003E2D52" w:rsidRPr="00A47A44">
        <w:rPr>
          <w:shd w:val="clear" w:color="auto" w:fill="5B9BD5" w:themeFill="accent1"/>
        </w:rPr>
        <w:fldChar w:fldCharType="end"/>
      </w:r>
      <w:r w:rsidR="003E2D52" w:rsidRPr="00A47A44">
        <w:rPr>
          <w:shd w:val="clear" w:color="auto" w:fill="5B9BD5" w:themeFill="accent1"/>
        </w:rPr>
        <w:t>. The IDEAL framework champions gradual approval of medical devices rather than the one-shot approval of CE marking</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1993","type":"article-journal","volume":"68"},"uris":["http://www.mendeley.com/documents/?uuid=c2f6fe6e-1568-4298-b98f-754c5f094769"]}],"mendeley":{"formattedCitation":"(The European Parliment and The Council of the European Union, 1993)","plainTextFormattedCitation":"(The European Parliment and The Council of the European Union, 1993)","previouslyFormattedCitation":"(The European Parliment and The Council of the European Union, 1993)"},"properties":{"noteIndex":0},"schema":"https://github.com/citation-style-language/schema/raw/master/csl-citation.json"}</w:instrText>
      </w:r>
      <w:r w:rsidR="008D06DB" w:rsidRPr="00A47A44">
        <w:rPr>
          <w:shd w:val="clear" w:color="auto" w:fill="5B9BD5" w:themeFill="accent1"/>
        </w:rPr>
        <w:fldChar w:fldCharType="separate"/>
      </w:r>
      <w:r w:rsidR="008D06DB" w:rsidRPr="00A47A44">
        <w:rPr>
          <w:noProof/>
          <w:shd w:val="clear" w:color="auto" w:fill="5B9BD5" w:themeFill="accent1"/>
        </w:rPr>
        <w:t>(The European Parliment and The Council of the European Union, 1993)</w:t>
      </w:r>
      <w:r w:rsidR="008D06DB" w:rsidRPr="00A47A44">
        <w:rPr>
          <w:shd w:val="clear" w:color="auto" w:fill="5B9BD5" w:themeFill="accent1"/>
        </w:rPr>
        <w:fldChar w:fldCharType="end"/>
      </w:r>
      <w:r w:rsidR="003E2D52" w:rsidRPr="00A47A44">
        <w:rPr>
          <w:shd w:val="clear" w:color="auto" w:fill="5B9BD5" w:themeFill="accent1"/>
        </w:rPr>
        <w:t>, which would allow “</w:t>
      </w:r>
      <w:r w:rsidR="003E2D52" w:rsidRPr="00A47A44">
        <w:rPr>
          <w:i/>
          <w:shd w:val="clear" w:color="auto" w:fill="5B9BD5" w:themeFill="accent1"/>
        </w:rPr>
        <w:t>graded, responsible, but earlier patient access</w:t>
      </w:r>
      <w:r w:rsidR="003E2D52" w:rsidRPr="00A47A44">
        <w:rPr>
          <w:shd w:val="clear" w:color="auto" w:fill="5B9BD5" w:themeFill="accent1"/>
        </w:rPr>
        <w:t xml:space="preserve">”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Recommendations","type":"article-journal","volume":"269"},"uris":["http://www.mendeley.com/documents/?uuid=c943c2e8-e02c-4c68-90e3-7ee5fb858265"]}],"mendeley":{"formattedCitation":"(Sedrakyan &lt;i&gt;et al.&lt;/i&gt;, 2016; Hirst &lt;i&gt;et al.&lt;/i&gt;, 2019)","plainTextFormattedCitation":"(Sedrakyan et al., 2016; Hirst et al., 2019)","previouslyFormattedCitation":"(Sedrakyan &lt;i&gt;et al.&lt;/i&gt;, 2016; Hirst &lt;i&gt;et al.&lt;/i&gt;,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xml:space="preserve">, 2016; Hirst </w:t>
      </w:r>
      <w:r w:rsidR="003E2D52" w:rsidRPr="00A47A44">
        <w:rPr>
          <w:i/>
          <w:noProof/>
          <w:shd w:val="clear" w:color="auto" w:fill="5B9BD5" w:themeFill="accent1"/>
        </w:rPr>
        <w:t>et al.</w:t>
      </w:r>
      <w:r w:rsidR="003E2D52" w:rsidRPr="00A47A44">
        <w:rPr>
          <w:noProof/>
          <w:shd w:val="clear" w:color="auto" w:fill="5B9BD5" w:themeFill="accent1"/>
        </w:rPr>
        <w:t>, 2019)</w:t>
      </w:r>
      <w:r w:rsidR="003E2D52" w:rsidRPr="00A47A44">
        <w:rPr>
          <w:shd w:val="clear" w:color="auto" w:fill="5B9BD5" w:themeFill="accent1"/>
        </w:rPr>
        <w:fldChar w:fldCharType="end"/>
      </w:r>
      <w:r w:rsidR="003E2D52" w:rsidRPr="00A47A44">
        <w:rPr>
          <w:shd w:val="clear" w:color="auto" w:fill="5B9BD5" w:themeFill="accent1"/>
        </w:rPr>
        <w:t xml:space="preserve">. Such frameworks simultaneously address concerns that the increased administrative burden of more-stringent regulations might delay products that are imperfect but practically useful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New?","type":"article-journal","volume":"35"},"uris":["http://www.mendeley.com/documents/?uuid=cfe5b23f-b99b-40c1-ab4e-1209ab953c36"]}],"mendeley":{"formattedCitation":"(Oelze, Neeser and Müller, 2019)","plainTextFormattedCitation":"(Oelze, Neeser and Müller, 2019)","previouslyFormattedCitation":"(Oelze, Neeser and Müller,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(Oelze, Neeser and Müller, 2019)</w:t>
      </w:r>
      <w:r w:rsidR="003E2D52" w:rsidRPr="00A47A44">
        <w:rPr>
          <w:shd w:val="clear" w:color="auto" w:fill="5B9BD5" w:themeFill="accent1"/>
        </w:rPr>
        <w:fldChar w:fldCharType="end"/>
      </w:r>
      <w:r w:rsidR="003E2D52">
        <w:t xml:space="preserve">. </w:t>
      </w:r>
    </w:p>
    <w:p w14:paraId="1C185595" w14:textId="07C7D51E" w:rsidR="0081714B" w:rsidRDefault="003E2D52" w:rsidP="000A1BAC">
      <w:r w:rsidRPr="00A47A44">
        <w:rPr>
          <w:shd w:val="clear" w:color="auto" w:fill="5B9BD5" w:themeFill="accent1"/>
        </w:rPr>
        <w:t>We also recommend that regulators and developers of standards adopt a systems approach to conceptualising risk</w:t>
      </w:r>
      <w:r w:rsidR="00B06ABE" w:rsidRPr="00A47A44">
        <w:rPr>
          <w:shd w:val="clear" w:color="auto" w:fill="5B9BD5" w:themeFill="accent1"/>
        </w:rPr>
        <w:t xml:space="preserve"> </w:t>
      </w:r>
      <w:r w:rsidR="00B06ABE"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2009a)","plainTextFormattedCitation":"(Haimes, 2009a)","previouslyFormattedCitation":"(Haimes, 2009a)"},"properties":{"noteIndex":0},"schema":"https://github.com/citation-style-language/schema/raw/master/csl-citation.json"}</w:instrText>
      </w:r>
      <w:r w:rsidR="00B06ABE" w:rsidRPr="00A47A44">
        <w:rPr>
          <w:shd w:val="clear" w:color="auto" w:fill="5B9BD5" w:themeFill="accent1"/>
        </w:rPr>
        <w:fldChar w:fldCharType="separate"/>
      </w:r>
      <w:r w:rsidR="00751DD1" w:rsidRPr="00A47A44">
        <w:rPr>
          <w:noProof/>
          <w:shd w:val="clear" w:color="auto" w:fill="5B9BD5" w:themeFill="accent1"/>
        </w:rPr>
        <w:t>(Haimes, 2009a)</w:t>
      </w:r>
      <w:r w:rsidR="00B06ABE" w:rsidRPr="00A47A44">
        <w:rPr>
          <w:shd w:val="clear" w:color="auto" w:fill="5B9BD5" w:themeFill="accent1"/>
        </w:rPr>
        <w:fldChar w:fldCharType="end"/>
      </w:r>
      <w:r w:rsidRPr="00A47A44">
        <w:rPr>
          <w:shd w:val="clear" w:color="auto" w:fill="5B9BD5" w:themeFill="accent1"/>
        </w:rPr>
        <w:t xml:space="preserve"> to appropriately reflect the complex adaptive nature of healthcare </w:t>
      </w:r>
      <w:r w:rsidRPr="00A47A44">
        <w:rPr>
          <w:shd w:val="clear" w:color="auto" w:fill="5B9BD5" w:themeFill="accent1"/>
        </w:rPr>
        <w:fldChar w:fldCharType="begin" w:fldLock="1"/>
      </w:r>
      <w:r w:rsidR="00B06ABE" w:rsidRPr="00A47A44">
        <w:rPr>
          <w:shd w:val="clear" w:color="auto" w:fill="5B9BD5" w:themeFill="accent1"/>
        </w:rPr>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care","type":"article-journal","volume":"323"},"uris":["http://www.mendeley.com/documents/?uuid=b1f3fa29-ac3b-402e-9e89-82412d61636d"]}],"mendeley":{"formattedCitation":"(Plsek and Greenhalgh, 2001)","plainTextFormattedCitation":"(Plsek and Greenhalgh, 2001)","previouslyFormattedCitation":"(Plsek and Greenhalgh, 2001)"},"properties":{"noteIndex":0},"schema":"https://github.com/citation-style-language/schema/raw/master/csl-citation.json"}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(Plsek and Greenhalgh, 2001)</w:t>
      </w:r>
      <w:r w:rsidRPr="00A47A44">
        <w:rPr>
          <w:shd w:val="clear" w:color="auto" w:fill="5B9BD5" w:themeFill="accent1"/>
        </w:rPr>
        <w:fldChar w:fldCharType="end"/>
      </w:r>
      <w:r w:rsidRPr="00A47A44">
        <w:rPr>
          <w:shd w:val="clear" w:color="auto" w:fill="5B9BD5" w:themeFill="accent1"/>
        </w:rPr>
        <w:t xml:space="preserve">. </w:t>
      </w:r>
      <w:r w:rsidR="00D30C91" w:rsidRPr="00427ACF">
        <w:rPr>
          <w:shd w:val="clear" w:color="auto" w:fill="FFC000" w:themeFill="accent4"/>
        </w:rPr>
        <w:t>It is hoped tha</w:t>
      </w:r>
      <w:r w:rsidR="00B66EA9" w:rsidRPr="00427ACF">
        <w:rPr>
          <w:shd w:val="clear" w:color="auto" w:fill="FFC000" w:themeFill="accent4"/>
        </w:rPr>
        <w:t xml:space="preserve">t </w:t>
      </w:r>
      <w:r w:rsidR="00D30C91" w:rsidRPr="00427ACF">
        <w:rPr>
          <w:shd w:val="clear" w:color="auto" w:fill="FFC000" w:themeFill="accent4"/>
        </w:rPr>
        <w:t>t</w:t>
      </w:r>
      <w:r w:rsidR="0081714B" w:rsidRPr="00427ACF">
        <w:rPr>
          <w:shd w:val="clear" w:color="auto" w:fill="FFC000" w:themeFill="accent4"/>
        </w:rPr>
        <w:t xml:space="preserve">hese recommendations </w:t>
      </w:r>
      <w:r w:rsidR="00E25082" w:rsidRPr="00427ACF">
        <w:rPr>
          <w:shd w:val="clear" w:color="auto" w:fill="FFC000" w:themeFill="accent4"/>
        </w:rPr>
        <w:t xml:space="preserve">might </w:t>
      </w:r>
      <w:r w:rsidR="0081714B" w:rsidRPr="00427ACF">
        <w:rPr>
          <w:shd w:val="clear" w:color="auto" w:fill="FFC000" w:themeFill="accent4"/>
        </w:rPr>
        <w:t xml:space="preserve">help to manage increased sensitivity to safety </w:t>
      </w:r>
      <w:r w:rsidR="00B66EA9" w:rsidRPr="00427ACF">
        <w:rPr>
          <w:shd w:val="clear" w:color="auto" w:fill="FFC000" w:themeFill="accent4"/>
        </w:rPr>
        <w:t>during development</w:t>
      </w:r>
      <w:r w:rsidR="0081714B" w:rsidRPr="0081714B">
        <w:t>.</w:t>
      </w:r>
    </w:p>
    <w:p w14:paraId="3A8600A6" w14:textId="174287ED" w:rsidR="007B37B8" w:rsidRDefault="007B37B8" w:rsidP="000A1BAC"/>
    <w:p w14:paraId="0515F150" w14:textId="77777777" w:rsidR="00E0556F" w:rsidRPr="00670128" w:rsidRDefault="00E0556F" w:rsidP="00DE355E">
      <w:pPr>
        <w:pStyle w:val="Heading2"/>
      </w:pPr>
      <w:commentRangeStart w:id="9"/>
      <w:r>
        <w:t xml:space="preserve">Trust </w:t>
      </w:r>
      <w:commentRangeEnd w:id="9"/>
      <w:r w:rsidR="003354EE">
        <w:rPr>
          <w:rStyle w:val="CommentReference"/>
          <w:rFonts w:asciiTheme="minorHAnsi" w:eastAsiaTheme="minorHAnsi" w:hAnsiTheme="minorHAnsi" w:cstheme="minorBidi"/>
        </w:rPr>
        <w:commentReference w:id="9"/>
      </w:r>
      <w:r>
        <w:t>in opaque and complex systems</w:t>
      </w:r>
    </w:p>
    <w:p w14:paraId="35D7452F" w14:textId="1A264978" w:rsidR="00E0556F" w:rsidRDefault="00E0556F" w:rsidP="00E0556F">
      <w:r w:rsidRPr="00A47A44">
        <w:rPr>
          <w:shd w:val="clear" w:color="auto" w:fill="ED7D31" w:themeFill="accent2"/>
        </w:rPr>
        <w:t xml:space="preserve">Fourthly, trust </w:t>
      </w:r>
      <w:r w:rsidR="00EA09ED">
        <w:rPr>
          <w:shd w:val="clear" w:color="auto" w:fill="ED7D31" w:themeFill="accent2"/>
        </w:rPr>
        <w:t>has</w:t>
      </w:r>
      <w:r w:rsidRPr="00A47A44">
        <w:rPr>
          <w:shd w:val="clear" w:color="auto" w:fill="ED7D31" w:themeFill="accent2"/>
        </w:rPr>
        <w:t xml:space="preserve"> long been a part of patient care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(Thorne and Robinson, 1988; Song and Zahedi, 2007)</w:t>
      </w:r>
      <w:r w:rsidRPr="00A47A44">
        <w:rPr>
          <w:shd w:val="clear" w:color="auto" w:fill="ED7D31" w:themeFill="accent2"/>
        </w:rPr>
        <w:fldChar w:fldCharType="end"/>
      </w:r>
      <w:r w:rsidR="00EA09ED">
        <w:rPr>
          <w:shd w:val="clear" w:color="auto" w:fill="ED7D31" w:themeFill="accent2"/>
        </w:rPr>
        <w:t xml:space="preserve"> but it is threatened by the way that digitisation and complexification of HISs can hinder the proximity and intimacy of care</w:t>
      </w:r>
      <w:r w:rsidRPr="00A47A44">
        <w:rPr>
          <w:shd w:val="clear" w:color="auto" w:fill="ED7D31" w:themeFill="accent2"/>
        </w:rPr>
        <w:t xml:space="preserve">. Trust in healthcare is partly a function of inter-personal behaviours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(Calnan and Rowe, 2006)</w:t>
      </w:r>
      <w:r w:rsidRPr="00A47A44">
        <w:rPr>
          <w:shd w:val="clear" w:color="auto" w:fill="ED7D31" w:themeFill="accent2"/>
        </w:rPr>
        <w:fldChar w:fldCharType="end"/>
      </w:r>
      <w:r w:rsidRPr="00A47A44">
        <w:rPr>
          <w:shd w:val="clear" w:color="auto" w:fill="ED7D31" w:themeFill="accent2"/>
        </w:rPr>
        <w:t xml:space="preserve"> with the </w:t>
      </w:r>
      <w:commentRangeStart w:id="10"/>
      <w:r w:rsidRPr="00A47A44">
        <w:rPr>
          <w:shd w:val="clear" w:color="auto" w:fill="ED7D31" w:themeFill="accent2"/>
        </w:rPr>
        <w:t xml:space="preserve">gatekeeping and competing incentives of actors in a HIS </w:t>
      </w:r>
      <w:r w:rsidR="00EA09ED">
        <w:rPr>
          <w:shd w:val="clear" w:color="auto" w:fill="ED7D31" w:themeFill="accent2"/>
        </w:rPr>
        <w:t>potentially jeopardising</w:t>
      </w:r>
      <w:r w:rsidRPr="00A47A44">
        <w:rPr>
          <w:shd w:val="clear" w:color="auto" w:fill="ED7D31" w:themeFill="accent2"/>
        </w:rPr>
        <w:t xml:space="preserve"> this trust </w:t>
      </w:r>
      <w:commentRangeEnd w:id="10"/>
      <w:r w:rsidR="003354EE">
        <w:rPr>
          <w:rStyle w:val="CommentReference"/>
        </w:rPr>
        <w:commentReference w:id="10"/>
      </w:r>
      <w:r w:rsidRPr="00A47A44">
        <w:rPr>
          <w:shd w:val="clear" w:color="auto" w:fill="ED7D31" w:themeFill="accent2"/>
        </w:rPr>
        <w:fldChar w:fldCharType="begin" w:fldLock="1"/>
      </w:r>
      <w:r w:rsidRPr="00A47A44">
        <w:rPr>
          <w:shd w:val="clear" w:color="auto" w:fill="ED7D31" w:themeFill="accent2"/>
        </w:rPr>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(Mechanic and Schlesinger, 1996; Alaszewski, 2003)</w:t>
      </w:r>
      <w:r w:rsidRPr="00A47A44">
        <w:rPr>
          <w:shd w:val="clear" w:color="auto" w:fill="ED7D31" w:themeFill="accent2"/>
        </w:rPr>
        <w:fldChar w:fldCharType="end"/>
      </w:r>
      <w:r w:rsidR="008602F4">
        <w:t xml:space="preserve">. </w:t>
      </w:r>
      <w:r w:rsidR="008602F4" w:rsidRPr="00A47A44">
        <w:rPr>
          <w:shd w:val="clear" w:color="auto" w:fill="92D050"/>
        </w:rPr>
        <w:t xml:space="preserve">Without trust in expert and reliable sources, patients’ safety is under threat from misinformation and disinformation from sources more intimate and familiar </w:t>
      </w:r>
      <w:r w:rsidR="008602F4" w:rsidRPr="00A47A44">
        <w:rPr>
          <w:shd w:val="clear" w:color="auto" w:fill="92D050"/>
        </w:rPr>
        <w:fldChar w:fldCharType="begin" w:fldLock="1"/>
      </w:r>
      <w:r w:rsidR="0041730C" w:rsidRPr="00A47A44">
        <w:rPr>
          <w:shd w:val="clear" w:color="auto" w:fill="92D050"/>
        </w:rPr>
        <w:instrText>ADDIN CSL_CITATION {"citationItems":[{"id":"ITEM-1","itemData":{"URL":"https://firstdraftnews.org/latest/fake-news-complicated/","accessed":{"date-parts":[["2020","8","3"]]},"author":[{"dropping-particle":"","family":"Wardle","given":"Claire","non-dropping-particle":"","parse-names":false,"suffix":""}],"container-title":"First Draft News","id":"ITEM-1","issued":{"date-parts":[["2017"]]},"title":"Fake news. It’s complicated.","type":"webpage"},"uris":["http://www.mendeley.com/documents/?uuid=1fa25c2c-a353-477f-9184-41acf94506c4"]}],"mendeley":{"formattedCitation":"(Wardle, 2017)","plainTextFormattedCitation":"(Wardle, 2017)","previouslyFormattedCitation":"(Wardle, 2017)"},"properties":{"noteIndex":0},"schema":"https://github.com/citation-style-language/schema/raw/master/csl-citation.json"}</w:instrText>
      </w:r>
      <w:r w:rsidR="008602F4" w:rsidRPr="00A47A44">
        <w:rPr>
          <w:shd w:val="clear" w:color="auto" w:fill="92D050"/>
        </w:rPr>
        <w:fldChar w:fldCharType="separate"/>
      </w:r>
      <w:r w:rsidR="008602F4" w:rsidRPr="00A47A44">
        <w:rPr>
          <w:noProof/>
          <w:shd w:val="clear" w:color="auto" w:fill="92D050"/>
        </w:rPr>
        <w:t>(Wardle, 2017)</w:t>
      </w:r>
      <w:r w:rsidR="008602F4" w:rsidRPr="00A47A44">
        <w:rPr>
          <w:shd w:val="clear" w:color="auto" w:fill="92D050"/>
        </w:rPr>
        <w:fldChar w:fldCharType="end"/>
      </w:r>
      <w:r w:rsidR="008602F4" w:rsidRPr="00A47A44">
        <w:rPr>
          <w:shd w:val="clear" w:color="auto" w:fill="92D050"/>
        </w:rPr>
        <w:t>.</w:t>
      </w:r>
    </w:p>
    <w:p w14:paraId="159BE95D" w14:textId="2F7AFCCD" w:rsidR="006A08E5" w:rsidRDefault="006A08E5" w:rsidP="00E0556F">
      <w:pPr>
        <w:rPr>
          <w:highlight w:val="yellow"/>
        </w:rPr>
      </w:pPr>
      <w:r w:rsidRPr="00A47A44">
        <w:rPr>
          <w:shd w:val="clear" w:color="auto" w:fill="5B9BD5" w:themeFill="accent1"/>
        </w:rPr>
        <w:t>We suggest that a</w:t>
      </w:r>
      <w:r w:rsidR="0041730C" w:rsidRPr="00A47A44">
        <w:rPr>
          <w:shd w:val="clear" w:color="auto" w:fill="5B9BD5" w:themeFill="accent1"/>
        </w:rPr>
        <w:t xml:space="preserve"> socio-technical perspective </w:t>
      </w:r>
      <w:r w:rsidRPr="00A47A44">
        <w:rPr>
          <w:shd w:val="clear" w:color="auto" w:fill="5B9BD5" w:themeFill="accent1"/>
        </w:rPr>
        <w:t>will help all stakeholders in healthcare to acknowledge the systemic nature of HISs and their place within healthcare systems</w:t>
      </w:r>
      <w:commentRangeStart w:id="11"/>
      <w:proofErr w:type="gramStart"/>
      <w:r w:rsidRPr="00A47A44">
        <w:rPr>
          <w:shd w:val="clear" w:color="auto" w:fill="5B9BD5" w:themeFill="accent1"/>
        </w:rPr>
        <w:t>.</w:t>
      </w:r>
      <w:r w:rsidRPr="006A08E5">
        <w:rPr>
          <w:highlight w:val="yellow"/>
        </w:rPr>
        <w:t>*</w:t>
      </w:r>
      <w:proofErr w:type="gramEnd"/>
      <w:r w:rsidRPr="006A08E5">
        <w:rPr>
          <w:highlight w:val="yellow"/>
        </w:rPr>
        <w:t>*Jon Benn**</w:t>
      </w:r>
      <w:commentRangeEnd w:id="11"/>
      <w:r>
        <w:rPr>
          <w:rStyle w:val="CommentReference"/>
        </w:rPr>
        <w:commentReference w:id="11"/>
      </w:r>
    </w:p>
    <w:p w14:paraId="1C410836" w14:textId="19FC642F" w:rsidR="0041730C" w:rsidRDefault="0041730C" w:rsidP="00E0556F">
      <w:pPr>
        <w:rPr>
          <w:highlight w:val="yellow"/>
        </w:rPr>
      </w:pPr>
      <w:r>
        <w:rPr>
          <w:highlight w:val="yellow"/>
        </w:rPr>
        <w:t>…</w:t>
      </w:r>
    </w:p>
    <w:p w14:paraId="029C0BCF" w14:textId="6DEDC54C" w:rsidR="0041730C" w:rsidRDefault="0041730C" w:rsidP="00E0556F">
      <w:r w:rsidRPr="00A47A44">
        <w:rPr>
          <w:shd w:val="clear" w:color="auto" w:fill="FFC000" w:themeFill="accent4"/>
        </w:rPr>
        <w:t xml:space="preserve">A socio-technical perspective has the potential to address all three domains of HIT patient safety as proposed by </w:t>
      </w:r>
      <w:r w:rsidRPr="00A47A44">
        <w:rPr>
          <w:shd w:val="clear" w:color="auto" w:fill="FFC000" w:themeFill="accent4"/>
        </w:rPr>
        <w:fldChar w:fldCharType="begin" w:fldLock="1"/>
      </w:r>
      <w:r w:rsidR="00117A92" w:rsidRPr="00A47A44">
        <w:rPr>
          <w:shd w:val="clear" w:color="auto" w:fill="FFC000" w:themeFill="accent4"/>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 (2016)","plainTextFormattedCitation":"(Singh and Sittig, 2016)","previouslyFormattedCitation":"(Singh and Sittig, 2016)"},"properties":{"noteIndex":0},"schema":"https://github.com/citation-style-language/schema/raw/master/csl-citation.json"}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Singh and Sittig (2016)</w:t>
      </w:r>
      <w:r w:rsidRPr="00A47A44">
        <w:rPr>
          <w:shd w:val="clear" w:color="auto" w:fill="FFC000" w:themeFill="accent4"/>
        </w:rPr>
        <w:fldChar w:fldCharType="end"/>
      </w:r>
      <w:r w:rsidRPr="00A47A44">
        <w:rPr>
          <w:shd w:val="clear" w:color="auto" w:fill="FFC000" w:themeFill="accent4"/>
        </w:rPr>
        <w:t xml:space="preserve"> - safe HIT, safe use of HIT, and using HIT to improve safety – which is perhaps unsurprising given that it is explicitly a socio-technical model</w:t>
      </w:r>
      <w:r>
        <w:t>.</w:t>
      </w:r>
    </w:p>
    <w:p w14:paraId="1E85DB9E" w14:textId="77777777" w:rsidR="00E0556F" w:rsidRDefault="00E0556F" w:rsidP="00E0556F"/>
    <w:p w14:paraId="6E65432C" w14:textId="3EFFF183" w:rsidR="007B37B8" w:rsidRDefault="007B37B8" w:rsidP="00DE355E">
      <w:pPr>
        <w:pStyle w:val="Heading2"/>
      </w:pPr>
      <w:r>
        <w:t>Emergent patient-safety implications</w:t>
      </w:r>
    </w:p>
    <w:p w14:paraId="09F6EAEB" w14:textId="4B55B15C" w:rsidR="00117A92" w:rsidRDefault="00E0556F" w:rsidP="00670128">
      <w:r w:rsidRPr="00A47A44">
        <w:rPr>
          <w:shd w:val="clear" w:color="auto" w:fill="ED7D31" w:themeFill="accent2"/>
        </w:rPr>
        <w:t>Fifthly</w:t>
      </w:r>
      <w:r w:rsidR="00670128" w:rsidRPr="00A47A44">
        <w:rPr>
          <w:shd w:val="clear" w:color="auto" w:fill="ED7D31" w:themeFill="accent2"/>
        </w:rPr>
        <w:t>, although HITs are being developed to leverage HISs</w:t>
      </w:r>
      <w:r w:rsidR="00861118" w:rsidRPr="00A47A44">
        <w:rPr>
          <w:shd w:val="clear" w:color="auto" w:fill="ED7D31" w:themeFill="accent2"/>
        </w:rPr>
        <w:t xml:space="preserve">, e.g. the internet of things </w:t>
      </w:r>
      <w:r w:rsidR="00861118" w:rsidRPr="00A47A44">
        <w:rPr>
          <w:rFonts w:cstheme="minorHAnsi"/>
          <w:shd w:val="clear" w:color="auto" w:fill="ED7D31" w:themeFill="accent2"/>
        </w:rPr>
        <w:fldChar w:fldCharType="begin" w:fldLock="1"/>
      </w:r>
      <w:r w:rsidR="00861118" w:rsidRPr="00A47A44">
        <w:rPr>
          <w:rFonts w:cstheme="minorHAnsi"/>
          <w:shd w:val="clear" w:color="auto" w:fill="ED7D31" w:themeFill="accent2"/>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861118" w:rsidRPr="00A47A44">
        <w:rPr>
          <w:rFonts w:cstheme="minorHAnsi"/>
          <w:shd w:val="clear" w:color="auto" w:fill="ED7D31" w:themeFill="accent2"/>
        </w:rPr>
        <w:fldChar w:fldCharType="separate"/>
      </w:r>
      <w:r w:rsidR="00861118" w:rsidRPr="00A47A44">
        <w:rPr>
          <w:rFonts w:cstheme="minorHAnsi"/>
          <w:noProof/>
          <w:shd w:val="clear" w:color="auto" w:fill="ED7D31" w:themeFill="accent2"/>
        </w:rPr>
        <w:t>(Wickramasinghe and Bodendorf, 2020)</w:t>
      </w:r>
      <w:r w:rsidR="00861118" w:rsidRPr="00A47A44">
        <w:rPr>
          <w:rFonts w:cstheme="minorHAnsi"/>
          <w:shd w:val="clear" w:color="auto" w:fill="ED7D31" w:themeFill="accent2"/>
        </w:rPr>
        <w:fldChar w:fldCharType="end"/>
      </w:r>
      <w:r w:rsidR="00670128" w:rsidRPr="00A47A44">
        <w:rPr>
          <w:shd w:val="clear" w:color="auto" w:fill="ED7D31" w:themeFill="accent2"/>
        </w:rPr>
        <w:t>, safety considerations are often focused on the HIT in isolation.</w:t>
      </w:r>
      <w:r w:rsidR="00670128">
        <w:t xml:space="preserve"> </w:t>
      </w:r>
      <w:r w:rsidR="00670128" w:rsidRPr="00A47A44">
        <w:rPr>
          <w:shd w:val="clear" w:color="auto" w:fill="92D050"/>
        </w:rPr>
        <w:t>This reductionist approach leads to a myopic view of the HIT’s effects that does not consider the emergent</w:t>
      </w:r>
      <w:r w:rsidR="00A47A44" w:rsidRPr="00A47A44">
        <w:rPr>
          <w:shd w:val="clear" w:color="auto" w:fill="92D050"/>
        </w:rPr>
        <w:t>, patient-safety</w:t>
      </w:r>
      <w:r w:rsidR="00670128" w:rsidRPr="00A47A44">
        <w:rPr>
          <w:shd w:val="clear" w:color="auto" w:fill="92D050"/>
        </w:rPr>
        <w:t xml:space="preserve"> </w:t>
      </w:r>
      <w:r w:rsidR="00A47A44" w:rsidRPr="00A47A44">
        <w:rPr>
          <w:shd w:val="clear" w:color="auto" w:fill="92D050"/>
        </w:rPr>
        <w:t>implications</w:t>
      </w:r>
      <w:r w:rsidR="00670128" w:rsidRPr="00A47A44">
        <w:rPr>
          <w:shd w:val="clear" w:color="auto" w:fill="92D050"/>
        </w:rPr>
        <w:t xml:space="preserve"> of the HIT’s involvement within a HIS.</w:t>
      </w:r>
      <w:r w:rsidR="00117A92">
        <w:t xml:space="preserve"> </w:t>
      </w:r>
      <w:r w:rsidR="00117A92" w:rsidRPr="00A47A44">
        <w:rPr>
          <w:shd w:val="clear" w:color="auto" w:fill="ED7D31" w:themeFill="accent2"/>
        </w:rPr>
        <w:t xml:space="preserve">Healthcare systems are complex with a diversity of organizational forms, interdependence, and feedback effects </w:t>
      </w:r>
      <w:r w:rsidR="00117A92" w:rsidRPr="00A47A44">
        <w:rPr>
          <w:shd w:val="clear" w:color="auto" w:fill="ED7D31" w:themeFill="accent2"/>
        </w:rPr>
        <w:fldChar w:fldCharType="begin" w:fldLock="1"/>
      </w:r>
      <w:r w:rsidR="00861118" w:rsidRPr="00A47A44">
        <w:rPr>
          <w:shd w:val="clear" w:color="auto" w:fill="ED7D31" w:themeFill="accent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Systems","type":"chapter"},"uris":["http://www.mendeley.com/documents/?uuid=82ae3a38-25cc-46ee-9faa-d3f6461be9d3"]}],"mendeley":{"formattedCitation":"(Begun, Zimmerman and Dooley, 2003)","plainTextFormattedCitation":"(Begun, Zimmerman and Dooley, 2003)","previouslyFormattedCitation":"(Begun, Zimmerman and Dooley, 2003)"},"properties":{"noteIndex":0},"schema":"https://github.com/citation-style-language/schema/raw/master/csl-citation.json"}</w:instrText>
      </w:r>
      <w:r w:rsidR="00117A92" w:rsidRPr="00A47A44">
        <w:rPr>
          <w:shd w:val="clear" w:color="auto" w:fill="ED7D31" w:themeFill="accent2"/>
          <w:vertAlign w:val="superscript"/>
        </w:rPr>
        <w:fldChar w:fldCharType="separate"/>
      </w:r>
      <w:r w:rsidR="00117A92" w:rsidRPr="00A47A44">
        <w:rPr>
          <w:noProof/>
          <w:shd w:val="clear" w:color="auto" w:fill="ED7D31" w:themeFill="accent2"/>
        </w:rPr>
        <w:t>(Begun, Zimmerman and Dooley, 2003)</w:t>
      </w:r>
      <w:r w:rsidR="00117A92" w:rsidRPr="00A47A44">
        <w:rPr>
          <w:shd w:val="clear" w:color="auto" w:fill="ED7D31" w:themeFill="accent2"/>
        </w:rPr>
        <w:fldChar w:fldCharType="end"/>
      </w:r>
      <w:r w:rsidR="00117A92" w:rsidRPr="00A47A44">
        <w:rPr>
          <w:shd w:val="clear" w:color="auto" w:fill="ED7D31" w:themeFill="accent2"/>
        </w:rPr>
        <w:t>.</w:t>
      </w:r>
      <w:r w:rsidR="00861118" w:rsidRPr="00A47A44">
        <w:rPr>
          <w:shd w:val="clear" w:color="auto" w:fill="ED7D31" w:themeFill="accent2"/>
        </w:rPr>
        <w:t xml:space="preserve"> They are also </w:t>
      </w:r>
      <w:proofErr w:type="spellStart"/>
      <w:r w:rsidR="00861118" w:rsidRPr="00A47A44">
        <w:rPr>
          <w:shd w:val="clear" w:color="auto" w:fill="ED7D31" w:themeFill="accent2"/>
        </w:rPr>
        <w:t>holarchical</w:t>
      </w:r>
      <w:proofErr w:type="spellEnd"/>
      <w:r w:rsidR="00861118" w:rsidRPr="00A47A44">
        <w:rPr>
          <w:shd w:val="clear" w:color="auto" w:fill="ED7D31" w:themeFill="accent2"/>
        </w:rPr>
        <w:t xml:space="preserve">, like a systems of systems, as exemplified by the </w:t>
      </w:r>
      <w:proofErr w:type="spellStart"/>
      <w:r w:rsidR="00861118" w:rsidRPr="00A47A44">
        <w:rPr>
          <w:shd w:val="clear" w:color="auto" w:fill="ED7D31" w:themeFill="accent2"/>
        </w:rPr>
        <w:t>Heimdall</w:t>
      </w:r>
      <w:proofErr w:type="spellEnd"/>
      <w:r w:rsidR="00861118" w:rsidRPr="00A47A44">
        <w:rPr>
          <w:shd w:val="clear" w:color="auto" w:fill="ED7D31" w:themeFill="accent2"/>
        </w:rPr>
        <w:t xml:space="preserve"> framework of learning health systems </w:t>
      </w:r>
      <w:r w:rsidR="00861118" w:rsidRPr="00A47A44">
        <w:rPr>
          <w:shd w:val="clear" w:color="auto" w:fill="ED7D31" w:themeFill="accent2"/>
        </w:rPr>
        <w:fldChar w:fldCharType="begin" w:fldLock="1"/>
      </w:r>
      <w:r w:rsidR="00751DD1" w:rsidRPr="00A47A44">
        <w:rPr>
          <w:shd w:val="clear" w:color="auto" w:fill="ED7D31" w:themeFill="accent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systems","type":"article-journal","volume":"25"},"uris":["http://www.mendeley.com/documents/?uuid=af1fd605-5aee-4554-ac12-4cfd5a1c095f"]}],"mendeley":{"formattedCitation":"(Mclachlan &lt;i&gt;et al.&lt;/i&gt;, 2018)","plainTextFormattedCitation":"(Mclachlan et al., 2018)","previouslyFormattedCitation":"(Mclachlan &lt;i&gt;et al.&lt;/i&gt;, 2018)"},"properties":{"noteIndex":0},"schema":"https://github.com/citation-style-language/schema/raw/master/csl-citation.json"}</w:instrText>
      </w:r>
      <w:r w:rsidR="00861118" w:rsidRPr="00A47A44">
        <w:rPr>
          <w:shd w:val="clear" w:color="auto" w:fill="ED7D31" w:themeFill="accent2"/>
        </w:rPr>
        <w:fldChar w:fldCharType="separate"/>
      </w:r>
      <w:r w:rsidR="00861118" w:rsidRPr="00A47A44">
        <w:rPr>
          <w:noProof/>
          <w:shd w:val="clear" w:color="auto" w:fill="ED7D31" w:themeFill="accent2"/>
        </w:rPr>
        <w:t xml:space="preserve">(Mclachlan </w:t>
      </w:r>
      <w:r w:rsidR="00861118" w:rsidRPr="00A47A44">
        <w:rPr>
          <w:i/>
          <w:noProof/>
          <w:shd w:val="clear" w:color="auto" w:fill="ED7D31" w:themeFill="accent2"/>
        </w:rPr>
        <w:t>et al.</w:t>
      </w:r>
      <w:r w:rsidR="00861118" w:rsidRPr="00A47A44">
        <w:rPr>
          <w:noProof/>
          <w:shd w:val="clear" w:color="auto" w:fill="ED7D31" w:themeFill="accent2"/>
        </w:rPr>
        <w:t>, 2018)</w:t>
      </w:r>
      <w:r w:rsidR="00861118" w:rsidRPr="00A47A44">
        <w:rPr>
          <w:shd w:val="clear" w:color="auto" w:fill="ED7D31" w:themeFill="accent2"/>
        </w:rPr>
        <w:fldChar w:fldCharType="end"/>
      </w:r>
      <w:r w:rsidR="00253B4B" w:rsidRPr="00A47A44">
        <w:rPr>
          <w:shd w:val="clear" w:color="auto" w:fill="ED7D31" w:themeFill="accent2"/>
        </w:rPr>
        <w:t xml:space="preserve"> and </w:t>
      </w:r>
      <w:r w:rsidR="005E4F8F" w:rsidRPr="00A47A44">
        <w:rPr>
          <w:shd w:val="clear" w:color="auto" w:fill="ED7D31" w:themeFill="accent2"/>
        </w:rPr>
        <w:fldChar w:fldCharType="begin" w:fldLock="1"/>
      </w:r>
      <w:r w:rsidR="005E4F8F" w:rsidRPr="00A47A44">
        <w:rPr>
          <w:shd w:val="clear" w:color="auto" w:fill="ED7D31" w:themeFill="accent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framework","type":"article-journal","volume":"58"},"uris":["http://www.mendeley.com/documents/?uuid=13de0974-40d2-3845-8488-e858c9f15c24"]}],"mendeley":{"formattedCitation":"(Carayon &lt;i&gt;et al.&lt;/i&gt;, 2015)","manualFormatting":"Carayon et al.'s (2015)","plainTextFormattedCitation":"(Carayon et al., 2015)","previouslyFormattedCitation":"(Carayon &lt;i&gt;et al.&lt;/i&gt;, 2015)"},"properties":{"noteIndex":0},"schema":"https://github.com/citation-style-language/schema/raw/master/csl-citation.json"}</w:instrText>
      </w:r>
      <w:r w:rsidR="005E4F8F" w:rsidRPr="00A47A44">
        <w:rPr>
          <w:shd w:val="clear" w:color="auto" w:fill="ED7D31" w:themeFill="accent2"/>
        </w:rPr>
        <w:fldChar w:fldCharType="separate"/>
      </w:r>
      <w:r w:rsidR="005E4F8F" w:rsidRPr="00A47A44">
        <w:rPr>
          <w:noProof/>
          <w:shd w:val="clear" w:color="auto" w:fill="ED7D31" w:themeFill="accent2"/>
        </w:rPr>
        <w:t xml:space="preserve">Carayon </w:t>
      </w:r>
      <w:r w:rsidR="005E4F8F" w:rsidRPr="00A47A44">
        <w:rPr>
          <w:i/>
          <w:noProof/>
          <w:shd w:val="clear" w:color="auto" w:fill="ED7D31" w:themeFill="accent2"/>
        </w:rPr>
        <w:t>et al.</w:t>
      </w:r>
      <w:r w:rsidR="005E4F8F" w:rsidRPr="00A47A44">
        <w:rPr>
          <w:noProof/>
          <w:shd w:val="clear" w:color="auto" w:fill="ED7D31" w:themeFill="accent2"/>
        </w:rPr>
        <w:t>'s (2015)</w:t>
      </w:r>
      <w:r w:rsidR="005E4F8F" w:rsidRPr="00A47A44">
        <w:rPr>
          <w:shd w:val="clear" w:color="auto" w:fill="ED7D31" w:themeFill="accent2"/>
        </w:rPr>
        <w:fldChar w:fldCharType="end"/>
      </w:r>
      <w:r w:rsidR="00253B4B" w:rsidRPr="00A47A44">
        <w:rPr>
          <w:shd w:val="clear" w:color="auto" w:fill="ED7D31" w:themeFill="accent2"/>
        </w:rPr>
        <w:t xml:space="preserve"> model of </w:t>
      </w:r>
      <w:r w:rsidR="005E4F8F" w:rsidRPr="00A47A44">
        <w:rPr>
          <w:shd w:val="clear" w:color="auto" w:fill="ED7D31" w:themeFill="accent2"/>
        </w:rPr>
        <w:t>workplace safety</w:t>
      </w:r>
      <w:r w:rsidR="00B43190" w:rsidRPr="00A47A44">
        <w:rPr>
          <w:shd w:val="clear" w:color="auto" w:fill="5B9BD5" w:themeFill="accent1"/>
        </w:rPr>
        <w:t xml:space="preserve">. </w:t>
      </w:r>
      <w:r w:rsidR="00A47A44">
        <w:rPr>
          <w:shd w:val="clear" w:color="auto" w:fill="5B9BD5" w:themeFill="accent1"/>
        </w:rPr>
        <w:t xml:space="preserve">We recommend a </w:t>
      </w:r>
      <w:r w:rsidR="001F1127">
        <w:rPr>
          <w:shd w:val="clear" w:color="auto" w:fill="5B9BD5" w:themeFill="accent1"/>
        </w:rPr>
        <w:t>systems</w:t>
      </w:r>
      <w:r w:rsidR="00A47A44" w:rsidRPr="00A47A44">
        <w:rPr>
          <w:shd w:val="clear" w:color="auto" w:fill="5B9BD5" w:themeFill="accent1"/>
        </w:rPr>
        <w:t xml:space="preserve"> and </w:t>
      </w:r>
      <w:proofErr w:type="spellStart"/>
      <w:r w:rsidR="00A47A44" w:rsidRPr="00A47A44">
        <w:rPr>
          <w:shd w:val="clear" w:color="auto" w:fill="5B9BD5" w:themeFill="accent1"/>
        </w:rPr>
        <w:t>holarchical</w:t>
      </w:r>
      <w:proofErr w:type="spellEnd"/>
      <w:r w:rsidR="00A47A44" w:rsidRPr="00A47A44">
        <w:rPr>
          <w:shd w:val="clear" w:color="auto" w:fill="5B9BD5" w:themeFill="accent1"/>
        </w:rPr>
        <w:t xml:space="preserve"> conceptualisation of </w:t>
      </w:r>
      <w:r w:rsidR="00A47A44">
        <w:rPr>
          <w:shd w:val="clear" w:color="auto" w:fill="5B9BD5" w:themeFill="accent1"/>
        </w:rPr>
        <w:t xml:space="preserve">healthcare </w:t>
      </w:r>
      <w:r w:rsidR="00A47A44" w:rsidRPr="00A47A44">
        <w:rPr>
          <w:shd w:val="clear" w:color="auto" w:fill="5B9BD5" w:themeFill="accent1"/>
        </w:rPr>
        <w:t xml:space="preserve">processes and patient-safety implications </w:t>
      </w:r>
      <w:r w:rsidR="00A47A44">
        <w:rPr>
          <w:shd w:val="clear" w:color="auto" w:fill="5B9BD5" w:themeFill="accent1"/>
        </w:rPr>
        <w:t xml:space="preserve">to complement the </w:t>
      </w:r>
      <w:r w:rsidR="00B43190" w:rsidRPr="00A47A44">
        <w:rPr>
          <w:shd w:val="clear" w:color="auto" w:fill="5B9BD5" w:themeFill="accent1"/>
        </w:rPr>
        <w:t xml:space="preserve">complex, </w:t>
      </w:r>
      <w:proofErr w:type="spellStart"/>
      <w:r w:rsidR="00B43190" w:rsidRPr="00A47A44">
        <w:rPr>
          <w:shd w:val="clear" w:color="auto" w:fill="5B9BD5" w:themeFill="accent1"/>
        </w:rPr>
        <w:t>holarchical</w:t>
      </w:r>
      <w:proofErr w:type="spellEnd"/>
      <w:r w:rsidR="00B43190" w:rsidRPr="00A47A44">
        <w:rPr>
          <w:shd w:val="clear" w:color="auto" w:fill="5B9BD5" w:themeFill="accent1"/>
        </w:rPr>
        <w:t xml:space="preserve"> structure of healthcare</w:t>
      </w:r>
      <w:r w:rsidR="00B43190">
        <w:t>.</w:t>
      </w:r>
    </w:p>
    <w:p w14:paraId="19680DAC" w14:textId="3CE2CF04" w:rsidR="00751DD1" w:rsidRDefault="001F1127" w:rsidP="00670128">
      <w:r>
        <w:rPr>
          <w:shd w:val="clear" w:color="auto" w:fill="5B9BD5" w:themeFill="accent1"/>
        </w:rPr>
        <w:t xml:space="preserve">To this end, </w:t>
      </w:r>
      <w:r w:rsidR="00751DD1" w:rsidRPr="00A47A44">
        <w:rPr>
          <w:shd w:val="clear" w:color="auto" w:fill="5B9BD5" w:themeFill="accent1"/>
        </w:rPr>
        <w:fldChar w:fldCharType="begin" w:fldLock="1"/>
      </w:r>
      <w:r w:rsidR="00B74905"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2009a)","manualFormatting":"Haimes (2009a)","plainTextFormattedCitation":"(Haimes, 2009a)","previouslyFormattedCitation":"(Haimes, 2009a)"},"properties":{"noteIndex":0},"schema":"https://github.com/citation-style-language/schema/raw/master/csl-citation.json"}</w:instrText>
      </w:r>
      <w:r w:rsidR="00751DD1" w:rsidRPr="00A47A44">
        <w:rPr>
          <w:shd w:val="clear" w:color="auto" w:fill="5B9BD5" w:themeFill="accent1"/>
        </w:rPr>
        <w:fldChar w:fldCharType="separate"/>
      </w:r>
      <w:r w:rsidR="00B74905" w:rsidRPr="00A47A44">
        <w:rPr>
          <w:noProof/>
          <w:shd w:val="clear" w:color="auto" w:fill="5B9BD5" w:themeFill="accent1"/>
        </w:rPr>
        <w:t>Haimes</w:t>
      </w:r>
      <w:r w:rsidR="00751DD1" w:rsidRPr="00A47A44">
        <w:rPr>
          <w:noProof/>
          <w:shd w:val="clear" w:color="auto" w:fill="5B9BD5" w:themeFill="accent1"/>
        </w:rPr>
        <w:t xml:space="preserve"> </w:t>
      </w:r>
      <w:r w:rsidR="00B74905" w:rsidRPr="00A47A44">
        <w:rPr>
          <w:noProof/>
          <w:shd w:val="clear" w:color="auto" w:fill="5B9BD5" w:themeFill="accent1"/>
        </w:rPr>
        <w:t>(</w:t>
      </w:r>
      <w:r w:rsidR="00751DD1" w:rsidRPr="00A47A44">
        <w:rPr>
          <w:noProof/>
          <w:shd w:val="clear" w:color="auto" w:fill="5B9BD5" w:themeFill="accent1"/>
        </w:rPr>
        <w:t>2009a)</w:t>
      </w:r>
      <w:r w:rsidR="00751DD1" w:rsidRPr="00A47A44">
        <w:rPr>
          <w:shd w:val="clear" w:color="auto" w:fill="5B9BD5" w:themeFill="accent1"/>
        </w:rPr>
        <w:fldChar w:fldCharType="end"/>
      </w:r>
      <w:r w:rsidR="00751DD1" w:rsidRPr="00A47A44">
        <w:rPr>
          <w:shd w:val="clear" w:color="auto" w:fill="5B9BD5" w:themeFill="accent1"/>
        </w:rPr>
        <w:t xml:space="preserve"> </w:t>
      </w:r>
      <w:r w:rsidR="00B74905" w:rsidRPr="00A47A44">
        <w:rPr>
          <w:shd w:val="clear" w:color="auto" w:fill="5B9BD5" w:themeFill="accent1"/>
        </w:rPr>
        <w:t>describes a complexity definition of risk, which would be essential to a systems-based discussion of patient safety. Of particular note is a systems-based conceptualisation of resilience as a variable state of a system whose variability is the</w:t>
      </w:r>
      <w:r>
        <w:rPr>
          <w:shd w:val="clear" w:color="auto" w:fill="5B9BD5" w:themeFill="accent1"/>
        </w:rPr>
        <w:t xml:space="preserve"> key</w:t>
      </w:r>
      <w:r w:rsidR="00B74905" w:rsidRPr="00A47A44">
        <w:rPr>
          <w:shd w:val="clear" w:color="auto" w:fill="5B9BD5" w:themeFill="accent1"/>
        </w:rPr>
        <w:t xml:space="preserve"> performative and protective feature </w:t>
      </w:r>
      <w:r w:rsidR="00751DD1" w:rsidRPr="00A47A44">
        <w:rPr>
          <w:shd w:val="clear" w:color="auto" w:fill="5B9BD5" w:themeFill="accent1"/>
        </w:rPr>
        <w:fldChar w:fldCharType="begin" w:fldLock="1"/>
      </w:r>
      <w:r w:rsidR="00427ACF">
        <w:rPr>
          <w:shd w:val="clear" w:color="auto" w:fill="5B9BD5" w:themeFill="accent1"/>
        </w:rPr>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Systems","type":"article-journal","volume":"29"},"uris":["http://www.mendeley.com/documents/?uuid=2af15e7f-ed46-4772-bbde-8e15f46ccbf9"]}],"mendeley":{"formattedCitation":"(Haimes, 2009b)","plainTextFormattedCitation":"(Haimes, 2009b)","previouslyFormattedCitation":"(Haimes, 2009b)"},"properties":{"noteIndex":0},"schema":"https://github.com/citation-style-language/schema/raw/master/csl-citation.json"}</w:instrText>
      </w:r>
      <w:r w:rsidR="00751DD1" w:rsidRPr="00A47A44">
        <w:rPr>
          <w:shd w:val="clear" w:color="auto" w:fill="5B9BD5" w:themeFill="accent1"/>
        </w:rPr>
        <w:fldChar w:fldCharType="separate"/>
      </w:r>
      <w:r w:rsidR="00751DD1" w:rsidRPr="00A47A44">
        <w:rPr>
          <w:noProof/>
          <w:shd w:val="clear" w:color="auto" w:fill="5B9BD5" w:themeFill="accent1"/>
        </w:rPr>
        <w:t>(Haimes, 2009b)</w:t>
      </w:r>
      <w:r w:rsidR="00751DD1" w:rsidRPr="00A47A44">
        <w:rPr>
          <w:shd w:val="clear" w:color="auto" w:fill="5B9BD5" w:themeFill="accent1"/>
        </w:rPr>
        <w:fldChar w:fldCharType="end"/>
      </w:r>
      <w:r w:rsidR="00B74905">
        <w:t>.</w:t>
      </w:r>
      <w:r>
        <w:t xml:space="preserve"> </w:t>
      </w:r>
      <w:r w:rsidR="00427ACF" w:rsidRPr="00427ACF">
        <w:rPr>
          <w:shd w:val="clear" w:color="auto" w:fill="5B9BD5" w:themeFill="accent1"/>
        </w:rPr>
        <w:t>Practically, we recommend</w:t>
      </w:r>
      <w:r w:rsidRPr="00427ACF">
        <w:rPr>
          <w:shd w:val="clear" w:color="auto" w:fill="5B9BD5" w:themeFill="accent1"/>
        </w:rPr>
        <w:t xml:space="preserve"> the aforementioned safety cases and gradual approval of medical devices </w:t>
      </w:r>
      <w:r w:rsidR="00427ACF" w:rsidRPr="00427ACF">
        <w:rPr>
          <w:shd w:val="clear" w:color="auto" w:fill="5B9BD5" w:themeFill="accent1"/>
        </w:rPr>
        <w:t>as</w:t>
      </w:r>
      <w:r w:rsidRPr="00427ACF">
        <w:rPr>
          <w:shd w:val="clear" w:color="auto" w:fill="5B9BD5" w:themeFill="accent1"/>
        </w:rPr>
        <w:t xml:space="preserve"> appropriate approaches to handle </w:t>
      </w:r>
      <w:r w:rsidR="00427ACF" w:rsidRPr="00427ACF">
        <w:rPr>
          <w:shd w:val="clear" w:color="auto" w:fill="5B9BD5" w:themeFill="accent1"/>
        </w:rPr>
        <w:t xml:space="preserve">the </w:t>
      </w:r>
      <w:r w:rsidRPr="00427ACF">
        <w:rPr>
          <w:shd w:val="clear" w:color="auto" w:fill="5B9BD5" w:themeFill="accent1"/>
        </w:rPr>
        <w:t xml:space="preserve">limited capacity to predict the behaviour of </w:t>
      </w:r>
      <w:r w:rsidR="00427ACF" w:rsidRPr="00427ACF">
        <w:rPr>
          <w:shd w:val="clear" w:color="auto" w:fill="5B9BD5" w:themeFill="accent1"/>
        </w:rPr>
        <w:t>complex systems</w:t>
      </w:r>
      <w:r w:rsidRPr="00427ACF">
        <w:rPr>
          <w:shd w:val="clear" w:color="auto" w:fill="5B9BD5" w:themeFill="accent1"/>
        </w:rPr>
        <w:t xml:space="preserve"> </w:t>
      </w:r>
      <w:r w:rsidR="00427ACF" w:rsidRPr="00427ACF">
        <w:rPr>
          <w:shd w:val="clear" w:color="auto" w:fill="5B9BD5" w:themeFill="accent1"/>
        </w:rPr>
        <w:fldChar w:fldCharType="begin" w:fldLock="1"/>
      </w:r>
      <w:r w:rsidR="00E014A9">
        <w:rPr>
          <w:shd w:val="clear" w:color="auto" w:fill="5B9BD5" w:themeFill="accent1"/>
        </w:rPr>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dynamics","type":"article-journal","volume":"72"},"uris":["http://www.mendeley.com/documents/?uuid=037df571-98fd-4510-a6a9-a988db73c496"]}],"mendeley":{"formattedCitation":"(Hilborn, 2004)","plainTextFormattedCitation":"(Hilborn, 2004)","previouslyFormattedCitation":"(Hilborn, 2004)"},"properties":{"noteIndex":0},"schema":"https://github.com/citation-style-language/schema/raw/master/csl-citation.json"}</w:instrText>
      </w:r>
      <w:r w:rsidR="00427ACF" w:rsidRPr="00427ACF">
        <w:rPr>
          <w:shd w:val="clear" w:color="auto" w:fill="5B9BD5" w:themeFill="accent1"/>
        </w:rPr>
        <w:fldChar w:fldCharType="separate"/>
      </w:r>
      <w:r w:rsidR="00427ACF" w:rsidRPr="00427ACF">
        <w:rPr>
          <w:noProof/>
          <w:shd w:val="clear" w:color="auto" w:fill="5B9BD5" w:themeFill="accent1"/>
        </w:rPr>
        <w:t>(Hilborn, 2004)</w:t>
      </w:r>
      <w:r w:rsidR="00427ACF" w:rsidRPr="00427ACF">
        <w:rPr>
          <w:shd w:val="clear" w:color="auto" w:fill="5B9BD5" w:themeFill="accent1"/>
        </w:rPr>
        <w:fldChar w:fldCharType="end"/>
      </w:r>
      <w:r w:rsidR="00427ACF">
        <w:t>.</w:t>
      </w:r>
      <w:r w:rsidR="00E7485A" w:rsidRPr="00E7485A">
        <w:rPr>
          <w:shd w:val="clear" w:color="auto" w:fill="ED7D31" w:themeFill="accent2"/>
        </w:rPr>
        <w:t xml:space="preserve"> </w:t>
      </w:r>
      <w:r w:rsidR="00E7485A" w:rsidRPr="00E7485A">
        <w:rPr>
          <w:shd w:val="clear" w:color="auto" w:fill="FFC000" w:themeFill="accent4"/>
        </w:rPr>
        <w:t xml:space="preserve">Such complexity </w:t>
      </w:r>
      <w:r w:rsidR="00E7485A">
        <w:rPr>
          <w:shd w:val="clear" w:color="auto" w:fill="FFC000" w:themeFill="accent4"/>
        </w:rPr>
        <w:t>approaches</w:t>
      </w:r>
      <w:r w:rsidR="00E7485A" w:rsidRPr="00E7485A">
        <w:rPr>
          <w:shd w:val="clear" w:color="auto" w:fill="FFC000" w:themeFill="accent4"/>
        </w:rPr>
        <w:t xml:space="preserve"> will</w:t>
      </w:r>
      <w:r w:rsidR="00E7485A">
        <w:rPr>
          <w:shd w:val="clear" w:color="auto" w:fill="FFC000" w:themeFill="accent4"/>
        </w:rPr>
        <w:t xml:space="preserve"> also be useful in addressing </w:t>
      </w:r>
      <w:r w:rsidR="00E7485A" w:rsidRPr="00E7485A">
        <w:rPr>
          <w:shd w:val="clear" w:color="auto" w:fill="FFC000" w:themeFill="accent4"/>
        </w:rPr>
        <w:t xml:space="preserve">the question of how these </w:t>
      </w:r>
      <w:r w:rsidR="00E7485A">
        <w:rPr>
          <w:shd w:val="clear" w:color="auto" w:fill="FFC000" w:themeFill="accent4"/>
        </w:rPr>
        <w:t xml:space="preserve">new and emerging </w:t>
      </w:r>
      <w:r w:rsidR="00E7485A" w:rsidRPr="00E7485A">
        <w:rPr>
          <w:shd w:val="clear" w:color="auto" w:fill="FFC000" w:themeFill="accent4"/>
        </w:rPr>
        <w:t>challenges will interact with the existing challenges alluded to in Section 1</w:t>
      </w:r>
      <w:r w:rsidR="00E7485A">
        <w:t>.</w:t>
      </w:r>
    </w:p>
    <w:p w14:paraId="3255567E" w14:textId="4722609D" w:rsidR="00751DD1" w:rsidRDefault="00751DD1" w:rsidP="00670128"/>
    <w:p w14:paraId="2E53CCD1" w14:textId="77777777" w:rsidR="00117A92" w:rsidRDefault="00117A92" w:rsidP="00E0556F"/>
    <w:p w14:paraId="0C383290" w14:textId="1A6734CE" w:rsidR="007B37B8" w:rsidRDefault="007B37B8" w:rsidP="00DE355E">
      <w:pPr>
        <w:pStyle w:val="Heading2"/>
      </w:pPr>
      <w:r>
        <w:t>Solutionism</w:t>
      </w:r>
    </w:p>
    <w:p w14:paraId="2362287F" w14:textId="2B0CFC55" w:rsidR="00670128" w:rsidRDefault="00E0556F" w:rsidP="00670128">
      <w:r w:rsidRPr="00A47A44">
        <w:rPr>
          <w:shd w:val="clear" w:color="auto" w:fill="ED7D31" w:themeFill="accent2"/>
        </w:rPr>
        <w:t>Sixthly</w:t>
      </w:r>
      <w:r w:rsidR="00670128" w:rsidRPr="00A47A44">
        <w:rPr>
          <w:shd w:val="clear" w:color="auto" w:fill="ED7D31" w:themeFill="accent2"/>
        </w:rPr>
        <w:t xml:space="preserve">, and related to the challenge of reductionism, is solutionism, which is an ideology that </w:t>
      </w:r>
      <w:r w:rsidR="00DF5C59" w:rsidRPr="00A47A44">
        <w:rPr>
          <w:shd w:val="clear" w:color="auto" w:fill="ED7D31" w:themeFill="accent2"/>
        </w:rPr>
        <w:t xml:space="preserve">inappropriately </w:t>
      </w:r>
      <w:r w:rsidR="00670128" w:rsidRPr="00A47A44">
        <w:rPr>
          <w:shd w:val="clear" w:color="auto" w:fill="ED7D31" w:themeFill="accent2"/>
        </w:rPr>
        <w:t>recasts “</w:t>
      </w:r>
      <w:r w:rsidR="00670128" w:rsidRPr="00A47A44">
        <w:rPr>
          <w:i/>
          <w:shd w:val="clear" w:color="auto" w:fill="ED7D31" w:themeFill="accent2"/>
        </w:rPr>
        <w:t xml:space="preserve">complex social situations…as neatly defined problems with definite, computable solutions…if only the right </w:t>
      </w:r>
      <w:r w:rsidR="00670128" w:rsidRPr="00A47A44">
        <w:rPr>
          <w:shd w:val="clear" w:color="auto" w:fill="ED7D31" w:themeFill="accent2"/>
        </w:rPr>
        <w:t>[technologies]</w:t>
      </w:r>
      <w:r w:rsidR="00670128" w:rsidRPr="00A47A44">
        <w:rPr>
          <w:i/>
          <w:shd w:val="clear" w:color="auto" w:fill="ED7D31" w:themeFill="accent2"/>
        </w:rPr>
        <w:t xml:space="preserve"> are in place”</w:t>
      </w:r>
      <w:r w:rsidR="00670128" w:rsidRPr="00A47A44">
        <w:rPr>
          <w:shd w:val="clear" w:color="auto" w:fill="ED7D31" w:themeFill="accent2"/>
        </w:rPr>
        <w:t xml:space="preserve">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(Morozov, 2013)</w:t>
      </w:r>
      <w:r w:rsidR="00670128" w:rsidRPr="00A47A44">
        <w:rPr>
          <w:shd w:val="clear" w:color="auto" w:fill="ED7D31" w:themeFill="accent2"/>
        </w:rPr>
        <w:fldChar w:fldCharType="end"/>
      </w:r>
      <w:r w:rsidR="00670128" w:rsidRPr="00A47A44">
        <w:rPr>
          <w:shd w:val="clear" w:color="auto" w:fill="ED7D31" w:themeFill="accent2"/>
        </w:rPr>
        <w:t xml:space="preserve">. Examples include diet apps that inappropriately simplify body composition as merely a function of </w:t>
      </w:r>
      <w:r w:rsidR="00DF5C59" w:rsidRPr="00A47A44">
        <w:rPr>
          <w:shd w:val="clear" w:color="auto" w:fill="ED7D31" w:themeFill="accent2"/>
        </w:rPr>
        <w:t>calorie</w:t>
      </w:r>
      <w:r w:rsidR="00670128" w:rsidRPr="00A47A44">
        <w:rPr>
          <w:shd w:val="clear" w:color="auto" w:fill="ED7D31" w:themeFill="accent2"/>
        </w:rPr>
        <w:t xml:space="preserve"> consumption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(Maturo, 2014)</w:t>
      </w:r>
      <w:r w:rsidR="00670128" w:rsidRPr="00A47A44">
        <w:rPr>
          <w:shd w:val="clear" w:color="auto" w:fill="ED7D31" w:themeFill="accent2"/>
        </w:rPr>
        <w:fldChar w:fldCharType="end"/>
      </w:r>
      <w:r w:rsidR="000147EF">
        <w:rPr>
          <w:shd w:val="clear" w:color="auto" w:fill="ED7D31" w:themeFill="accent2"/>
        </w:rPr>
        <w:t>,</w:t>
      </w:r>
      <w:r w:rsidR="00DF5C59" w:rsidRPr="00A47A44">
        <w:rPr>
          <w:shd w:val="clear" w:color="auto" w:fill="ED7D31" w:themeFill="accent2"/>
        </w:rPr>
        <w:t xml:space="preserve"> and </w:t>
      </w:r>
      <w:r w:rsidR="00721E71">
        <w:rPr>
          <w:shd w:val="clear" w:color="auto" w:fill="ED7D31" w:themeFill="accent2"/>
        </w:rPr>
        <w:t xml:space="preserve">the legal and ethical consequences of </w:t>
      </w:r>
      <w:r w:rsidR="00DF5C59" w:rsidRPr="00A47A44">
        <w:rPr>
          <w:shd w:val="clear" w:color="auto" w:fill="ED7D31" w:themeFill="accent2"/>
        </w:rPr>
        <w:t>treatments</w:t>
      </w:r>
      <w:r w:rsidR="00732CE8" w:rsidRPr="00A47A44">
        <w:rPr>
          <w:shd w:val="clear" w:color="auto" w:fill="ED7D31" w:themeFill="accent2"/>
        </w:rPr>
        <w:t xml:space="preserve"> like deep brain stimulation</w:t>
      </w:r>
      <w:r w:rsidR="00DF5C59" w:rsidRPr="00A47A44">
        <w:rPr>
          <w:shd w:val="clear" w:color="auto" w:fill="ED7D31" w:themeFill="accent2"/>
        </w:rPr>
        <w:t xml:space="preserve"> </w:t>
      </w:r>
      <w:r w:rsidR="00DF5C59"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rsidRPr="00A47A44">
        <w:rPr>
          <w:shd w:val="clear" w:color="auto" w:fill="ED7D31" w:themeFill="accent2"/>
        </w:rPr>
        <w:fldChar w:fldCharType="separate"/>
      </w:r>
      <w:r w:rsidR="00351A05" w:rsidRPr="00A47A44">
        <w:rPr>
          <w:noProof/>
          <w:shd w:val="clear" w:color="auto" w:fill="ED7D31" w:themeFill="accent2"/>
        </w:rPr>
        <w:t>(Gardner and Warren, 2019)</w:t>
      </w:r>
      <w:r w:rsidR="00DF5C59" w:rsidRPr="00A47A44">
        <w:rPr>
          <w:shd w:val="clear" w:color="auto" w:fill="ED7D31" w:themeFill="accent2"/>
        </w:rPr>
        <w:fldChar w:fldCharType="end"/>
      </w:r>
      <w:r w:rsidR="00DF5C59" w:rsidRPr="00A47A44">
        <w:rPr>
          <w:shd w:val="clear" w:color="auto" w:fill="ED7D31" w:themeFill="accent2"/>
        </w:rPr>
        <w:t>.</w:t>
      </w:r>
      <w:r w:rsidR="00775EF0">
        <w:t xml:space="preserve"> </w:t>
      </w:r>
      <w:r w:rsidR="00775EF0" w:rsidRPr="00A47A44">
        <w:rPr>
          <w:shd w:val="clear" w:color="auto" w:fill="92D050"/>
        </w:rPr>
        <w:t xml:space="preserve">The implications for patient safety are that </w:t>
      </w:r>
      <w:r w:rsidR="000147EF">
        <w:rPr>
          <w:shd w:val="clear" w:color="auto" w:fill="92D050"/>
        </w:rPr>
        <w:t xml:space="preserve">HIT </w:t>
      </w:r>
      <w:r w:rsidR="00775EF0" w:rsidRPr="00A47A44">
        <w:rPr>
          <w:shd w:val="clear" w:color="auto" w:fill="92D050"/>
        </w:rPr>
        <w:t xml:space="preserve">interventions </w:t>
      </w:r>
      <w:r w:rsidR="00721E71">
        <w:rPr>
          <w:shd w:val="clear" w:color="auto" w:fill="92D050"/>
        </w:rPr>
        <w:t>might be</w:t>
      </w:r>
      <w:r w:rsidR="00775EF0" w:rsidRPr="00A47A44">
        <w:rPr>
          <w:shd w:val="clear" w:color="auto" w:fill="92D050"/>
        </w:rPr>
        <w:t xml:space="preserve"> unfit for the true hazards</w:t>
      </w:r>
      <w:r w:rsidR="00721E71">
        <w:rPr>
          <w:shd w:val="clear" w:color="auto" w:fill="92D050"/>
        </w:rPr>
        <w:t xml:space="preserve"> that they present because of distraction by techno-optimism or technology push</w:t>
      </w:r>
      <w:r w:rsidR="00775EF0">
        <w:t>.</w:t>
      </w:r>
    </w:p>
    <w:p w14:paraId="46560A8E" w14:textId="7A29A565" w:rsidR="007B2B92" w:rsidRDefault="00775EF0" w:rsidP="009D3810">
      <w:r w:rsidRPr="00A47A44">
        <w:rPr>
          <w:shd w:val="clear" w:color="auto" w:fill="5B9BD5" w:themeFill="accent1"/>
        </w:rPr>
        <w:t>In addition to earlier recommendations of adopting socio-technical perspective and a systems approach to conceptualising risk, solutionism can be addresse</w:t>
      </w:r>
      <w:r w:rsidR="009D3810" w:rsidRPr="00A47A44">
        <w:rPr>
          <w:shd w:val="clear" w:color="auto" w:fill="5B9BD5" w:themeFill="accent1"/>
        </w:rPr>
        <w:t>d</w:t>
      </w:r>
      <w:r w:rsidRPr="00A47A44">
        <w:rPr>
          <w:shd w:val="clear" w:color="auto" w:fill="5B9BD5" w:themeFill="accent1"/>
        </w:rPr>
        <w:t xml:space="preserve"> by adopting a systems approach to patient safety.</w:t>
      </w:r>
      <w:r w:rsidR="007B2B92" w:rsidRPr="00A47A44">
        <w:rPr>
          <w:shd w:val="clear" w:color="auto" w:fill="5B9BD5" w:themeFill="accent1"/>
        </w:rPr>
        <w:t xml:space="preserve"> </w:t>
      </w:r>
      <w:r w:rsidR="007B2B92" w:rsidRPr="00A47A44">
        <w:rPr>
          <w:shd w:val="clear" w:color="auto" w:fill="5B9BD5" w:themeFill="accent1"/>
        </w:rPr>
        <w:fldChar w:fldCharType="begin" w:fldLock="1"/>
      </w:r>
      <w:r w:rsidR="009D3810" w:rsidRPr="00A47A44">
        <w:rPr>
          <w:shd w:val="clear" w:color="auto" w:fill="5B9BD5" w:themeFill="accent1"/>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delivery","type":"article-journal","volume":"31"},"uris":["http://www.mendeley.com/documents/?uuid=20338070-7ab9-4f20-b073-147222818f9e"]}],"mendeley":{"formattedCitation":"(Ravitz &lt;i&gt;et al.&lt;/i&gt;, 2013)","manualFormatting":"Ravitz et al. (2013)","plainTextFormattedCitation":"(Ravitz et al., 2013)","previouslyFormattedCitation":"(Ravitz &lt;i&gt;et al.&lt;/i&gt;, 2013)"},"properties":{"noteIndex":0},"schema":"https://github.com/citation-style-language/schema/raw/master/csl-citation.json"}</w:instrText>
      </w:r>
      <w:r w:rsidR="007B2B92" w:rsidRPr="00A47A44">
        <w:rPr>
          <w:shd w:val="clear" w:color="auto" w:fill="5B9BD5" w:themeFill="accent1"/>
        </w:rPr>
        <w:fldChar w:fldCharType="separate"/>
      </w:r>
      <w:r w:rsidR="007B2B92" w:rsidRPr="00A47A44">
        <w:rPr>
          <w:noProof/>
          <w:shd w:val="clear" w:color="auto" w:fill="5B9BD5" w:themeFill="accent1"/>
        </w:rPr>
        <w:t>Ravit</w:t>
      </w:r>
      <w:r w:rsidR="007B2B92" w:rsidRPr="00A47A44">
        <w:rPr>
          <w:i/>
          <w:noProof/>
          <w:shd w:val="clear" w:color="auto" w:fill="5B9BD5" w:themeFill="accent1"/>
        </w:rPr>
        <w:t>z et al</w:t>
      </w:r>
      <w:r w:rsidR="007B2B92" w:rsidRPr="00A47A44">
        <w:rPr>
          <w:noProof/>
          <w:shd w:val="clear" w:color="auto" w:fill="5B9BD5" w:themeFill="accent1"/>
        </w:rPr>
        <w:t>. (2013)</w:t>
      </w:r>
      <w:r w:rsidR="007B2B92" w:rsidRPr="00A47A44">
        <w:rPr>
          <w:shd w:val="clear" w:color="auto" w:fill="5B9BD5" w:themeFill="accent1"/>
        </w:rPr>
        <w:fldChar w:fldCharType="end"/>
      </w:r>
      <w:r w:rsidR="007B2B92" w:rsidRPr="00A47A44">
        <w:rPr>
          <w:shd w:val="clear" w:color="auto" w:fill="5B9BD5" w:themeFill="accent1"/>
        </w:rPr>
        <w:t xml:space="preserve"> describe such an approach</w:t>
      </w:r>
      <w:r w:rsidR="009D3810" w:rsidRPr="00A47A44">
        <w:rPr>
          <w:shd w:val="clear" w:color="auto" w:fill="5B9BD5" w:themeFill="accent1"/>
        </w:rPr>
        <w:t xml:space="preserve"> with a case study on medication infusion pumps </w:t>
      </w:r>
      <w:r w:rsidR="007B2B92" w:rsidRPr="00A47A44">
        <w:rPr>
          <w:shd w:val="clear" w:color="auto" w:fill="5B9BD5" w:themeFill="accent1"/>
        </w:rPr>
        <w:t xml:space="preserve">and the Systems Engineering Initiative for Patient Safety model, SEIPS, </w:t>
      </w:r>
      <w:r w:rsidR="009D3810" w:rsidRPr="00A47A44">
        <w:rPr>
          <w:shd w:val="clear" w:color="auto" w:fill="5B9BD5" w:themeFill="accent1"/>
        </w:rPr>
        <w:t xml:space="preserve">provides a framework for understanding the structures, processes and outcomes in healthcare, more generally </w:t>
      </w:r>
      <w:r w:rsidR="009D3810"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2014)","plainTextFormattedCitation":"(Holden et al., 2014)","previouslyFormattedCitation":"(Holden &lt;i&gt;et al.&lt;/i&gt;, 2014)"},"properties":{"noteIndex":0},"schema":"https://github.com/citation-style-language/schema/raw/master/csl-citation.json"}</w:instrText>
      </w:r>
      <w:r w:rsidR="009D3810" w:rsidRPr="00A47A44">
        <w:rPr>
          <w:shd w:val="clear" w:color="auto" w:fill="5B9BD5" w:themeFill="accent1"/>
        </w:rPr>
        <w:fldChar w:fldCharType="separate"/>
      </w:r>
      <w:r w:rsidR="009D3810" w:rsidRPr="00A47A44">
        <w:rPr>
          <w:noProof/>
          <w:shd w:val="clear" w:color="auto" w:fill="5B9BD5" w:themeFill="accent1"/>
        </w:rPr>
        <w:t xml:space="preserve">(Holden </w:t>
      </w:r>
      <w:r w:rsidR="009D3810" w:rsidRPr="00A47A44">
        <w:rPr>
          <w:i/>
          <w:noProof/>
          <w:shd w:val="clear" w:color="auto" w:fill="5B9BD5" w:themeFill="accent1"/>
        </w:rPr>
        <w:t>et al.</w:t>
      </w:r>
      <w:r w:rsidR="009D3810" w:rsidRPr="00A47A44">
        <w:rPr>
          <w:noProof/>
          <w:shd w:val="clear" w:color="auto" w:fill="5B9BD5" w:themeFill="accent1"/>
        </w:rPr>
        <w:t>, 2014)</w:t>
      </w:r>
      <w:r w:rsidR="009D3810" w:rsidRPr="00A47A44">
        <w:rPr>
          <w:shd w:val="clear" w:color="auto" w:fill="5B9BD5" w:themeFill="accent1"/>
        </w:rPr>
        <w:fldChar w:fldCharType="end"/>
      </w:r>
      <w:r w:rsidR="009D3810">
        <w:t>.</w:t>
      </w:r>
      <w:r w:rsidR="000147EF">
        <w:t xml:space="preserve"> </w:t>
      </w:r>
      <w:r w:rsidR="000147EF" w:rsidRPr="000147EF">
        <w:rPr>
          <w:shd w:val="clear" w:color="auto" w:fill="FFC000" w:themeFill="accent4"/>
        </w:rPr>
        <w:t>These approaches</w:t>
      </w:r>
      <w:r w:rsidR="000147EF">
        <w:rPr>
          <w:shd w:val="clear" w:color="auto" w:fill="FFC000" w:themeFill="accent4"/>
        </w:rPr>
        <w:t xml:space="preserve"> can help to sensitise developers and users of HIT to the relationships within healthcare systems that might facilitate unintended consequences.</w:t>
      </w:r>
      <w:r w:rsidR="000147EF" w:rsidRPr="000147EF">
        <w:rPr>
          <w:shd w:val="clear" w:color="auto" w:fill="FFC000" w:themeFill="accent4"/>
        </w:rPr>
        <w:t xml:space="preserve"> </w:t>
      </w:r>
    </w:p>
    <w:p w14:paraId="2AE485E2" w14:textId="77777777" w:rsidR="008267F0" w:rsidRDefault="008267F0" w:rsidP="00D14F7E">
      <w:pPr>
        <w:sectPr w:rsidR="008267F0">
          <w:footerReference w:type="even" r:id="rId13"/>
          <w:footerReference w:type="default" r:id="rId14"/>
          <w:pgSz w:w="11906" w:h="16838"/>
          <w:pgMar w:top="1440" w:right="1440" w:bottom="1440" w:left="1440" w:header="708" w:footer="708" w:gutter="0"/>
          <w:cols w:space="708"/>
          <w:docGrid w:linePitch="360"/>
        </w:sectPr>
      </w:pPr>
    </w:p>
    <w:tbl>
      <w:tblPr>
        <w:tblW w:w="14658" w:type="dxa"/>
        <w:tblLayout w:type="fixed"/>
        <w:tblLook w:val="04A0" w:firstRow="1" w:lastRow="0" w:firstColumn="1" w:lastColumn="0" w:noHBand="0" w:noVBand="1"/>
      </w:tblPr>
      <w:tblGrid>
        <w:gridCol w:w="318"/>
        <w:gridCol w:w="3901"/>
        <w:gridCol w:w="3347"/>
        <w:gridCol w:w="4420"/>
        <w:gridCol w:w="911"/>
        <w:gridCol w:w="851"/>
        <w:gridCol w:w="910"/>
      </w:tblGrid>
      <w:tr w:rsidR="008267F0" w:rsidRPr="00E43A2F" w14:paraId="2AD5A2A1" w14:textId="77777777" w:rsidTr="00012B9A">
        <w:trPr>
          <w:trHeight w:val="284"/>
        </w:trPr>
        <w:tc>
          <w:tcPr>
            <w:tcW w:w="14658" w:type="dxa"/>
            <w:gridSpan w:val="7"/>
            <w:tcBorders>
              <w:bottom w:val="single" w:sz="4" w:space="0" w:color="auto"/>
            </w:tcBorders>
          </w:tcPr>
          <w:p w14:paraId="7FE5B820" w14:textId="5679C887" w:rsidR="008267F0" w:rsidRPr="00E43A2F" w:rsidRDefault="008267F0" w:rsidP="00012B9A">
            <w:pPr>
              <w:spacing w:after="0" w:line="240" w:lineRule="auto"/>
              <w:rPr>
                <w:rFonts w:eastAsia="Times New Roman" w:cstheme="minorHAnsi"/>
                <w:bCs/>
                <w:sz w:val="20"/>
                <w:szCs w:val="20"/>
                <w:lang w:eastAsia="en-GB"/>
              </w:rPr>
            </w:pPr>
            <w:r w:rsidRPr="00E43A2F">
              <w:rPr>
                <w:rFonts w:eastAsia="Times New Roman" w:cstheme="minorHAnsi"/>
                <w:b/>
                <w:bCs/>
                <w:sz w:val="20"/>
                <w:szCs w:val="20"/>
                <w:lang w:eastAsia="en-GB"/>
              </w:rPr>
              <w:lastRenderedPageBreak/>
              <w:t xml:space="preserve">Table </w:t>
            </w:r>
            <w:r w:rsidRPr="008267F0">
              <w:rPr>
                <w:rFonts w:eastAsia="Times New Roman" w:cstheme="minorHAnsi"/>
                <w:b/>
                <w:bCs/>
                <w:sz w:val="20"/>
                <w:szCs w:val="20"/>
                <w:highlight w:val="yellow"/>
                <w:lang w:eastAsia="en-GB"/>
              </w:rPr>
              <w:t>xC.I.R.</w:t>
            </w:r>
            <w:r>
              <w:rPr>
                <w:rFonts w:eastAsia="Times New Roman" w:cstheme="minorHAnsi"/>
                <w:b/>
                <w:bCs/>
                <w:sz w:val="20"/>
                <w:szCs w:val="20"/>
                <w:highlight w:val="yellow"/>
                <w:lang w:eastAsia="en-GB"/>
              </w:rPr>
              <w:t>v1</w:t>
            </w:r>
            <w:r w:rsidRPr="008267F0">
              <w:rPr>
                <w:rFonts w:eastAsia="Times New Roman" w:cstheme="minorHAnsi"/>
                <w:b/>
                <w:bCs/>
                <w:sz w:val="20"/>
                <w:szCs w:val="20"/>
                <w:highlight w:val="yellow"/>
                <w:lang w:eastAsia="en-GB"/>
              </w:rPr>
              <w:t>x</w:t>
            </w:r>
            <w:r w:rsidRPr="00E43A2F">
              <w:rPr>
                <w:rFonts w:eastAsia="Times New Roman" w:cstheme="minorHAnsi"/>
                <w:bCs/>
                <w:sz w:val="20"/>
                <w:szCs w:val="20"/>
                <w:lang w:eastAsia="en-GB"/>
              </w:rPr>
              <w:t xml:space="preserve"> Summary of recommendations to address safety concerns posed by the challenges of new and emerging health information technology. Recommendations are tagged as theoretical, T, and practical, P, in line with the foundational aim of the workshop series.</w:t>
            </w:r>
          </w:p>
        </w:tc>
      </w:tr>
      <w:tr w:rsidR="008267F0" w:rsidRPr="00E43A2F" w14:paraId="6CBDA1A8" w14:textId="77777777" w:rsidTr="00012B9A">
        <w:trPr>
          <w:trHeight w:val="500"/>
        </w:trPr>
        <w:tc>
          <w:tcPr>
            <w:tcW w:w="318" w:type="dxa"/>
            <w:tcBorders>
              <w:bottom w:val="single" w:sz="4" w:space="0" w:color="auto"/>
            </w:tcBorders>
          </w:tcPr>
          <w:p w14:paraId="60CCCFD4" w14:textId="77777777" w:rsidR="008267F0" w:rsidRPr="00E43A2F" w:rsidRDefault="008267F0" w:rsidP="00012B9A">
            <w:pPr>
              <w:spacing w:after="120" w:line="240" w:lineRule="auto"/>
              <w:rPr>
                <w:rFonts w:eastAsia="Times New Roman" w:cstheme="minorHAnsi"/>
                <w:b/>
                <w:bCs/>
                <w:sz w:val="20"/>
                <w:szCs w:val="20"/>
                <w:lang w:eastAsia="en-GB"/>
              </w:rPr>
            </w:pPr>
          </w:p>
        </w:tc>
        <w:tc>
          <w:tcPr>
            <w:tcW w:w="3901" w:type="dxa"/>
            <w:tcBorders>
              <w:bottom w:val="single" w:sz="4" w:space="0" w:color="auto"/>
            </w:tcBorders>
            <w:shd w:val="clear" w:color="auto" w:fill="auto"/>
            <w:vAlign w:val="bottom"/>
            <w:hideMark/>
          </w:tcPr>
          <w:p w14:paraId="2C4DF3F3" w14:textId="77777777" w:rsidR="008267F0" w:rsidRPr="00E43A2F" w:rsidRDefault="008267F0" w:rsidP="00012B9A">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Challenges</w:t>
            </w:r>
          </w:p>
        </w:tc>
        <w:tc>
          <w:tcPr>
            <w:tcW w:w="3347" w:type="dxa"/>
            <w:tcBorders>
              <w:bottom w:val="single" w:sz="4" w:space="0" w:color="auto"/>
            </w:tcBorders>
            <w:shd w:val="clear" w:color="auto" w:fill="auto"/>
            <w:vAlign w:val="bottom"/>
            <w:hideMark/>
          </w:tcPr>
          <w:p w14:paraId="45947563" w14:textId="77777777" w:rsidR="008267F0" w:rsidRPr="00E43A2F" w:rsidRDefault="008267F0" w:rsidP="00012B9A">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Implications for patient safety</w:t>
            </w:r>
          </w:p>
        </w:tc>
        <w:tc>
          <w:tcPr>
            <w:tcW w:w="4420" w:type="dxa"/>
            <w:tcBorders>
              <w:bottom w:val="single" w:sz="4" w:space="0" w:color="auto"/>
            </w:tcBorders>
            <w:shd w:val="clear" w:color="auto" w:fill="auto"/>
            <w:noWrap/>
            <w:vAlign w:val="bottom"/>
            <w:hideMark/>
          </w:tcPr>
          <w:p w14:paraId="6B683513" w14:textId="77777777" w:rsidR="008267F0" w:rsidRPr="00E43A2F" w:rsidRDefault="008267F0" w:rsidP="00012B9A">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Recommendations</w:t>
            </w:r>
          </w:p>
        </w:tc>
        <w:tc>
          <w:tcPr>
            <w:tcW w:w="911" w:type="dxa"/>
            <w:tcBorders>
              <w:bottom w:val="single" w:sz="4" w:space="0" w:color="auto"/>
            </w:tcBorders>
            <w:shd w:val="clear" w:color="auto" w:fill="auto"/>
            <w:vAlign w:val="center"/>
            <w:hideMark/>
          </w:tcPr>
          <w:p w14:paraId="17C8F924" w14:textId="77777777" w:rsidR="008267F0" w:rsidRPr="00E43A2F" w:rsidRDefault="008267F0" w:rsidP="00012B9A">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w:t>
            </w:r>
          </w:p>
          <w:p w14:paraId="140A8876" w14:textId="77777777" w:rsidR="008267F0" w:rsidRPr="00E43A2F" w:rsidRDefault="008267F0" w:rsidP="00012B9A">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w:t>
            </w:r>
          </w:p>
        </w:tc>
        <w:tc>
          <w:tcPr>
            <w:tcW w:w="851" w:type="dxa"/>
            <w:tcBorders>
              <w:bottom w:val="single" w:sz="4" w:space="0" w:color="auto"/>
            </w:tcBorders>
            <w:shd w:val="clear" w:color="auto" w:fill="auto"/>
            <w:vAlign w:val="center"/>
            <w:hideMark/>
          </w:tcPr>
          <w:p w14:paraId="7321DB0D" w14:textId="77777777" w:rsidR="008267F0" w:rsidRPr="00E43A2F" w:rsidRDefault="008267F0" w:rsidP="00012B9A">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 use of HIT</w:t>
            </w:r>
          </w:p>
        </w:tc>
        <w:tc>
          <w:tcPr>
            <w:tcW w:w="910" w:type="dxa"/>
            <w:tcBorders>
              <w:bottom w:val="single" w:sz="4" w:space="0" w:color="auto"/>
            </w:tcBorders>
            <w:shd w:val="clear" w:color="auto" w:fill="auto"/>
            <w:vAlign w:val="center"/>
            <w:hideMark/>
          </w:tcPr>
          <w:p w14:paraId="74DD66CC" w14:textId="77777777" w:rsidR="008267F0" w:rsidRPr="00E43A2F" w:rsidRDefault="008267F0" w:rsidP="00012B9A">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 to</w:t>
            </w:r>
            <w:r w:rsidRPr="00E43A2F">
              <w:rPr>
                <w:rFonts w:eastAsia="Times New Roman" w:cstheme="minorHAnsi"/>
                <w:b/>
                <w:bCs/>
                <w:sz w:val="20"/>
                <w:szCs w:val="20"/>
                <w:lang w:eastAsia="en-GB"/>
              </w:rPr>
              <w:br/>
              <w:t>improve safety</w:t>
            </w:r>
          </w:p>
        </w:tc>
      </w:tr>
      <w:tr w:rsidR="008267F0" w:rsidRPr="00E43A2F" w14:paraId="390CAC2D" w14:textId="77777777" w:rsidTr="00012B9A">
        <w:trPr>
          <w:trHeight w:val="750"/>
        </w:trPr>
        <w:tc>
          <w:tcPr>
            <w:tcW w:w="318" w:type="dxa"/>
            <w:tcBorders>
              <w:top w:val="single" w:sz="4" w:space="0" w:color="auto"/>
            </w:tcBorders>
            <w:shd w:val="clear" w:color="auto" w:fill="DEEAF6" w:themeFill="accent1" w:themeFillTint="33"/>
          </w:tcPr>
          <w:p w14:paraId="41EFAC7B"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1</w:t>
            </w:r>
          </w:p>
        </w:tc>
        <w:tc>
          <w:tcPr>
            <w:tcW w:w="3901" w:type="dxa"/>
            <w:tcBorders>
              <w:top w:val="single" w:sz="4" w:space="0" w:color="auto"/>
            </w:tcBorders>
            <w:shd w:val="clear" w:color="auto" w:fill="DEEAF6" w:themeFill="accent1" w:themeFillTint="33"/>
            <w:hideMark/>
          </w:tcPr>
          <w:p w14:paraId="22B8CDAA"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conceptualise threats to patient safety from non-physical innovations.</w:t>
            </w:r>
          </w:p>
        </w:tc>
        <w:tc>
          <w:tcPr>
            <w:tcW w:w="3347" w:type="dxa"/>
            <w:tcBorders>
              <w:top w:val="single" w:sz="4" w:space="0" w:color="auto"/>
            </w:tcBorders>
            <w:shd w:val="clear" w:color="auto" w:fill="DEEAF6" w:themeFill="accent1" w:themeFillTint="33"/>
            <w:hideMark/>
          </w:tcPr>
          <w:p w14:paraId="26B6CA93"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Inadequate consideration of threats to patient safety.</w:t>
            </w:r>
          </w:p>
        </w:tc>
        <w:tc>
          <w:tcPr>
            <w:tcW w:w="4420" w:type="dxa"/>
            <w:tcBorders>
              <w:top w:val="single" w:sz="4" w:space="0" w:color="auto"/>
            </w:tcBorders>
            <w:shd w:val="clear" w:color="auto" w:fill="DEEAF6" w:themeFill="accent1" w:themeFillTint="33"/>
            <w:hideMark/>
          </w:tcPr>
          <w:p w14:paraId="4D863EBF"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Systems approach to conceptualising </w:t>
            </w:r>
            <w:proofErr w:type="spellStart"/>
            <w:r w:rsidRPr="00E43A2F">
              <w:rPr>
                <w:rFonts w:eastAsia="Times New Roman" w:cstheme="minorHAnsi"/>
                <w:sz w:val="20"/>
                <w:szCs w:val="20"/>
                <w:lang w:eastAsia="en-GB"/>
              </w:rPr>
              <w:t>risk</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Safety </w:t>
            </w:r>
            <w:proofErr w:type="spellStart"/>
            <w:r w:rsidRPr="00E43A2F">
              <w:rPr>
                <w:rFonts w:eastAsia="Times New Roman" w:cstheme="minorHAnsi"/>
                <w:sz w:val="20"/>
                <w:szCs w:val="20"/>
                <w:lang w:eastAsia="en-GB"/>
              </w:rPr>
              <w:t>cases</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Socio-technical </w:t>
            </w:r>
            <w:proofErr w:type="spellStart"/>
            <w:r w:rsidRPr="00E43A2F">
              <w:rPr>
                <w:rFonts w:eastAsia="Times New Roman" w:cstheme="minorHAnsi"/>
                <w:sz w:val="20"/>
                <w:szCs w:val="20"/>
                <w:lang w:eastAsia="en-GB"/>
              </w:rPr>
              <w:t>perspective</w:t>
            </w:r>
            <w:r w:rsidRPr="00E43A2F">
              <w:rPr>
                <w:rFonts w:eastAsia="Times New Roman" w:cstheme="minorHAnsi"/>
                <w:sz w:val="20"/>
                <w:szCs w:val="20"/>
                <w:vertAlign w:val="superscript"/>
                <w:lang w:eastAsia="en-GB"/>
              </w:rPr>
              <w:t>T</w:t>
            </w:r>
            <w:proofErr w:type="spellEnd"/>
          </w:p>
        </w:tc>
        <w:tc>
          <w:tcPr>
            <w:tcW w:w="911" w:type="dxa"/>
            <w:tcBorders>
              <w:top w:val="single" w:sz="4" w:space="0" w:color="auto"/>
            </w:tcBorders>
            <w:shd w:val="clear" w:color="auto" w:fill="DEEAF6" w:themeFill="accent1" w:themeFillTint="33"/>
            <w:vAlign w:val="center"/>
            <w:hideMark/>
          </w:tcPr>
          <w:p w14:paraId="3221FAF5"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top w:val="single" w:sz="4" w:space="0" w:color="auto"/>
            </w:tcBorders>
            <w:shd w:val="clear" w:color="auto" w:fill="DEEAF6" w:themeFill="accent1" w:themeFillTint="33"/>
            <w:vAlign w:val="center"/>
            <w:hideMark/>
          </w:tcPr>
          <w:p w14:paraId="5CA54D1D"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tcBorders>
              <w:top w:val="single" w:sz="4" w:space="0" w:color="auto"/>
            </w:tcBorders>
            <w:shd w:val="clear" w:color="auto" w:fill="DEEAF6" w:themeFill="accent1" w:themeFillTint="33"/>
            <w:vAlign w:val="center"/>
            <w:hideMark/>
          </w:tcPr>
          <w:p w14:paraId="4C8C2FA5"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0963E986" w14:textId="77777777" w:rsidTr="00012B9A">
        <w:trPr>
          <w:trHeight w:val="1250"/>
        </w:trPr>
        <w:tc>
          <w:tcPr>
            <w:tcW w:w="318" w:type="dxa"/>
          </w:tcPr>
          <w:p w14:paraId="36360F04"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2</w:t>
            </w:r>
          </w:p>
        </w:tc>
        <w:tc>
          <w:tcPr>
            <w:tcW w:w="3901" w:type="dxa"/>
            <w:shd w:val="clear" w:color="auto" w:fill="auto"/>
            <w:hideMark/>
          </w:tcPr>
          <w:p w14:paraId="52EAF008"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Unclear how to sensibly integrate and interpret new and voluminous data streams.</w:t>
            </w:r>
          </w:p>
        </w:tc>
        <w:tc>
          <w:tcPr>
            <w:tcW w:w="3347" w:type="dxa"/>
            <w:shd w:val="clear" w:color="auto" w:fill="auto"/>
            <w:hideMark/>
          </w:tcPr>
          <w:p w14:paraId="1A074C1C"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Missed opportunities to use data; Inappropriate use of data; Biased use of data.</w:t>
            </w:r>
          </w:p>
        </w:tc>
        <w:tc>
          <w:tcPr>
            <w:tcW w:w="4420" w:type="dxa"/>
            <w:shd w:val="clear" w:color="auto" w:fill="auto"/>
            <w:hideMark/>
          </w:tcPr>
          <w:p w14:paraId="24FF828C"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Dynamic and causal modelling continuously </w:t>
            </w:r>
            <w:proofErr w:type="spellStart"/>
            <w:r w:rsidRPr="00E43A2F">
              <w:rPr>
                <w:rFonts w:eastAsia="Times New Roman" w:cstheme="minorHAnsi"/>
                <w:sz w:val="20"/>
                <w:szCs w:val="20"/>
                <w:lang w:eastAsia="en-GB"/>
              </w:rPr>
              <w:t>surveilled</w:t>
            </w:r>
            <w:proofErr w:type="spellEnd"/>
            <w:r w:rsidRPr="00E43A2F">
              <w:rPr>
                <w:rFonts w:eastAsia="Times New Roman" w:cstheme="minorHAnsi"/>
                <w:sz w:val="20"/>
                <w:szCs w:val="20"/>
                <w:lang w:eastAsia="en-GB"/>
              </w:rPr>
              <w:t xml:space="preserve"> for </w:t>
            </w:r>
            <w:proofErr w:type="spellStart"/>
            <w:r w:rsidRPr="00E43A2F">
              <w:rPr>
                <w:rFonts w:eastAsia="Times New Roman" w:cstheme="minorHAnsi"/>
                <w:sz w:val="20"/>
                <w:szCs w:val="20"/>
                <w:lang w:eastAsia="en-GB"/>
              </w:rPr>
              <w:t>performance</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Middleware for </w:t>
            </w:r>
            <w:proofErr w:type="spellStart"/>
            <w:r w:rsidRPr="00E43A2F">
              <w:rPr>
                <w:rFonts w:eastAsia="Times New Roman" w:cstheme="minorHAnsi"/>
                <w:sz w:val="20"/>
                <w:szCs w:val="20"/>
                <w:lang w:eastAsia="en-GB"/>
              </w:rPr>
              <w:t>interoperability</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Standards for linkage and exchange of healthcare </w:t>
            </w:r>
            <w:proofErr w:type="spellStart"/>
            <w:r w:rsidRPr="00E43A2F">
              <w:rPr>
                <w:rFonts w:eastAsia="Times New Roman" w:cstheme="minorHAnsi"/>
                <w:sz w:val="20"/>
                <w:szCs w:val="20"/>
                <w:lang w:eastAsia="en-GB"/>
              </w:rPr>
              <w:t>data</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Automated anomaly </w:t>
            </w:r>
            <w:proofErr w:type="spellStart"/>
            <w:r w:rsidRPr="00E43A2F">
              <w:rPr>
                <w:rFonts w:eastAsia="Times New Roman" w:cstheme="minorHAnsi"/>
                <w:sz w:val="20"/>
                <w:szCs w:val="20"/>
                <w:lang w:eastAsia="en-GB"/>
              </w:rPr>
              <w:t>detection</w:t>
            </w:r>
            <w:r w:rsidRPr="00E43A2F">
              <w:rPr>
                <w:rFonts w:eastAsia="Times New Roman" w:cstheme="minorHAnsi"/>
                <w:sz w:val="20"/>
                <w:szCs w:val="20"/>
                <w:vertAlign w:val="superscript"/>
                <w:lang w:eastAsia="en-GB"/>
              </w:rPr>
              <w:t>P</w:t>
            </w:r>
            <w:proofErr w:type="spellEnd"/>
          </w:p>
        </w:tc>
        <w:tc>
          <w:tcPr>
            <w:tcW w:w="911" w:type="dxa"/>
            <w:shd w:val="clear" w:color="auto" w:fill="auto"/>
            <w:vAlign w:val="center"/>
            <w:hideMark/>
          </w:tcPr>
          <w:p w14:paraId="79400D6C"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294FDCE6"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7DA3659"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4984324E" w14:textId="77777777" w:rsidTr="00012B9A">
        <w:trPr>
          <w:trHeight w:val="500"/>
        </w:trPr>
        <w:tc>
          <w:tcPr>
            <w:tcW w:w="318" w:type="dxa"/>
            <w:shd w:val="clear" w:color="auto" w:fill="DEEAF6" w:themeFill="accent1" w:themeFillTint="33"/>
          </w:tcPr>
          <w:p w14:paraId="59027073"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3</w:t>
            </w:r>
          </w:p>
        </w:tc>
        <w:tc>
          <w:tcPr>
            <w:tcW w:w="3901" w:type="dxa"/>
            <w:shd w:val="clear" w:color="auto" w:fill="DEEAF6" w:themeFill="accent1" w:themeFillTint="33"/>
            <w:hideMark/>
          </w:tcPr>
          <w:p w14:paraId="4DA0E383"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Reactive regulatory- and standards-based approaches to safety.</w:t>
            </w:r>
          </w:p>
        </w:tc>
        <w:tc>
          <w:tcPr>
            <w:tcW w:w="3347" w:type="dxa"/>
            <w:shd w:val="clear" w:color="auto" w:fill="DEEAF6" w:themeFill="accent1" w:themeFillTint="33"/>
            <w:hideMark/>
          </w:tcPr>
          <w:p w14:paraId="3044FC78"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Avoidable harm is experienced before mitigations are put in place.</w:t>
            </w:r>
          </w:p>
        </w:tc>
        <w:tc>
          <w:tcPr>
            <w:tcW w:w="4420" w:type="dxa"/>
            <w:shd w:val="clear" w:color="auto" w:fill="DEEAF6" w:themeFill="accent1" w:themeFillTint="33"/>
            <w:hideMark/>
          </w:tcPr>
          <w:p w14:paraId="6196664D"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Gradual approval of medical </w:t>
            </w:r>
            <w:proofErr w:type="spellStart"/>
            <w:r w:rsidRPr="00E43A2F">
              <w:rPr>
                <w:rFonts w:eastAsia="Times New Roman" w:cstheme="minorHAnsi"/>
                <w:sz w:val="20"/>
                <w:szCs w:val="20"/>
                <w:lang w:eastAsia="en-GB"/>
              </w:rPr>
              <w:t>devices</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Systems approach to conceptualising </w:t>
            </w:r>
            <w:proofErr w:type="spellStart"/>
            <w:r w:rsidRPr="00E43A2F">
              <w:rPr>
                <w:rFonts w:eastAsia="Times New Roman" w:cstheme="minorHAnsi"/>
                <w:sz w:val="20"/>
                <w:szCs w:val="20"/>
                <w:lang w:eastAsia="en-GB"/>
              </w:rPr>
              <w:t>risk</w:t>
            </w:r>
            <w:r w:rsidRPr="00E43A2F">
              <w:rPr>
                <w:rFonts w:eastAsia="Times New Roman" w:cstheme="minorHAnsi"/>
                <w:sz w:val="20"/>
                <w:szCs w:val="20"/>
                <w:vertAlign w:val="superscript"/>
                <w:lang w:eastAsia="en-GB"/>
              </w:rPr>
              <w:t>T</w:t>
            </w:r>
            <w:proofErr w:type="spellEnd"/>
          </w:p>
        </w:tc>
        <w:tc>
          <w:tcPr>
            <w:tcW w:w="911" w:type="dxa"/>
            <w:shd w:val="clear" w:color="auto" w:fill="DEEAF6" w:themeFill="accent1" w:themeFillTint="33"/>
            <w:vAlign w:val="center"/>
            <w:hideMark/>
          </w:tcPr>
          <w:p w14:paraId="61DF8897"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5787E2EB"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shd w:val="clear" w:color="auto" w:fill="DEEAF6" w:themeFill="accent1" w:themeFillTint="33"/>
            <w:vAlign w:val="center"/>
            <w:hideMark/>
          </w:tcPr>
          <w:p w14:paraId="131937F3"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1DA4CCAE" w14:textId="77777777" w:rsidTr="00012B9A">
        <w:trPr>
          <w:trHeight w:val="500"/>
        </w:trPr>
        <w:tc>
          <w:tcPr>
            <w:tcW w:w="318" w:type="dxa"/>
          </w:tcPr>
          <w:p w14:paraId="6F8AA9AF"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4</w:t>
            </w:r>
          </w:p>
        </w:tc>
        <w:tc>
          <w:tcPr>
            <w:tcW w:w="3901" w:type="dxa"/>
            <w:shd w:val="clear" w:color="auto" w:fill="auto"/>
            <w:hideMark/>
          </w:tcPr>
          <w:p w14:paraId="359C8620"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build and maintain trust in health information systems that are obscure and complex.</w:t>
            </w:r>
          </w:p>
        </w:tc>
        <w:tc>
          <w:tcPr>
            <w:tcW w:w="3347" w:type="dxa"/>
            <w:shd w:val="clear" w:color="auto" w:fill="auto"/>
            <w:hideMark/>
          </w:tcPr>
          <w:p w14:paraId="50D254AA"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Misinformation and disinformation threaten patient safety.</w:t>
            </w:r>
          </w:p>
        </w:tc>
        <w:tc>
          <w:tcPr>
            <w:tcW w:w="4420" w:type="dxa"/>
            <w:shd w:val="clear" w:color="auto" w:fill="auto"/>
            <w:hideMark/>
          </w:tcPr>
          <w:p w14:paraId="3006CBD6"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Socio-technical </w:t>
            </w:r>
            <w:proofErr w:type="spellStart"/>
            <w:r w:rsidRPr="00E43A2F">
              <w:rPr>
                <w:rFonts w:eastAsia="Times New Roman" w:cstheme="minorHAnsi"/>
                <w:sz w:val="20"/>
                <w:szCs w:val="20"/>
                <w:lang w:eastAsia="en-GB"/>
              </w:rPr>
              <w:t>perspective</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w:t>
            </w:r>
          </w:p>
        </w:tc>
        <w:tc>
          <w:tcPr>
            <w:tcW w:w="911" w:type="dxa"/>
            <w:shd w:val="clear" w:color="auto" w:fill="auto"/>
            <w:vAlign w:val="center"/>
            <w:hideMark/>
          </w:tcPr>
          <w:p w14:paraId="0FC68E90"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4F57D82B"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80CC9C0"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6D7EB11D" w14:textId="77777777" w:rsidTr="00012B9A">
        <w:trPr>
          <w:trHeight w:val="500"/>
        </w:trPr>
        <w:tc>
          <w:tcPr>
            <w:tcW w:w="318" w:type="dxa"/>
            <w:shd w:val="clear" w:color="auto" w:fill="DEEAF6" w:themeFill="accent1" w:themeFillTint="33"/>
          </w:tcPr>
          <w:p w14:paraId="564CE17D"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5</w:t>
            </w:r>
          </w:p>
        </w:tc>
        <w:tc>
          <w:tcPr>
            <w:tcW w:w="3901" w:type="dxa"/>
            <w:shd w:val="clear" w:color="auto" w:fill="DEEAF6" w:themeFill="accent1" w:themeFillTint="33"/>
            <w:hideMark/>
          </w:tcPr>
          <w:p w14:paraId="5E734DAD"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Emergent patient-safety consequences in health information systems.</w:t>
            </w:r>
          </w:p>
        </w:tc>
        <w:tc>
          <w:tcPr>
            <w:tcW w:w="3347" w:type="dxa"/>
            <w:shd w:val="clear" w:color="auto" w:fill="DEEAF6" w:themeFill="accent1" w:themeFillTint="33"/>
            <w:hideMark/>
          </w:tcPr>
          <w:p w14:paraId="0877DAD0"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Hazards cannot be completely foreseen.</w:t>
            </w:r>
          </w:p>
        </w:tc>
        <w:tc>
          <w:tcPr>
            <w:tcW w:w="4420" w:type="dxa"/>
            <w:shd w:val="clear" w:color="auto" w:fill="DEEAF6" w:themeFill="accent1" w:themeFillTint="33"/>
            <w:hideMark/>
          </w:tcPr>
          <w:p w14:paraId="791225CA"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Systems approach to conceptualising </w:t>
            </w:r>
            <w:proofErr w:type="spellStart"/>
            <w:r w:rsidRPr="00E43A2F">
              <w:rPr>
                <w:rFonts w:eastAsia="Times New Roman" w:cstheme="minorHAnsi"/>
                <w:sz w:val="20"/>
                <w:szCs w:val="20"/>
                <w:lang w:eastAsia="en-GB"/>
              </w:rPr>
              <w:t>risk</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Systems approach to patient </w:t>
            </w:r>
            <w:proofErr w:type="spellStart"/>
            <w:r w:rsidRPr="00E43A2F">
              <w:rPr>
                <w:rFonts w:eastAsia="Times New Roman" w:cstheme="minorHAnsi"/>
                <w:sz w:val="20"/>
                <w:szCs w:val="20"/>
                <w:lang w:eastAsia="en-GB"/>
              </w:rPr>
              <w:t>safety</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Safety </w:t>
            </w:r>
            <w:proofErr w:type="spellStart"/>
            <w:r w:rsidRPr="00E43A2F">
              <w:rPr>
                <w:rFonts w:eastAsia="Times New Roman" w:cstheme="minorHAnsi"/>
                <w:sz w:val="20"/>
                <w:szCs w:val="20"/>
                <w:lang w:eastAsia="en-GB"/>
              </w:rPr>
              <w:t>cases</w:t>
            </w:r>
            <w:r w:rsidRPr="00E43A2F">
              <w:rPr>
                <w:rFonts w:eastAsia="Times New Roman" w:cstheme="minorHAnsi"/>
                <w:sz w:val="20"/>
                <w:szCs w:val="20"/>
                <w:vertAlign w:val="superscript"/>
                <w:lang w:eastAsia="en-GB"/>
              </w:rPr>
              <w:t>P</w:t>
            </w:r>
            <w:proofErr w:type="spellEnd"/>
            <w:r w:rsidRPr="00E43A2F">
              <w:rPr>
                <w:rFonts w:eastAsia="Times New Roman" w:cstheme="minorHAnsi"/>
                <w:sz w:val="20"/>
                <w:szCs w:val="20"/>
                <w:lang w:eastAsia="en-GB"/>
              </w:rPr>
              <w:t xml:space="preserve">; Socio-technical </w:t>
            </w:r>
            <w:proofErr w:type="spellStart"/>
            <w:r w:rsidRPr="00E43A2F">
              <w:rPr>
                <w:rFonts w:eastAsia="Times New Roman" w:cstheme="minorHAnsi"/>
                <w:sz w:val="20"/>
                <w:szCs w:val="20"/>
                <w:lang w:eastAsia="en-GB"/>
              </w:rPr>
              <w:t>perspective</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Gradual approval of medical </w:t>
            </w:r>
            <w:proofErr w:type="spellStart"/>
            <w:r w:rsidRPr="00E43A2F">
              <w:rPr>
                <w:rFonts w:eastAsia="Times New Roman" w:cstheme="minorHAnsi"/>
                <w:sz w:val="20"/>
                <w:szCs w:val="20"/>
                <w:lang w:eastAsia="en-GB"/>
              </w:rPr>
              <w:t>devices</w:t>
            </w:r>
            <w:r w:rsidRPr="00E43A2F">
              <w:rPr>
                <w:rFonts w:eastAsia="Times New Roman" w:cstheme="minorHAnsi"/>
                <w:sz w:val="20"/>
                <w:szCs w:val="20"/>
                <w:vertAlign w:val="superscript"/>
                <w:lang w:eastAsia="en-GB"/>
              </w:rPr>
              <w:t>P</w:t>
            </w:r>
            <w:proofErr w:type="spellEnd"/>
          </w:p>
        </w:tc>
        <w:tc>
          <w:tcPr>
            <w:tcW w:w="911" w:type="dxa"/>
            <w:shd w:val="clear" w:color="auto" w:fill="DEEAF6" w:themeFill="accent1" w:themeFillTint="33"/>
            <w:vAlign w:val="center"/>
            <w:hideMark/>
          </w:tcPr>
          <w:p w14:paraId="4840BA7B"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763EE383"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DEEAF6" w:themeFill="accent1" w:themeFillTint="33"/>
            <w:vAlign w:val="center"/>
            <w:hideMark/>
          </w:tcPr>
          <w:p w14:paraId="65AB08D5"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3599F08A" w14:textId="77777777" w:rsidTr="00012B9A">
        <w:trPr>
          <w:trHeight w:val="500"/>
        </w:trPr>
        <w:tc>
          <w:tcPr>
            <w:tcW w:w="318" w:type="dxa"/>
            <w:tcBorders>
              <w:bottom w:val="single" w:sz="4" w:space="0" w:color="auto"/>
            </w:tcBorders>
            <w:shd w:val="clear" w:color="auto" w:fill="auto"/>
          </w:tcPr>
          <w:p w14:paraId="305D884B"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6</w:t>
            </w:r>
          </w:p>
        </w:tc>
        <w:tc>
          <w:tcPr>
            <w:tcW w:w="3901" w:type="dxa"/>
            <w:tcBorders>
              <w:bottom w:val="single" w:sz="4" w:space="0" w:color="auto"/>
            </w:tcBorders>
            <w:shd w:val="clear" w:color="auto" w:fill="auto"/>
            <w:hideMark/>
          </w:tcPr>
          <w:p w14:paraId="0F42684F"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Solutionism inappropriately simplifies problems and predicaments.</w:t>
            </w:r>
          </w:p>
        </w:tc>
        <w:tc>
          <w:tcPr>
            <w:tcW w:w="3347" w:type="dxa"/>
            <w:tcBorders>
              <w:bottom w:val="single" w:sz="4" w:space="0" w:color="auto"/>
            </w:tcBorders>
            <w:shd w:val="clear" w:color="auto" w:fill="auto"/>
            <w:hideMark/>
          </w:tcPr>
          <w:p w14:paraId="01A867FC"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Unfit interventions and assurances are suggested.</w:t>
            </w:r>
          </w:p>
        </w:tc>
        <w:tc>
          <w:tcPr>
            <w:tcW w:w="4420" w:type="dxa"/>
            <w:tcBorders>
              <w:bottom w:val="single" w:sz="4" w:space="0" w:color="auto"/>
            </w:tcBorders>
            <w:shd w:val="clear" w:color="auto" w:fill="auto"/>
            <w:hideMark/>
          </w:tcPr>
          <w:p w14:paraId="34A9D463" w14:textId="77777777" w:rsidR="008267F0" w:rsidRPr="00E43A2F" w:rsidRDefault="008267F0" w:rsidP="00012B9A">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 xml:space="preserve">Socio-technical </w:t>
            </w:r>
            <w:proofErr w:type="spellStart"/>
            <w:r w:rsidRPr="00E43A2F">
              <w:rPr>
                <w:rFonts w:eastAsia="Times New Roman" w:cstheme="minorHAnsi"/>
                <w:sz w:val="20"/>
                <w:szCs w:val="20"/>
                <w:lang w:eastAsia="en-GB"/>
              </w:rPr>
              <w:t>perspective</w:t>
            </w:r>
            <w:r w:rsidRPr="00E43A2F">
              <w:rPr>
                <w:rFonts w:eastAsia="Times New Roman" w:cstheme="minorHAnsi"/>
                <w:sz w:val="20"/>
                <w:szCs w:val="20"/>
                <w:vertAlign w:val="superscript"/>
                <w:lang w:eastAsia="en-GB"/>
              </w:rPr>
              <w:t>T</w:t>
            </w:r>
            <w:proofErr w:type="spellEnd"/>
            <w:r w:rsidRPr="00E43A2F">
              <w:rPr>
                <w:rFonts w:eastAsia="Times New Roman" w:cstheme="minorHAnsi"/>
                <w:sz w:val="20"/>
                <w:szCs w:val="20"/>
                <w:lang w:eastAsia="en-GB"/>
              </w:rPr>
              <w:t xml:space="preserve">; Systems approach to conceptualising </w:t>
            </w:r>
            <w:proofErr w:type="spellStart"/>
            <w:r w:rsidRPr="00E43A2F">
              <w:rPr>
                <w:rFonts w:eastAsia="Times New Roman" w:cstheme="minorHAnsi"/>
                <w:sz w:val="20"/>
                <w:szCs w:val="20"/>
                <w:lang w:eastAsia="en-GB"/>
              </w:rPr>
              <w:t>risk</w:t>
            </w:r>
            <w:r w:rsidRPr="00E43A2F">
              <w:rPr>
                <w:rFonts w:eastAsia="Times New Roman" w:cstheme="minorHAnsi"/>
                <w:sz w:val="20"/>
                <w:szCs w:val="20"/>
                <w:vertAlign w:val="superscript"/>
                <w:lang w:eastAsia="en-GB"/>
              </w:rPr>
              <w:t>T</w:t>
            </w:r>
            <w:proofErr w:type="spellEnd"/>
          </w:p>
        </w:tc>
        <w:tc>
          <w:tcPr>
            <w:tcW w:w="911" w:type="dxa"/>
            <w:tcBorders>
              <w:bottom w:val="single" w:sz="4" w:space="0" w:color="auto"/>
            </w:tcBorders>
            <w:shd w:val="clear" w:color="auto" w:fill="auto"/>
            <w:vAlign w:val="center"/>
            <w:hideMark/>
          </w:tcPr>
          <w:p w14:paraId="7245A963"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bottom w:val="single" w:sz="4" w:space="0" w:color="auto"/>
            </w:tcBorders>
            <w:shd w:val="clear" w:color="auto" w:fill="auto"/>
            <w:vAlign w:val="center"/>
            <w:hideMark/>
          </w:tcPr>
          <w:p w14:paraId="758034FC"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tcBorders>
              <w:bottom w:val="single" w:sz="4" w:space="0" w:color="auto"/>
            </w:tcBorders>
            <w:shd w:val="clear" w:color="auto" w:fill="auto"/>
            <w:vAlign w:val="center"/>
            <w:hideMark/>
          </w:tcPr>
          <w:p w14:paraId="527D8D13" w14:textId="77777777" w:rsidR="008267F0" w:rsidRPr="00E43A2F" w:rsidRDefault="008267F0" w:rsidP="00012B9A">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bl>
    <w:p w14:paraId="4FEDB554" w14:textId="77777777" w:rsidR="008267F0" w:rsidRDefault="008267F0" w:rsidP="00D14F7E">
      <w:pPr>
        <w:sectPr w:rsidR="008267F0" w:rsidSect="008267F0">
          <w:pgSz w:w="16838" w:h="11906" w:orient="landscape"/>
          <w:pgMar w:top="1440" w:right="1440" w:bottom="1440" w:left="1440" w:header="708" w:footer="708" w:gutter="0"/>
          <w:cols w:space="708"/>
          <w:docGrid w:linePitch="360"/>
        </w:sectPr>
      </w:pPr>
    </w:p>
    <w:p w14:paraId="0DCFDB1E" w14:textId="6391155E" w:rsidR="007B37B8" w:rsidRDefault="007B37B8" w:rsidP="00D14F7E"/>
    <w:p w14:paraId="31864611" w14:textId="12705ABB" w:rsidR="00004E11" w:rsidRDefault="00004E11" w:rsidP="00B05D6C"/>
    <w:p w14:paraId="1C12E183" w14:textId="77777777" w:rsidR="00EC546B" w:rsidRDefault="00EC546B" w:rsidP="006D4CAF"/>
    <w:p w14:paraId="4E6C1F67" w14:textId="77777777" w:rsidR="006D4CAF" w:rsidRDefault="006D4CAF" w:rsidP="00F700A2">
      <w:pPr>
        <w:pStyle w:val="Heading1"/>
      </w:pPr>
      <w:r>
        <w:t>Conclusion</w:t>
      </w:r>
    </w:p>
    <w:p w14:paraId="091F891B" w14:textId="6E72119A" w:rsidR="009D0DA8" w:rsidRDefault="00BF48F2" w:rsidP="00E27DC6">
      <w:r>
        <w:t xml:space="preserve">The intention of this article was to begin the process of developing the theoretical and practical foundations of safety informatics, </w:t>
      </w:r>
      <w:r w:rsidR="000C18C4">
        <w:t xml:space="preserve">answering calls for </w:t>
      </w:r>
      <w:r w:rsidR="00E014A9">
        <w:t xml:space="preserve">practical progress in safety science </w:t>
      </w:r>
      <w:r w:rsidR="00E014A9">
        <w:fldChar w:fldCharType="begin" w:fldLock="1"/>
      </w:r>
      <w:r w:rsidR="00E014A9">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Science","type":"article-journal","volume":"126"},"uris":["http://www.mendeley.com/documents/?uuid=99972d8d-196d-4a3a-b777-5ccd4da08d63"]}],"mendeley":{"formattedCitation":"(Rae &lt;i&gt;et al.&lt;/i&gt;, 2020)","plainTextFormattedCitation":"(Rae et al., 2020)","previouslyFormattedCitation":"(Rae &lt;i&gt;et al.&lt;/i&gt;, 2020)"},"properties":{"noteIndex":0},"schema":"https://github.com/citation-style-language/schema/raw/master/csl-citation.json"}</w:instrText>
      </w:r>
      <w:r w:rsidR="00E014A9">
        <w:fldChar w:fldCharType="separate"/>
      </w:r>
      <w:r w:rsidR="00E014A9" w:rsidRPr="00E014A9">
        <w:rPr>
          <w:noProof/>
        </w:rPr>
        <w:t xml:space="preserve">(Rae </w:t>
      </w:r>
      <w:r w:rsidR="00E014A9" w:rsidRPr="00E014A9">
        <w:rPr>
          <w:i/>
          <w:noProof/>
        </w:rPr>
        <w:t>et al.</w:t>
      </w:r>
      <w:r w:rsidR="00E014A9" w:rsidRPr="00E014A9">
        <w:rPr>
          <w:noProof/>
        </w:rPr>
        <w:t>, 2020)</w:t>
      </w:r>
      <w:r w:rsidR="00E014A9">
        <w:fldChar w:fldCharType="end"/>
      </w:r>
      <w:r w:rsidR="00E014A9">
        <w:t xml:space="preserve"> and </w:t>
      </w:r>
      <w:r>
        <w:t xml:space="preserve">a unifying theory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rsidR="004345C6">
        <w:t>. We presented six challenges posed by new and emerging HITs, described the implications for pa</w:t>
      </w:r>
      <w:r w:rsidR="000C18C4">
        <w:t>tient safety, and recommended</w:t>
      </w:r>
      <w:r w:rsidR="004E2BCB">
        <w:t xml:space="preserve"> theoretical and practical mitigations</w:t>
      </w:r>
      <w:r w:rsidR="004345C6">
        <w:t>. These challenges, implications and recommendations were gathered at a workshop of health informatics researchers</w:t>
      </w:r>
      <w:r w:rsidR="004345C6" w:rsidRPr="00AA44BF">
        <w:t xml:space="preserve"> </w:t>
      </w:r>
      <w:r w:rsidR="004345C6">
        <w:t>focused on exploring the theoretical and practical foundations of safety informatics.</w:t>
      </w:r>
      <w:r w:rsidR="004E2BCB">
        <w:t xml:space="preserve"> </w:t>
      </w:r>
      <w:r w:rsidR="00A2296F">
        <w:t xml:space="preserve">Subsequent workshops in our </w:t>
      </w:r>
      <w:r w:rsidR="000C18C4">
        <w:t xml:space="preserve">series </w:t>
      </w:r>
      <w:r w:rsidR="00A2296F">
        <w:t>will address t</w:t>
      </w:r>
      <w:r w:rsidR="00A2296F" w:rsidRPr="00A2296F">
        <w:t>he implications of contemporary safety theory for digital innovation</w:t>
      </w:r>
      <w:r w:rsidR="00A2296F">
        <w:t xml:space="preserve">, sociotechnical evaluation of digital technology, and digital technology designed to improve patient safety </w:t>
      </w:r>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r w:rsidR="00A2296F">
        <w:t>.</w:t>
      </w:r>
      <w:r w:rsidR="004E2BCB">
        <w:t xml:space="preserve"> This article contributes foci for these future discussions as we establish a platform of safety informatics theory </w:t>
      </w:r>
      <w:r w:rsidR="004E2BCB" w:rsidRPr="00284512">
        <w:t>for future research and development</w:t>
      </w:r>
      <w:r w:rsidR="004E2BCB">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sectPr w:rsidR="000B2D7E" w:rsidSect="008267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08-04T10:16:00Z" w:initials="CM">
    <w:p w14:paraId="1EA9AB52" w14:textId="061EEEF9" w:rsidR="00E1344E" w:rsidRDefault="00E1344E">
      <w:pPr>
        <w:pStyle w:val="CommentText"/>
      </w:pPr>
      <w:r>
        <w:rPr>
          <w:rStyle w:val="CommentReference"/>
        </w:rPr>
        <w:annotationRef/>
      </w:r>
      <w:r>
        <w:t xml:space="preserve">Rebecca + David – </w:t>
      </w:r>
    </w:p>
    <w:p w14:paraId="5ACB1D88" w14:textId="7EED04C2" w:rsidR="00E1344E" w:rsidRDefault="00E1344E">
      <w:pPr>
        <w:pStyle w:val="CommentText"/>
      </w:pPr>
    </w:p>
    <w:p w14:paraId="65DC93CA" w14:textId="1C5CED2A" w:rsidR="00E1344E" w:rsidRDefault="00E1344E">
      <w:pPr>
        <w:pStyle w:val="CommentText"/>
      </w:pPr>
      <w:r>
        <w:t>You both commented that this point should be widened to incorporate more than just video consultation.</w:t>
      </w:r>
    </w:p>
    <w:p w14:paraId="34032047" w14:textId="036C4CA3" w:rsidR="00E1344E" w:rsidRDefault="00E1344E">
      <w:pPr>
        <w:pStyle w:val="CommentText"/>
      </w:pPr>
    </w:p>
    <w:p w14:paraId="6CC4C0E2" w14:textId="0E37C6BB" w:rsidR="00E1344E" w:rsidRDefault="00E1344E" w:rsidP="00E1344E">
      <w:pPr>
        <w:pStyle w:val="CommentText"/>
        <w:numPr>
          <w:ilvl w:val="0"/>
          <w:numId w:val="10"/>
        </w:numPr>
      </w:pPr>
      <w:r>
        <w:t xml:space="preserve"> Do you have a citation for making such a statement?</w:t>
      </w:r>
    </w:p>
    <w:p w14:paraId="435FD4CA" w14:textId="1B5FD79B" w:rsidR="00E1344E" w:rsidRDefault="00E1344E" w:rsidP="00E1344E">
      <w:pPr>
        <w:pStyle w:val="CommentText"/>
        <w:numPr>
          <w:ilvl w:val="0"/>
          <w:numId w:val="10"/>
        </w:numPr>
      </w:pPr>
      <w:r>
        <w:t xml:space="preserve"> Alternatively, are you happier if the current statement is prefaced with “For example…”?</w:t>
      </w:r>
    </w:p>
  </w:comment>
  <w:comment w:id="1" w:author="Ciarán McInerney" w:date="2020-08-04T10:20:00Z" w:initials="CM">
    <w:p w14:paraId="4CEC64DD" w14:textId="4BDC8076" w:rsidR="00E1344E" w:rsidRDefault="00E1344E">
      <w:pPr>
        <w:pStyle w:val="CommentText"/>
      </w:pPr>
      <w:r>
        <w:rPr>
          <w:rStyle w:val="CommentReference"/>
        </w:rPr>
        <w:annotationRef/>
      </w:r>
      <w:r>
        <w:t>Rebecca –</w:t>
      </w:r>
    </w:p>
    <w:p w14:paraId="1A737E36" w14:textId="03362709" w:rsidR="00E1344E" w:rsidRDefault="00E1344E">
      <w:pPr>
        <w:pStyle w:val="CommentText"/>
      </w:pPr>
    </w:p>
    <w:p w14:paraId="4F843F17" w14:textId="12A7BB84" w:rsidR="00E1344E" w:rsidRDefault="00E1344E">
      <w:pPr>
        <w:pStyle w:val="CommentText"/>
      </w:pPr>
      <w:r>
        <w:t>You commented that literature on information infrastructures is relevant, here.</w:t>
      </w:r>
    </w:p>
    <w:p w14:paraId="47D183C1" w14:textId="149667BB" w:rsidR="00E1344E" w:rsidRDefault="00E1344E">
      <w:pPr>
        <w:pStyle w:val="CommentText"/>
      </w:pPr>
    </w:p>
    <w:p w14:paraId="69162DD9" w14:textId="4C483D8E" w:rsidR="00E1344E" w:rsidRDefault="00E1344E" w:rsidP="00E1344E">
      <w:pPr>
        <w:pStyle w:val="CommentText"/>
        <w:numPr>
          <w:ilvl w:val="0"/>
          <w:numId w:val="10"/>
        </w:numPr>
      </w:pPr>
      <w:r>
        <w:t xml:space="preserve"> Can you provide a citation and statement, please?</w:t>
      </w:r>
    </w:p>
  </w:comment>
  <w:comment w:id="2" w:author="Ciarán McInerney" w:date="2020-08-04T10:32:00Z" w:initials="CM">
    <w:p w14:paraId="707334F3" w14:textId="26B63FCF" w:rsidR="00256640" w:rsidRDefault="00256640">
      <w:pPr>
        <w:pStyle w:val="CommentText"/>
      </w:pPr>
      <w:r>
        <w:rPr>
          <w:rStyle w:val="CommentReference"/>
        </w:rPr>
        <w:annotationRef/>
      </w:r>
      <w:r>
        <w:t xml:space="preserve">David – </w:t>
      </w:r>
    </w:p>
    <w:p w14:paraId="1B7B844B" w14:textId="0A526EE0" w:rsidR="00256640" w:rsidRDefault="00256640">
      <w:pPr>
        <w:pStyle w:val="CommentText"/>
      </w:pPr>
    </w:p>
    <w:p w14:paraId="177430D0" w14:textId="5286A386" w:rsidR="00256640" w:rsidRDefault="00256640">
      <w:pPr>
        <w:pStyle w:val="CommentText"/>
      </w:pPr>
      <w:r>
        <w:t>You commented that it would be good to mention the fewer regulations for technology than for treatments.</w:t>
      </w:r>
    </w:p>
    <w:p w14:paraId="123C3BA0" w14:textId="7B833F03" w:rsidR="00256640" w:rsidRDefault="00256640">
      <w:pPr>
        <w:pStyle w:val="CommentText"/>
      </w:pPr>
    </w:p>
    <w:p w14:paraId="75153DF0" w14:textId="0B3835F5" w:rsidR="00256640" w:rsidRDefault="00256640" w:rsidP="00256640">
      <w:pPr>
        <w:pStyle w:val="CommentText"/>
        <w:numPr>
          <w:ilvl w:val="0"/>
          <w:numId w:val="10"/>
        </w:numPr>
      </w:pPr>
      <w:r>
        <w:t xml:space="preserve"> Can you provide a citation so that it would succinctly fit in with this list?</w:t>
      </w:r>
    </w:p>
  </w:comment>
  <w:comment w:id="3" w:author="Ciarán McInerney" w:date="2020-08-04T10:34:00Z" w:initials="CM">
    <w:p w14:paraId="2A3893CC" w14:textId="53DB3D2E" w:rsidR="00256640" w:rsidRDefault="00256640">
      <w:pPr>
        <w:pStyle w:val="CommentText"/>
      </w:pPr>
      <w:r>
        <w:rPr>
          <w:rStyle w:val="CommentReference"/>
        </w:rPr>
        <w:annotationRef/>
      </w:r>
      <w:r>
        <w:t xml:space="preserve">Owen – </w:t>
      </w:r>
    </w:p>
    <w:p w14:paraId="2893FE5D" w14:textId="2814F44F" w:rsidR="00256640" w:rsidRDefault="00256640">
      <w:pPr>
        <w:pStyle w:val="CommentText"/>
      </w:pPr>
    </w:p>
    <w:p w14:paraId="46ED494D" w14:textId="5DD7FBBA" w:rsidR="00256640" w:rsidRDefault="00256640">
      <w:pPr>
        <w:pStyle w:val="CommentText"/>
      </w:pPr>
      <w:r>
        <w:t>You commented that we should include a description of the recruitment process.</w:t>
      </w:r>
    </w:p>
    <w:p w14:paraId="41E0E82F" w14:textId="1D139309" w:rsidR="00256640" w:rsidRDefault="00256640">
      <w:pPr>
        <w:pStyle w:val="CommentText"/>
      </w:pPr>
    </w:p>
    <w:p w14:paraId="12FC6F1A" w14:textId="7C7F4EBC" w:rsidR="00256640" w:rsidRDefault="00256640" w:rsidP="00256640">
      <w:pPr>
        <w:pStyle w:val="CommentText"/>
        <w:numPr>
          <w:ilvl w:val="0"/>
          <w:numId w:val="10"/>
        </w:numPr>
      </w:pPr>
      <w:r>
        <w:t xml:space="preserve"> Can you please offer some suggested wording?</w:t>
      </w:r>
    </w:p>
  </w:comment>
  <w:comment w:id="4" w:author="Ciarán McInerney" w:date="2020-08-04T10:37:00Z" w:initials="CM">
    <w:p w14:paraId="4E05D5C6" w14:textId="42A3C34A" w:rsidR="00256640" w:rsidRDefault="00BF0C1C">
      <w:pPr>
        <w:pStyle w:val="CommentText"/>
      </w:pPr>
      <w:r>
        <w:rPr>
          <w:rStyle w:val="CommentReference"/>
        </w:rPr>
        <w:t xml:space="preserve">Dawn + David + Ibrahim + Jon + Niels + </w:t>
      </w:r>
      <w:r w:rsidR="00256640">
        <w:rPr>
          <w:rStyle w:val="CommentReference"/>
        </w:rPr>
        <w:annotationRef/>
      </w:r>
      <w:r>
        <w:rPr>
          <w:rStyle w:val="CommentReference"/>
        </w:rPr>
        <w:t xml:space="preserve">Owen + Rebecca + Richard </w:t>
      </w:r>
      <w:r w:rsidR="00256640">
        <w:t xml:space="preserve">– </w:t>
      </w:r>
    </w:p>
    <w:p w14:paraId="02BCC6F3" w14:textId="58FAD366" w:rsidR="00256640" w:rsidRDefault="00256640">
      <w:pPr>
        <w:pStyle w:val="CommentText"/>
      </w:pPr>
    </w:p>
    <w:p w14:paraId="298CC77F" w14:textId="6EEFF861" w:rsidR="00256640" w:rsidRDefault="00256640">
      <w:pPr>
        <w:pStyle w:val="CommentText"/>
      </w:pPr>
      <w:r>
        <w:t>Richard commented that this criterion needs justification because a GP deciding to use an out-dated fax machine doesn’t seem to fit well with the idea of an emerging technology.</w:t>
      </w:r>
    </w:p>
    <w:p w14:paraId="51B1AA1A" w14:textId="00726034" w:rsidR="00256640" w:rsidRDefault="00256640">
      <w:pPr>
        <w:pStyle w:val="CommentText"/>
      </w:pPr>
      <w:r>
        <w:t>I agree. This example is still an important thing to consider because the introduction of a fax machine into the HIS has consequences</w:t>
      </w:r>
      <w:r w:rsidR="00BF0C1C">
        <w:t xml:space="preserve"> for patient safety</w:t>
      </w:r>
      <w:r>
        <w:t>.</w:t>
      </w:r>
    </w:p>
    <w:p w14:paraId="1CA5A922" w14:textId="2FA989BF" w:rsidR="00256640" w:rsidRDefault="00256640">
      <w:pPr>
        <w:pStyle w:val="CommentText"/>
      </w:pPr>
    </w:p>
    <w:p w14:paraId="16162906" w14:textId="26238CDD" w:rsidR="00256640" w:rsidRDefault="00256640" w:rsidP="00256640">
      <w:pPr>
        <w:pStyle w:val="CommentText"/>
        <w:numPr>
          <w:ilvl w:val="0"/>
          <w:numId w:val="10"/>
        </w:numPr>
      </w:pPr>
      <w:r>
        <w:t xml:space="preserve"> </w:t>
      </w:r>
      <w:r w:rsidR="006A6B07">
        <w:t>Should we change the phrase “new and emerging technology” to “changes to health information systems”?</w:t>
      </w:r>
    </w:p>
  </w:comment>
  <w:comment w:id="5" w:author="Ciarán McInerney" w:date="2020-08-04T10:45:00Z" w:initials="CM">
    <w:p w14:paraId="25EB3164" w14:textId="378314E0" w:rsidR="00BF0C1C" w:rsidRDefault="00BF0C1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2F06D4C9" w14:textId="799364B7" w:rsidR="00BF0C1C" w:rsidRDefault="00BF0C1C">
      <w:pPr>
        <w:pStyle w:val="CommentText"/>
      </w:pPr>
    </w:p>
    <w:p w14:paraId="268BC8B4" w14:textId="60EE2833" w:rsidR="00BF0C1C" w:rsidRDefault="00BF0C1C">
      <w:pPr>
        <w:pStyle w:val="CommentText"/>
      </w:pPr>
      <w:r>
        <w:t>Rebecca commented that all the challenges can be reduced to three:</w:t>
      </w:r>
    </w:p>
    <w:p w14:paraId="1DC04D2D" w14:textId="77777777" w:rsidR="00BF0C1C" w:rsidRDefault="00BF0C1C" w:rsidP="00BF0C1C">
      <w:pPr>
        <w:pStyle w:val="CommentText"/>
        <w:numPr>
          <w:ilvl w:val="0"/>
          <w:numId w:val="11"/>
        </w:numPr>
      </w:pPr>
      <w:r>
        <w:t>An environment where there is rapid innovation, often leveraging existing hardware and adding to or creating HISs</w:t>
      </w:r>
    </w:p>
    <w:p w14:paraId="755D6EFB" w14:textId="77777777" w:rsidR="00BF0C1C" w:rsidRDefault="00BF0C1C" w:rsidP="00BF0C1C">
      <w:pPr>
        <w:pStyle w:val="CommentText"/>
        <w:numPr>
          <w:ilvl w:val="0"/>
          <w:numId w:val="11"/>
        </w:numPr>
      </w:pPr>
      <w:r>
        <w:t>An increasing amount of data being collected, but less consideration of how to integrate, interpret, and present that to both healthcare professionals and patients</w:t>
      </w:r>
    </w:p>
    <w:p w14:paraId="2B891EF2" w14:textId="5C46D574" w:rsidR="00BF0C1C" w:rsidRDefault="00BF0C1C" w:rsidP="00BF0C1C">
      <w:pPr>
        <w:pStyle w:val="CommentText"/>
        <w:numPr>
          <w:ilvl w:val="0"/>
          <w:numId w:val="11"/>
        </w:numPr>
      </w:pPr>
      <w:r>
        <w:t>HITs leading to changes in how patients interact with the healthcare system</w:t>
      </w:r>
    </w:p>
    <w:p w14:paraId="2477BB1A" w14:textId="007ED13D" w:rsidR="00BF0C1C" w:rsidRDefault="00BF0C1C" w:rsidP="00BF0C1C">
      <w:pPr>
        <w:pStyle w:val="CommentText"/>
      </w:pPr>
    </w:p>
    <w:p w14:paraId="1C2DBCEC" w14:textId="3C5E3A13" w:rsidR="00BF0C1C" w:rsidRDefault="00BF0C1C" w:rsidP="00BF0C1C">
      <w:pPr>
        <w:pStyle w:val="CommentText"/>
        <w:numPr>
          <w:ilvl w:val="0"/>
          <w:numId w:val="10"/>
        </w:numPr>
      </w:pPr>
      <w:r>
        <w:t xml:space="preserve"> Should we change this section to reflect the three-challenge format?</w:t>
      </w:r>
    </w:p>
  </w:comment>
  <w:comment w:id="6" w:author="Ciarán McInerney" w:date="2020-08-04T10:48:00Z" w:initials="CM">
    <w:p w14:paraId="6BFA4A68" w14:textId="5E75E395" w:rsidR="00BF0C1C" w:rsidRDefault="00BF0C1C" w:rsidP="00BF0C1C">
      <w:pPr>
        <w:pStyle w:val="CommentText"/>
      </w:pP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9BE166A" w14:textId="23F715B9" w:rsidR="00BF0C1C" w:rsidRDefault="00BF0C1C" w:rsidP="00BF0C1C">
      <w:pPr>
        <w:pStyle w:val="CommentText"/>
      </w:pPr>
    </w:p>
    <w:p w14:paraId="47960E92" w14:textId="25A5ECC0" w:rsidR="00BF0C1C" w:rsidRDefault="00BF0C1C" w:rsidP="00BF0C1C">
      <w:pPr>
        <w:pStyle w:val="CommentText"/>
      </w:pPr>
      <w:r>
        <w:t>Ibrahim commented that it might be good to link each challenges to a theory in patient safety.</w:t>
      </w:r>
    </w:p>
    <w:p w14:paraId="69783A2B" w14:textId="3F96431E" w:rsidR="00BF0C1C" w:rsidRDefault="00BF0C1C" w:rsidP="00BF0C1C">
      <w:pPr>
        <w:pStyle w:val="CommentText"/>
      </w:pPr>
    </w:p>
    <w:p w14:paraId="02999F68" w14:textId="2BC7238E" w:rsidR="00BF0C1C" w:rsidRDefault="00BF0C1C" w:rsidP="00BF0C1C">
      <w:pPr>
        <w:pStyle w:val="CommentText"/>
        <w:numPr>
          <w:ilvl w:val="0"/>
          <w:numId w:val="10"/>
        </w:numPr>
      </w:pPr>
      <w:r>
        <w:t xml:space="preserve"> Is this something we want to do?</w:t>
      </w:r>
    </w:p>
  </w:comment>
  <w:comment w:id="7" w:author="Ciarán McInerney" w:date="2020-08-04T09:41:00Z" w:initials="CM">
    <w:p w14:paraId="060B4ED8" w14:textId="77777777" w:rsidR="003354EE" w:rsidRDefault="00DE355E">
      <w:pPr>
        <w:pStyle w:val="CommentText"/>
      </w:pPr>
      <w:r>
        <w:rPr>
          <w:rStyle w:val="CommentReference"/>
        </w:rPr>
        <w:annotationRef/>
      </w:r>
      <w:r>
        <w:t>David J + Niels –</w:t>
      </w:r>
    </w:p>
    <w:p w14:paraId="11E55969" w14:textId="77777777" w:rsidR="003354EE" w:rsidRDefault="003354EE">
      <w:pPr>
        <w:pStyle w:val="CommentText"/>
      </w:pPr>
    </w:p>
    <w:p w14:paraId="08214CF2" w14:textId="0AB9B870" w:rsidR="00DE355E" w:rsidRDefault="00DE355E">
      <w:pPr>
        <w:pStyle w:val="CommentText"/>
      </w:pPr>
      <w:bookmarkStart w:id="8" w:name="_GoBack"/>
      <w:bookmarkEnd w:id="8"/>
      <w:r>
        <w:t>Please, review and edit as appropriate.</w:t>
      </w:r>
    </w:p>
  </w:comment>
  <w:comment w:id="9" w:author="Ciarán McInerney" w:date="2020-08-04T11:14:00Z" w:initials="CM">
    <w:p w14:paraId="2D92A5B5" w14:textId="06F1A1C7" w:rsidR="003354EE" w:rsidRDefault="003354EE">
      <w:pPr>
        <w:pStyle w:val="CommentText"/>
      </w:pPr>
      <w:r>
        <w:rPr>
          <w:rStyle w:val="CommentReference"/>
        </w:rPr>
        <w:annotationRef/>
      </w:r>
      <w:r>
        <w:t xml:space="preserve">Rebecca – </w:t>
      </w:r>
    </w:p>
    <w:p w14:paraId="57177460" w14:textId="4E080DE8" w:rsidR="003354EE" w:rsidRDefault="003354EE">
      <w:pPr>
        <w:pStyle w:val="CommentText"/>
      </w:pPr>
    </w:p>
    <w:p w14:paraId="260A68BB" w14:textId="69A2269F" w:rsidR="003354EE" w:rsidRDefault="003354EE">
      <w:pPr>
        <w:pStyle w:val="CommentText"/>
      </w:pPr>
      <w:r>
        <w:t>You commented that there are different kinds of trust.</w:t>
      </w:r>
    </w:p>
    <w:p w14:paraId="0CB0930F" w14:textId="44B29FFC" w:rsidR="003354EE" w:rsidRDefault="003354EE">
      <w:pPr>
        <w:pStyle w:val="CommentText"/>
      </w:pPr>
    </w:p>
    <w:p w14:paraId="13B057C6" w14:textId="514880BD" w:rsidR="003354EE" w:rsidRDefault="003354EE" w:rsidP="003354EE">
      <w:pPr>
        <w:pStyle w:val="CommentText"/>
        <w:numPr>
          <w:ilvl w:val="0"/>
          <w:numId w:val="10"/>
        </w:numPr>
      </w:pPr>
      <w:r>
        <w:t xml:space="preserve"> Can you help me to understand what these kinds of trust are and how the distinctions are important for this paper, please?</w:t>
      </w:r>
    </w:p>
  </w:comment>
  <w:comment w:id="10" w:author="Ciarán McInerney" w:date="2020-08-04T11:16:00Z" w:initials="CM">
    <w:p w14:paraId="17839136" w14:textId="530CFB2F" w:rsidR="003354EE" w:rsidRDefault="003354EE">
      <w:pPr>
        <w:pStyle w:val="CommentText"/>
      </w:pPr>
      <w:r>
        <w:rPr>
          <w:rStyle w:val="CommentReference"/>
        </w:rPr>
        <w:annotationRef/>
      </w:r>
      <w:r>
        <w:t xml:space="preserve">Rebecca – </w:t>
      </w:r>
    </w:p>
    <w:p w14:paraId="18779ED8" w14:textId="640E93A7" w:rsidR="003354EE" w:rsidRDefault="003354EE">
      <w:pPr>
        <w:pStyle w:val="CommentText"/>
      </w:pPr>
    </w:p>
    <w:p w14:paraId="1E435825" w14:textId="61C31E6B" w:rsidR="003354EE" w:rsidRDefault="003354EE">
      <w:pPr>
        <w:pStyle w:val="CommentText"/>
      </w:pPr>
      <w:r>
        <w:t>You commented that this statement needs expanding.</w:t>
      </w:r>
    </w:p>
    <w:p w14:paraId="1572E436" w14:textId="77777777" w:rsidR="003354EE" w:rsidRDefault="003354EE">
      <w:pPr>
        <w:pStyle w:val="CommentText"/>
      </w:pPr>
    </w:p>
    <w:p w14:paraId="4AB04C68" w14:textId="10CBBBC5" w:rsidR="003354EE" w:rsidRDefault="003354EE" w:rsidP="003354EE">
      <w:pPr>
        <w:pStyle w:val="CommentText"/>
        <w:numPr>
          <w:ilvl w:val="0"/>
          <w:numId w:val="10"/>
        </w:numPr>
      </w:pPr>
      <w:r>
        <w:t xml:space="preserve"> </w:t>
      </w:r>
      <w:r>
        <w:t>How shall we expand? Is it that the core message is not communicated or is it that an example would clarify the partly communicated message?</w:t>
      </w:r>
    </w:p>
  </w:comment>
  <w:comment w:id="11" w:author="Ciarán McInerney" w:date="2020-08-03T09:40:00Z" w:initials="CM">
    <w:p w14:paraId="7E7AB001" w14:textId="67F48769" w:rsidR="003354EE" w:rsidRDefault="006A08E5">
      <w:pPr>
        <w:pStyle w:val="CommentText"/>
      </w:pPr>
      <w:r>
        <w:rPr>
          <w:rStyle w:val="CommentReference"/>
        </w:rPr>
        <w:annotationRef/>
      </w:r>
      <w:r>
        <w:t>Jon</w:t>
      </w:r>
      <w:r w:rsidR="003354EE">
        <w:t xml:space="preserve"> – </w:t>
      </w:r>
    </w:p>
    <w:p w14:paraId="33A31B51" w14:textId="77777777" w:rsidR="003354EE" w:rsidRDefault="003354EE">
      <w:pPr>
        <w:pStyle w:val="CommentText"/>
      </w:pPr>
    </w:p>
    <w:p w14:paraId="4AE1F1FE" w14:textId="1DC328EB" w:rsidR="006A08E5" w:rsidRDefault="003354EE">
      <w:pPr>
        <w:pStyle w:val="CommentText"/>
      </w:pPr>
      <w:r>
        <w:t>C</w:t>
      </w:r>
      <w:r w:rsidR="006A08E5">
        <w:t>an you please write a succinct definition of the socio-technical perspective and also a description of how such a perspective is good for patient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5FD4CA" w15:done="0"/>
  <w15:commentEx w15:paraId="69162DD9" w15:done="0"/>
  <w15:commentEx w15:paraId="75153DF0" w15:done="0"/>
  <w15:commentEx w15:paraId="12FC6F1A" w15:done="0"/>
  <w15:commentEx w15:paraId="16162906" w15:done="0"/>
  <w15:commentEx w15:paraId="1C2DBCEC" w15:done="0"/>
  <w15:commentEx w15:paraId="02999F68" w15:done="0"/>
  <w15:commentEx w15:paraId="08214CF2" w15:done="0"/>
  <w15:commentEx w15:paraId="13B057C6" w15:done="0"/>
  <w15:commentEx w15:paraId="4AB04C68" w15:done="0"/>
  <w15:commentEx w15:paraId="4AE1F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D53824" w:rsidRDefault="00D53824" w:rsidP="009500EF">
      <w:pPr>
        <w:spacing w:after="0" w:line="240" w:lineRule="auto"/>
      </w:pPr>
      <w:r>
        <w:separator/>
      </w:r>
    </w:p>
  </w:endnote>
  <w:endnote w:type="continuationSeparator" w:id="0">
    <w:p w14:paraId="597E919C" w14:textId="77777777" w:rsidR="00D53824" w:rsidRDefault="00D53824"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9868901"/>
      <w:docPartObj>
        <w:docPartGallery w:val="Page Numbers (Bottom of Page)"/>
        <w:docPartUnique/>
      </w:docPartObj>
    </w:sdtPr>
    <w:sdtEndPr>
      <w:rPr>
        <w:rStyle w:val="PageNumber"/>
      </w:rPr>
    </w:sdtEndPr>
    <w:sdtContent>
      <w:p w14:paraId="527FD71E" w14:textId="15FCBBB0"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826A9" w14:textId="77777777" w:rsidR="00D53824" w:rsidRDefault="00D53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9436906"/>
      <w:docPartObj>
        <w:docPartGallery w:val="Page Numbers (Bottom of Page)"/>
        <w:docPartUnique/>
      </w:docPartObj>
    </w:sdtPr>
    <w:sdtEndPr>
      <w:rPr>
        <w:rStyle w:val="PageNumber"/>
      </w:rPr>
    </w:sdtEndPr>
    <w:sdtContent>
      <w:p w14:paraId="68BC3DDF" w14:textId="0E569416"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354EE">
          <w:rPr>
            <w:rStyle w:val="PageNumber"/>
            <w:noProof/>
          </w:rPr>
          <w:t>5</w:t>
        </w:r>
        <w:r>
          <w:rPr>
            <w:rStyle w:val="PageNumber"/>
          </w:rPr>
          <w:fldChar w:fldCharType="end"/>
        </w:r>
      </w:p>
    </w:sdtContent>
  </w:sdt>
  <w:p w14:paraId="55DF0B2A" w14:textId="77777777" w:rsidR="00D53824" w:rsidRDefault="00D5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D53824" w:rsidRDefault="00D53824" w:rsidP="009500EF">
      <w:pPr>
        <w:spacing w:after="0" w:line="240" w:lineRule="auto"/>
      </w:pPr>
      <w:r>
        <w:separator/>
      </w:r>
    </w:p>
  </w:footnote>
  <w:footnote w:type="continuationSeparator" w:id="0">
    <w:p w14:paraId="7C224640" w14:textId="77777777" w:rsidR="00D53824" w:rsidRDefault="00D53824"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9"/>
  </w:num>
  <w:num w:numId="6">
    <w:abstractNumId w:val="10"/>
  </w:num>
  <w:num w:numId="7">
    <w:abstractNumId w:val="2"/>
  </w:num>
  <w:num w:numId="8">
    <w:abstractNumId w:val="1"/>
  </w:num>
  <w:num w:numId="9">
    <w:abstractNumId w:val="4"/>
  </w:num>
  <w:num w:numId="10">
    <w:abstractNumId w:val="6"/>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18C4"/>
    <w:rsid w:val="000C3285"/>
    <w:rsid w:val="000C464D"/>
    <w:rsid w:val="000C663C"/>
    <w:rsid w:val="000C66E7"/>
    <w:rsid w:val="000C78E4"/>
    <w:rsid w:val="000D3954"/>
    <w:rsid w:val="000D3D43"/>
    <w:rsid w:val="000D63DD"/>
    <w:rsid w:val="000E436C"/>
    <w:rsid w:val="000F086F"/>
    <w:rsid w:val="000F3C4B"/>
    <w:rsid w:val="00106D11"/>
    <w:rsid w:val="00112647"/>
    <w:rsid w:val="00112D1C"/>
    <w:rsid w:val="00116939"/>
    <w:rsid w:val="00117A92"/>
    <w:rsid w:val="00145866"/>
    <w:rsid w:val="00151E77"/>
    <w:rsid w:val="00172673"/>
    <w:rsid w:val="00176F47"/>
    <w:rsid w:val="001809FF"/>
    <w:rsid w:val="001846F5"/>
    <w:rsid w:val="0019077F"/>
    <w:rsid w:val="001C40F4"/>
    <w:rsid w:val="001D250F"/>
    <w:rsid w:val="001D337E"/>
    <w:rsid w:val="001D63F3"/>
    <w:rsid w:val="001E6930"/>
    <w:rsid w:val="001E7B78"/>
    <w:rsid w:val="001F1127"/>
    <w:rsid w:val="001F1F11"/>
    <w:rsid w:val="001F4ED1"/>
    <w:rsid w:val="001F7958"/>
    <w:rsid w:val="00202BF3"/>
    <w:rsid w:val="00203C24"/>
    <w:rsid w:val="002042AB"/>
    <w:rsid w:val="0022366B"/>
    <w:rsid w:val="00224D89"/>
    <w:rsid w:val="002374E8"/>
    <w:rsid w:val="00243BBE"/>
    <w:rsid w:val="00250CF3"/>
    <w:rsid w:val="00253B4B"/>
    <w:rsid w:val="00254B68"/>
    <w:rsid w:val="002555AF"/>
    <w:rsid w:val="00256640"/>
    <w:rsid w:val="0026776C"/>
    <w:rsid w:val="00273975"/>
    <w:rsid w:val="00284465"/>
    <w:rsid w:val="00284512"/>
    <w:rsid w:val="00287467"/>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354EE"/>
    <w:rsid w:val="003406D7"/>
    <w:rsid w:val="0035003E"/>
    <w:rsid w:val="00351A05"/>
    <w:rsid w:val="00373810"/>
    <w:rsid w:val="00386548"/>
    <w:rsid w:val="00387EBD"/>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71B5D"/>
    <w:rsid w:val="0048402F"/>
    <w:rsid w:val="00484E71"/>
    <w:rsid w:val="00485BDA"/>
    <w:rsid w:val="004B37F8"/>
    <w:rsid w:val="004B6407"/>
    <w:rsid w:val="004C47AD"/>
    <w:rsid w:val="004D1594"/>
    <w:rsid w:val="004D2381"/>
    <w:rsid w:val="004D2509"/>
    <w:rsid w:val="004D2559"/>
    <w:rsid w:val="004D3B59"/>
    <w:rsid w:val="004E1810"/>
    <w:rsid w:val="004E2BCB"/>
    <w:rsid w:val="004E5CE1"/>
    <w:rsid w:val="00502C2A"/>
    <w:rsid w:val="005433AE"/>
    <w:rsid w:val="00543400"/>
    <w:rsid w:val="00551408"/>
    <w:rsid w:val="005646F8"/>
    <w:rsid w:val="005669B6"/>
    <w:rsid w:val="0057168E"/>
    <w:rsid w:val="005763D2"/>
    <w:rsid w:val="005843D6"/>
    <w:rsid w:val="0058573C"/>
    <w:rsid w:val="00587210"/>
    <w:rsid w:val="005951F5"/>
    <w:rsid w:val="00597487"/>
    <w:rsid w:val="005B1194"/>
    <w:rsid w:val="005B384E"/>
    <w:rsid w:val="005C188E"/>
    <w:rsid w:val="005C22CE"/>
    <w:rsid w:val="005C3899"/>
    <w:rsid w:val="005D1861"/>
    <w:rsid w:val="005D5021"/>
    <w:rsid w:val="005D6A14"/>
    <w:rsid w:val="005E1870"/>
    <w:rsid w:val="005E4F8F"/>
    <w:rsid w:val="0060263F"/>
    <w:rsid w:val="006141A6"/>
    <w:rsid w:val="00636CC5"/>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B1420"/>
    <w:rsid w:val="006B300B"/>
    <w:rsid w:val="006B41CB"/>
    <w:rsid w:val="006D1377"/>
    <w:rsid w:val="006D4CAF"/>
    <w:rsid w:val="006F40D7"/>
    <w:rsid w:val="006F548D"/>
    <w:rsid w:val="007013C0"/>
    <w:rsid w:val="00721E71"/>
    <w:rsid w:val="00726CBE"/>
    <w:rsid w:val="00732CE8"/>
    <w:rsid w:val="0074365C"/>
    <w:rsid w:val="00745D0A"/>
    <w:rsid w:val="00751DD1"/>
    <w:rsid w:val="007551CF"/>
    <w:rsid w:val="007728F1"/>
    <w:rsid w:val="0077572A"/>
    <w:rsid w:val="00775EF0"/>
    <w:rsid w:val="007768B1"/>
    <w:rsid w:val="00792C05"/>
    <w:rsid w:val="007A4AE6"/>
    <w:rsid w:val="007B1433"/>
    <w:rsid w:val="007B2B92"/>
    <w:rsid w:val="007B37B8"/>
    <w:rsid w:val="007C2CFC"/>
    <w:rsid w:val="007D064F"/>
    <w:rsid w:val="007D3A6D"/>
    <w:rsid w:val="007D55CB"/>
    <w:rsid w:val="007E3C62"/>
    <w:rsid w:val="007E4136"/>
    <w:rsid w:val="007E7366"/>
    <w:rsid w:val="00806240"/>
    <w:rsid w:val="008077C5"/>
    <w:rsid w:val="00810D0C"/>
    <w:rsid w:val="00813B45"/>
    <w:rsid w:val="00816E63"/>
    <w:rsid w:val="0081714B"/>
    <w:rsid w:val="008267F0"/>
    <w:rsid w:val="00844834"/>
    <w:rsid w:val="0084507D"/>
    <w:rsid w:val="00845B9A"/>
    <w:rsid w:val="00851E30"/>
    <w:rsid w:val="008602F4"/>
    <w:rsid w:val="00861118"/>
    <w:rsid w:val="00865867"/>
    <w:rsid w:val="00865C67"/>
    <w:rsid w:val="008A0035"/>
    <w:rsid w:val="008A7803"/>
    <w:rsid w:val="008B004B"/>
    <w:rsid w:val="008C0502"/>
    <w:rsid w:val="008D06DB"/>
    <w:rsid w:val="008D23B8"/>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66A0"/>
    <w:rsid w:val="00957EF1"/>
    <w:rsid w:val="00962238"/>
    <w:rsid w:val="009667C9"/>
    <w:rsid w:val="00970743"/>
    <w:rsid w:val="0097113D"/>
    <w:rsid w:val="00976585"/>
    <w:rsid w:val="00977D1D"/>
    <w:rsid w:val="009804A1"/>
    <w:rsid w:val="00982746"/>
    <w:rsid w:val="009978E4"/>
    <w:rsid w:val="009A26A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330D1"/>
    <w:rsid w:val="00A358FA"/>
    <w:rsid w:val="00A37072"/>
    <w:rsid w:val="00A41E27"/>
    <w:rsid w:val="00A47A44"/>
    <w:rsid w:val="00A54C95"/>
    <w:rsid w:val="00A62628"/>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734F"/>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5A47"/>
    <w:rsid w:val="00BA71D4"/>
    <w:rsid w:val="00BA7B39"/>
    <w:rsid w:val="00BB063F"/>
    <w:rsid w:val="00BB08F2"/>
    <w:rsid w:val="00BB64DA"/>
    <w:rsid w:val="00BC5580"/>
    <w:rsid w:val="00BC70AB"/>
    <w:rsid w:val="00BE037C"/>
    <w:rsid w:val="00BE4D72"/>
    <w:rsid w:val="00BE66F8"/>
    <w:rsid w:val="00BF0C1C"/>
    <w:rsid w:val="00BF0F98"/>
    <w:rsid w:val="00BF12B0"/>
    <w:rsid w:val="00BF31E9"/>
    <w:rsid w:val="00BF3A64"/>
    <w:rsid w:val="00BF48F2"/>
    <w:rsid w:val="00BF751D"/>
    <w:rsid w:val="00BF7E4A"/>
    <w:rsid w:val="00C104AB"/>
    <w:rsid w:val="00C17F5B"/>
    <w:rsid w:val="00C2018E"/>
    <w:rsid w:val="00C361D0"/>
    <w:rsid w:val="00C42EFF"/>
    <w:rsid w:val="00C4500B"/>
    <w:rsid w:val="00C4621B"/>
    <w:rsid w:val="00C47363"/>
    <w:rsid w:val="00C60DFC"/>
    <w:rsid w:val="00C630E0"/>
    <w:rsid w:val="00C76854"/>
    <w:rsid w:val="00C769FE"/>
    <w:rsid w:val="00C77557"/>
    <w:rsid w:val="00C82A4A"/>
    <w:rsid w:val="00C87DCA"/>
    <w:rsid w:val="00C903CD"/>
    <w:rsid w:val="00C90E7C"/>
    <w:rsid w:val="00C94FC0"/>
    <w:rsid w:val="00CB1C67"/>
    <w:rsid w:val="00CB61D2"/>
    <w:rsid w:val="00CC11BB"/>
    <w:rsid w:val="00CE48ED"/>
    <w:rsid w:val="00CF5587"/>
    <w:rsid w:val="00D00A14"/>
    <w:rsid w:val="00D018E4"/>
    <w:rsid w:val="00D03701"/>
    <w:rsid w:val="00D04DC6"/>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DEE"/>
    <w:rsid w:val="00DB7CE8"/>
    <w:rsid w:val="00DC3CBB"/>
    <w:rsid w:val="00DD5E0F"/>
    <w:rsid w:val="00DE29AB"/>
    <w:rsid w:val="00DE355E"/>
    <w:rsid w:val="00DF5C59"/>
    <w:rsid w:val="00E014A9"/>
    <w:rsid w:val="00E01F2C"/>
    <w:rsid w:val="00E03105"/>
    <w:rsid w:val="00E0556F"/>
    <w:rsid w:val="00E124EC"/>
    <w:rsid w:val="00E1344E"/>
    <w:rsid w:val="00E20652"/>
    <w:rsid w:val="00E20AE5"/>
    <w:rsid w:val="00E218D2"/>
    <w:rsid w:val="00E246F4"/>
    <w:rsid w:val="00E25082"/>
    <w:rsid w:val="00E27DC6"/>
    <w:rsid w:val="00E377E5"/>
    <w:rsid w:val="00E37BDE"/>
    <w:rsid w:val="00E47621"/>
    <w:rsid w:val="00E51576"/>
    <w:rsid w:val="00E538DD"/>
    <w:rsid w:val="00E619A1"/>
    <w:rsid w:val="00E72FB6"/>
    <w:rsid w:val="00E7485A"/>
    <w:rsid w:val="00E801B5"/>
    <w:rsid w:val="00E844AE"/>
    <w:rsid w:val="00E947B2"/>
    <w:rsid w:val="00E95698"/>
    <w:rsid w:val="00E956B3"/>
    <w:rsid w:val="00E971A6"/>
    <w:rsid w:val="00E97300"/>
    <w:rsid w:val="00EA09ED"/>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3924"/>
    <w:rsid w:val="00F27F17"/>
    <w:rsid w:val="00F32618"/>
    <w:rsid w:val="00F33529"/>
    <w:rsid w:val="00F403E4"/>
    <w:rsid w:val="00F63C3E"/>
    <w:rsid w:val="00F700A2"/>
    <w:rsid w:val="00F76262"/>
    <w:rsid w:val="00F90BA4"/>
    <w:rsid w:val="00FB2A79"/>
    <w:rsid w:val="00FC11C7"/>
    <w:rsid w:val="00FC1B5E"/>
    <w:rsid w:val="00FC78F5"/>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bbd61249-83b9-438e-a84b-789da273a8cb"/>
    <ds:schemaRef ds:uri="http://schemas.microsoft.com/office/2006/metadata/properties"/>
    <ds:schemaRef ds:uri="http://purl.org/dc/elements/1.1/"/>
    <ds:schemaRef ds:uri="5e36aeda-f48f-46f3-9de8-7474189645c5"/>
    <ds:schemaRef ds:uri="http://www.w3.org/XML/1998/namespac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84FDEB7C-4ABE-4A85-A09D-5C992FF4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24296</Words>
  <Characters>138489</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6</cp:revision>
  <dcterms:created xsi:type="dcterms:W3CDTF">2020-08-04T08:45:00Z</dcterms:created>
  <dcterms:modified xsi:type="dcterms:W3CDTF">2020-08-04T10:18:00Z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https://csl.mendeley.com/styles/450365071/apa</vt:lpwstr>
  </property>
  <property fmtid="{D5CDD505-2E9C-101B-9397-08002B2CF9AE}" pid="10" name="Mendeley Recent Style Name 2_1">
    <vt:lpwstr>American Psychological Association 6th edition - Guntur Kusuma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