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F51B7" w14:textId="77777777" w:rsidR="006F7CDF" w:rsidRDefault="006F7CDF" w:rsidP="006F7CDF">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6F7CDF" w:rsidRPr="0076332B" w14:paraId="17EF4682" w14:textId="77777777" w:rsidTr="00776FB0">
        <w:tc>
          <w:tcPr>
            <w:tcW w:w="1838" w:type="dxa"/>
          </w:tcPr>
          <w:p w14:paraId="19FEAB4E" w14:textId="77777777" w:rsidR="006F7CDF" w:rsidRPr="0076332B" w:rsidRDefault="006F7CDF" w:rsidP="00776FB0">
            <w:pPr>
              <w:rPr>
                <w:rFonts w:ascii="Times New Roman" w:hAnsi="Times New Roman" w:cs="Times New Roman"/>
                <w:sz w:val="16"/>
                <w:szCs w:val="16"/>
              </w:rPr>
            </w:pPr>
          </w:p>
        </w:tc>
        <w:tc>
          <w:tcPr>
            <w:tcW w:w="1559" w:type="dxa"/>
          </w:tcPr>
          <w:p w14:paraId="59FE904C" w14:textId="77777777" w:rsidR="006F7CDF" w:rsidRPr="0076332B" w:rsidRDefault="006F7CDF" w:rsidP="00776FB0">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15F29FF5" w14:textId="77777777" w:rsidR="006F7CDF" w:rsidRPr="0076332B" w:rsidRDefault="006F7CDF" w:rsidP="00776FB0">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6F7CDF" w:rsidRPr="0076332B" w14:paraId="009DEA84" w14:textId="77777777" w:rsidTr="00776FB0">
        <w:tc>
          <w:tcPr>
            <w:tcW w:w="1838" w:type="dxa"/>
          </w:tcPr>
          <w:p w14:paraId="5170AE29" w14:textId="77777777" w:rsidR="006F7CDF" w:rsidRPr="0076332B" w:rsidRDefault="006F7CDF" w:rsidP="00776FB0">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6AD638ED" w14:textId="77777777" w:rsidR="006F7CDF" w:rsidRPr="0076332B" w:rsidRDefault="006F7CDF" w:rsidP="00776FB0">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752DABA" w14:textId="77777777" w:rsidR="006F7CDF" w:rsidRPr="0076332B" w:rsidRDefault="006F7CDF" w:rsidP="00776FB0">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6F7CDF" w:rsidRPr="0076332B" w14:paraId="56C67248" w14:textId="77777777" w:rsidTr="00776FB0">
        <w:tc>
          <w:tcPr>
            <w:tcW w:w="1838" w:type="dxa"/>
          </w:tcPr>
          <w:p w14:paraId="453A6E5E" w14:textId="77777777" w:rsidR="006F7CDF" w:rsidRPr="0076332B" w:rsidRDefault="006F7CDF" w:rsidP="00776FB0">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DA8F0A0" w14:textId="77777777" w:rsidR="006F7CDF" w:rsidRPr="0076332B" w:rsidRDefault="006F7CDF" w:rsidP="00776FB0">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052425B0" w14:textId="77777777" w:rsidR="006F7CDF" w:rsidRPr="0076332B" w:rsidRDefault="006F7CDF" w:rsidP="00776FB0">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6F7CDF" w:rsidRPr="0076332B" w14:paraId="25FAAC90" w14:textId="77777777" w:rsidTr="00776FB0">
        <w:tc>
          <w:tcPr>
            <w:tcW w:w="4956" w:type="dxa"/>
            <w:gridSpan w:val="3"/>
          </w:tcPr>
          <w:p w14:paraId="161B077B" w14:textId="77777777" w:rsidR="006F7CDF" w:rsidRPr="0076332B" w:rsidRDefault="006F7CDF" w:rsidP="00776FB0">
            <w:pPr>
              <w:rPr>
                <w:rFonts w:ascii="Times New Roman" w:hAnsi="Times New Roman" w:cs="Times New Roman"/>
                <w:sz w:val="20"/>
                <w:szCs w:val="16"/>
              </w:rPr>
            </w:pPr>
            <w:r w:rsidRPr="0076332B">
              <w:rPr>
                <w:rFonts w:ascii="Times New Roman" w:hAnsi="Times New Roman" w:cs="Times New Roman"/>
                <w:b/>
                <w:i/>
                <w:sz w:val="20"/>
                <w:szCs w:val="16"/>
              </w:rPr>
              <w:t>Tabl</w:t>
            </w:r>
            <w:r>
              <w:rPr>
                <w:rFonts w:ascii="Times New Roman" w:hAnsi="Times New Roman" w:cs="Times New Roman"/>
                <w:b/>
                <w:i/>
                <w:sz w:val="20"/>
                <w:szCs w:val="16"/>
              </w:rPr>
              <w:t>e 1:</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Pr="006D003E">
              <w:rPr>
                <w:rFonts w:ascii="Times New Roman" w:hAnsi="Times New Roman" w:cs="Times New Roman"/>
                <w:noProof/>
                <w:sz w:val="20"/>
                <w:szCs w:val="16"/>
                <w:vertAlign w:val="superscript"/>
              </w:rPr>
              <w:t>19</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1CBAD09A" w14:textId="77777777" w:rsidR="006F7CDF" w:rsidRDefault="006F7CDF" w:rsidP="006F7CDF">
      <w:pPr>
        <w:spacing w:after="0" w:line="240" w:lineRule="auto"/>
      </w:pPr>
    </w:p>
    <w:p w14:paraId="45E177F1" w14:textId="77777777" w:rsidR="006F7CDF" w:rsidRDefault="006F7CDF" w:rsidP="006F7CDF">
      <w:pPr>
        <w:spacing w:after="0" w:line="240" w:lineRule="auto"/>
      </w:pPr>
      <w:bookmarkStart w:id="0" w:name="_GoBack"/>
      <w:bookmarkEnd w:id="0"/>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6F7CDF" w:rsidRPr="00A71A27" w14:paraId="6BEEACF1" w14:textId="77777777" w:rsidTr="00776FB0">
        <w:trPr>
          <w:gridAfter w:val="1"/>
          <w:wAfter w:w="20" w:type="dxa"/>
          <w:trHeight w:val="557"/>
        </w:trPr>
        <w:tc>
          <w:tcPr>
            <w:tcW w:w="319" w:type="dxa"/>
            <w:shd w:val="clear" w:color="auto" w:fill="auto"/>
            <w:vAlign w:val="center"/>
            <w:hideMark/>
          </w:tcPr>
          <w:p w14:paraId="75C323C7"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5A407138"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754448C8"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57A91FE2"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0E390B6E"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3D7824C5"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4527810B"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178E56EB"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AA939A1"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5914C189"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0C517BC4"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2D05BD42"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503A6983" w14:textId="77777777" w:rsidR="006F7CDF" w:rsidRPr="00A71A27" w:rsidRDefault="006F7CDF" w:rsidP="00776FB0">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6F7CDF" w:rsidRPr="00A71A27" w14:paraId="1E672200" w14:textId="77777777" w:rsidTr="00776FB0">
        <w:trPr>
          <w:gridAfter w:val="1"/>
          <w:wAfter w:w="20" w:type="dxa"/>
          <w:trHeight w:val="290"/>
        </w:trPr>
        <w:tc>
          <w:tcPr>
            <w:tcW w:w="319" w:type="dxa"/>
            <w:shd w:val="clear" w:color="auto" w:fill="auto"/>
            <w:vAlign w:val="center"/>
            <w:hideMark/>
          </w:tcPr>
          <w:p w14:paraId="3E6D7809" w14:textId="77777777" w:rsidR="006F7CDF" w:rsidRPr="00A71A27" w:rsidRDefault="006F7CDF" w:rsidP="00776FB0">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08A2CD0F"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68A17F7B"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A47305"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DDD386B"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ACA4426"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6CA5597E"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6F7CDF" w:rsidRPr="00A71A27" w14:paraId="431AC37A" w14:textId="77777777" w:rsidTr="00776FB0">
        <w:trPr>
          <w:gridAfter w:val="1"/>
          <w:wAfter w:w="20" w:type="dxa"/>
          <w:trHeight w:val="260"/>
        </w:trPr>
        <w:tc>
          <w:tcPr>
            <w:tcW w:w="319" w:type="dxa"/>
            <w:shd w:val="clear" w:color="auto" w:fill="auto"/>
            <w:vAlign w:val="center"/>
            <w:hideMark/>
          </w:tcPr>
          <w:p w14:paraId="75900AC6"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1FA57A6"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safety</w:t>
            </w:r>
            <w:proofErr w:type="gramEnd"/>
            <w:r w:rsidRPr="00A71A27">
              <w:rPr>
                <w:rFonts w:ascii="Times New Roman" w:eastAsia="Times New Roman" w:hAnsi="Times New Roman" w:cs="Times New Roman"/>
                <w:color w:val="000000"/>
                <w:sz w:val="16"/>
                <w:szCs w:val="16"/>
                <w:lang w:eastAsia="en-GB"/>
              </w:rPr>
              <w:t xml:space="preserve"> from non-physical innovations.</w:t>
            </w:r>
          </w:p>
        </w:tc>
        <w:tc>
          <w:tcPr>
            <w:tcW w:w="2693" w:type="dxa"/>
            <w:shd w:val="clear" w:color="auto" w:fill="auto"/>
            <w:vAlign w:val="center"/>
            <w:hideMark/>
          </w:tcPr>
          <w:p w14:paraId="6C014FBF"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to</w:t>
            </w:r>
            <w:proofErr w:type="gramEnd"/>
            <w:r w:rsidRPr="00A71A27">
              <w:rPr>
                <w:rFonts w:ascii="Times New Roman" w:eastAsia="Times New Roman" w:hAnsi="Times New Roman" w:cs="Times New Roman"/>
                <w:color w:val="000000"/>
                <w:sz w:val="16"/>
                <w:szCs w:val="16"/>
                <w:lang w:eastAsia="en-GB"/>
              </w:rPr>
              <w:t xml:space="preserve"> patient safety.</w:t>
            </w:r>
          </w:p>
        </w:tc>
        <w:tc>
          <w:tcPr>
            <w:tcW w:w="3544" w:type="dxa"/>
            <w:shd w:val="clear" w:color="auto" w:fill="auto"/>
            <w:vAlign w:val="center"/>
            <w:hideMark/>
          </w:tcPr>
          <w:p w14:paraId="095D476E"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5A89EFF2"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C6FE76"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051CF61F"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6C7EBBC8" w14:textId="77777777" w:rsidTr="00776FB0">
        <w:trPr>
          <w:gridAfter w:val="1"/>
          <w:wAfter w:w="20" w:type="dxa"/>
          <w:trHeight w:val="260"/>
        </w:trPr>
        <w:tc>
          <w:tcPr>
            <w:tcW w:w="319" w:type="dxa"/>
            <w:shd w:val="clear" w:color="auto" w:fill="auto"/>
            <w:vAlign w:val="center"/>
            <w:hideMark/>
          </w:tcPr>
          <w:p w14:paraId="74C9EC58" w14:textId="77777777" w:rsidR="006F7CDF" w:rsidRPr="00A71A27" w:rsidRDefault="006F7CDF" w:rsidP="00776FB0">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17CE1AF"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2EEAB7D7"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7D9B6E99"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4EEED177"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AE6976D"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B4BF83B"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6F7CDF" w:rsidRPr="00A71A27" w14:paraId="6BC85625" w14:textId="77777777" w:rsidTr="00776FB0">
        <w:trPr>
          <w:gridAfter w:val="1"/>
          <w:wAfter w:w="20" w:type="dxa"/>
          <w:trHeight w:val="260"/>
        </w:trPr>
        <w:tc>
          <w:tcPr>
            <w:tcW w:w="319" w:type="dxa"/>
            <w:shd w:val="clear" w:color="auto" w:fill="auto"/>
            <w:vAlign w:val="center"/>
            <w:hideMark/>
          </w:tcPr>
          <w:p w14:paraId="54F6EB61"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FB0CEAB"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interpret</w:t>
            </w:r>
            <w:proofErr w:type="gramEnd"/>
            <w:r w:rsidRPr="00A71A27">
              <w:rPr>
                <w:rFonts w:ascii="Times New Roman" w:eastAsia="Times New Roman" w:hAnsi="Times New Roman" w:cs="Times New Roman"/>
                <w:color w:val="000000"/>
                <w:sz w:val="16"/>
                <w:szCs w:val="16"/>
                <w:lang w:eastAsia="en-GB"/>
              </w:rPr>
              <w:t xml:space="preserve"> new and voluminous data streams.</w:t>
            </w:r>
          </w:p>
        </w:tc>
        <w:tc>
          <w:tcPr>
            <w:tcW w:w="2693" w:type="dxa"/>
            <w:shd w:val="clear" w:color="auto" w:fill="auto"/>
            <w:vAlign w:val="center"/>
            <w:hideMark/>
          </w:tcPr>
          <w:p w14:paraId="5CF53536"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46073035"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surveilled</w:t>
            </w:r>
            <w:proofErr w:type="spellEnd"/>
            <w:r w:rsidRPr="00A71A27">
              <w:rPr>
                <w:rFonts w:ascii="Times New Roman" w:eastAsia="Times New Roman" w:hAnsi="Times New Roman" w:cs="Times New Roman"/>
                <w:color w:val="000000"/>
                <w:sz w:val="16"/>
                <w:szCs w:val="16"/>
                <w:lang w:eastAsia="en-GB"/>
              </w:rPr>
              <w:t xml:space="preserve"> for </w:t>
            </w:r>
            <w:proofErr w:type="spellStart"/>
            <w:r w:rsidRPr="00A71A27">
              <w:rPr>
                <w:rFonts w:ascii="Times New Roman" w:eastAsia="Times New Roman" w:hAnsi="Times New Roman" w:cs="Times New Roman"/>
                <w:color w:val="000000"/>
                <w:sz w:val="16"/>
                <w:szCs w:val="16"/>
                <w:lang w:eastAsia="en-GB"/>
              </w:rPr>
              <w:t>performance</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1CD1480F"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23C62305"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033A39CE"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7C70D4AF" w14:textId="77777777" w:rsidTr="00776FB0">
        <w:trPr>
          <w:gridAfter w:val="1"/>
          <w:wAfter w:w="20" w:type="dxa"/>
          <w:trHeight w:val="260"/>
        </w:trPr>
        <w:tc>
          <w:tcPr>
            <w:tcW w:w="319" w:type="dxa"/>
            <w:shd w:val="clear" w:color="auto" w:fill="auto"/>
            <w:vAlign w:val="center"/>
            <w:hideMark/>
          </w:tcPr>
          <w:p w14:paraId="7F9DC020"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1E0981D"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0038808F"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of</w:t>
            </w:r>
            <w:proofErr w:type="gramEnd"/>
            <w:r w:rsidRPr="00A71A27">
              <w:rPr>
                <w:rFonts w:ascii="Times New Roman" w:eastAsia="Times New Roman" w:hAnsi="Times New Roman" w:cs="Times New Roman"/>
                <w:color w:val="000000"/>
                <w:sz w:val="16"/>
                <w:szCs w:val="16"/>
                <w:lang w:eastAsia="en-GB"/>
              </w:rPr>
              <w:t xml:space="preserve"> data.</w:t>
            </w:r>
          </w:p>
        </w:tc>
        <w:tc>
          <w:tcPr>
            <w:tcW w:w="3544" w:type="dxa"/>
            <w:shd w:val="clear" w:color="auto" w:fill="auto"/>
            <w:vAlign w:val="center"/>
            <w:hideMark/>
          </w:tcPr>
          <w:p w14:paraId="12A89045"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67B361E2"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7BF19DC"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294FFB85"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030638A1" w14:textId="77777777" w:rsidTr="00776FB0">
        <w:trPr>
          <w:gridAfter w:val="1"/>
          <w:wAfter w:w="20" w:type="dxa"/>
          <w:trHeight w:val="260"/>
        </w:trPr>
        <w:tc>
          <w:tcPr>
            <w:tcW w:w="319" w:type="dxa"/>
            <w:shd w:val="clear" w:color="auto" w:fill="auto"/>
            <w:vAlign w:val="center"/>
            <w:hideMark/>
          </w:tcPr>
          <w:p w14:paraId="0F9C46B2"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7950DDB9"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E56F1DA"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889048C"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exchange of healthcare </w:t>
            </w:r>
            <w:proofErr w:type="spellStart"/>
            <w:r w:rsidRPr="00A71A27">
              <w:rPr>
                <w:rFonts w:ascii="Times New Roman" w:eastAsia="Times New Roman" w:hAnsi="Times New Roman" w:cs="Times New Roman"/>
                <w:color w:val="000000"/>
                <w:sz w:val="16"/>
                <w:szCs w:val="16"/>
                <w:lang w:eastAsia="en-GB"/>
              </w:rPr>
              <w:t>data</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1B804C39"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23F8E69F"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EB43948"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3B17D0B5" w14:textId="77777777" w:rsidTr="00776FB0">
        <w:trPr>
          <w:gridAfter w:val="1"/>
          <w:wAfter w:w="20" w:type="dxa"/>
          <w:trHeight w:val="260"/>
        </w:trPr>
        <w:tc>
          <w:tcPr>
            <w:tcW w:w="319" w:type="dxa"/>
            <w:shd w:val="clear" w:color="auto" w:fill="auto"/>
            <w:vAlign w:val="center"/>
            <w:hideMark/>
          </w:tcPr>
          <w:p w14:paraId="20B7382E"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FF2FF53"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1839EFFE"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01B898C7"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21C9B1EF"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BBD4AC"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2DDAB9D4"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62F965D9" w14:textId="77777777" w:rsidTr="00776FB0">
        <w:trPr>
          <w:gridAfter w:val="1"/>
          <w:wAfter w:w="20" w:type="dxa"/>
          <w:trHeight w:val="290"/>
        </w:trPr>
        <w:tc>
          <w:tcPr>
            <w:tcW w:w="319" w:type="dxa"/>
            <w:shd w:val="clear" w:color="auto" w:fill="auto"/>
            <w:vAlign w:val="center"/>
            <w:hideMark/>
          </w:tcPr>
          <w:p w14:paraId="1BAE8FAA" w14:textId="77777777" w:rsidR="006F7CDF" w:rsidRPr="00A71A27" w:rsidRDefault="006F7CDF" w:rsidP="00776FB0">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12CA336B"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72234E5C"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4F820BFE"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Gradual 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4B12F0C1"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0AB0204"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2B792E7E"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6F7CDF" w:rsidRPr="00A71A27" w14:paraId="24AA2BCC" w14:textId="77777777" w:rsidTr="00776FB0">
        <w:trPr>
          <w:gridAfter w:val="1"/>
          <w:wAfter w:w="20" w:type="dxa"/>
          <w:trHeight w:val="260"/>
        </w:trPr>
        <w:tc>
          <w:tcPr>
            <w:tcW w:w="319" w:type="dxa"/>
            <w:shd w:val="clear" w:color="auto" w:fill="auto"/>
            <w:vAlign w:val="center"/>
            <w:hideMark/>
          </w:tcPr>
          <w:p w14:paraId="14C51A04"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6883B94F"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approaches</w:t>
            </w:r>
            <w:proofErr w:type="gramEnd"/>
            <w:r w:rsidRPr="00A71A27">
              <w:rPr>
                <w:rFonts w:ascii="Times New Roman" w:eastAsia="Times New Roman" w:hAnsi="Times New Roman" w:cs="Times New Roman"/>
                <w:color w:val="000000"/>
                <w:sz w:val="16"/>
                <w:szCs w:val="16"/>
                <w:lang w:eastAsia="en-GB"/>
              </w:rPr>
              <w:t xml:space="preserve"> to safety.</w:t>
            </w:r>
          </w:p>
        </w:tc>
        <w:tc>
          <w:tcPr>
            <w:tcW w:w="2693" w:type="dxa"/>
            <w:shd w:val="clear" w:color="auto" w:fill="auto"/>
            <w:vAlign w:val="center"/>
            <w:hideMark/>
          </w:tcPr>
          <w:p w14:paraId="2068EBD6"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mitigations</w:t>
            </w:r>
            <w:proofErr w:type="gramEnd"/>
            <w:r w:rsidRPr="00A71A27">
              <w:rPr>
                <w:rFonts w:ascii="Times New Roman" w:eastAsia="Times New Roman" w:hAnsi="Times New Roman" w:cs="Times New Roman"/>
                <w:color w:val="000000"/>
                <w:sz w:val="16"/>
                <w:szCs w:val="16"/>
                <w:lang w:eastAsia="en-GB"/>
              </w:rPr>
              <w:t xml:space="preserve"> are put in place.</w:t>
            </w:r>
          </w:p>
        </w:tc>
        <w:tc>
          <w:tcPr>
            <w:tcW w:w="3544" w:type="dxa"/>
            <w:shd w:val="clear" w:color="auto" w:fill="auto"/>
            <w:vAlign w:val="center"/>
            <w:hideMark/>
          </w:tcPr>
          <w:p w14:paraId="742C25F0"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5CB8670A"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2955D868"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D5BC53A"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1C82371A" w14:textId="77777777" w:rsidTr="00776FB0">
        <w:trPr>
          <w:gridAfter w:val="1"/>
          <w:wAfter w:w="20" w:type="dxa"/>
          <w:trHeight w:val="290"/>
        </w:trPr>
        <w:tc>
          <w:tcPr>
            <w:tcW w:w="319" w:type="dxa"/>
            <w:shd w:val="clear" w:color="auto" w:fill="auto"/>
            <w:vAlign w:val="center"/>
            <w:hideMark/>
          </w:tcPr>
          <w:p w14:paraId="2F5EEFE7" w14:textId="77777777" w:rsidR="006F7CDF" w:rsidRPr="00A71A27" w:rsidRDefault="006F7CDF" w:rsidP="00776FB0">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68262CA2"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1B8B3A24"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47423126"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xml:space="preserve">; </w:t>
            </w:r>
            <w:proofErr w:type="spellStart"/>
            <w:r w:rsidRPr="00A71A27">
              <w:rPr>
                <w:rFonts w:ascii="Times New Roman" w:eastAsia="Times New Roman" w:hAnsi="Times New Roman" w:cs="Times New Roman"/>
                <w:color w:val="000000"/>
                <w:sz w:val="16"/>
                <w:szCs w:val="16"/>
                <w:lang w:eastAsia="en-GB"/>
              </w:rPr>
              <w:t>FactSheets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51644FE0"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05932BF"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8FC9238"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6F7CDF" w:rsidRPr="00A71A27" w14:paraId="5111C20B" w14:textId="77777777" w:rsidTr="00776FB0">
        <w:trPr>
          <w:gridAfter w:val="1"/>
          <w:wAfter w:w="20" w:type="dxa"/>
          <w:trHeight w:val="260"/>
        </w:trPr>
        <w:tc>
          <w:tcPr>
            <w:tcW w:w="319" w:type="dxa"/>
            <w:shd w:val="clear" w:color="auto" w:fill="auto"/>
            <w:vAlign w:val="center"/>
            <w:hideMark/>
          </w:tcPr>
          <w:p w14:paraId="4A88A23B"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6C49DB4"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6FE2EE49"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threaten</w:t>
            </w:r>
            <w:proofErr w:type="gramEnd"/>
            <w:r w:rsidRPr="00A71A27">
              <w:rPr>
                <w:rFonts w:ascii="Times New Roman" w:eastAsia="Times New Roman" w:hAnsi="Times New Roman" w:cs="Times New Roman"/>
                <w:color w:val="000000"/>
                <w:sz w:val="16"/>
                <w:szCs w:val="16"/>
                <w:lang w:eastAsia="en-GB"/>
              </w:rPr>
              <w:t xml:space="preserve"> patient safety.</w:t>
            </w:r>
          </w:p>
        </w:tc>
        <w:tc>
          <w:tcPr>
            <w:tcW w:w="3544" w:type="dxa"/>
            <w:shd w:val="clear" w:color="auto" w:fill="auto"/>
            <w:vAlign w:val="center"/>
            <w:hideMark/>
          </w:tcPr>
          <w:p w14:paraId="6FDC55EF"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2D9B5EC"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25250191"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7B9E1A2"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60F64D57" w14:textId="77777777" w:rsidTr="00776FB0">
        <w:trPr>
          <w:gridAfter w:val="1"/>
          <w:wAfter w:w="20" w:type="dxa"/>
          <w:trHeight w:val="260"/>
        </w:trPr>
        <w:tc>
          <w:tcPr>
            <w:tcW w:w="319" w:type="dxa"/>
            <w:shd w:val="clear" w:color="auto" w:fill="auto"/>
            <w:vAlign w:val="center"/>
            <w:hideMark/>
          </w:tcPr>
          <w:p w14:paraId="314DF0B2"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1617A832"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complex</w:t>
            </w:r>
            <w:proofErr w:type="gramEnd"/>
            <w:r w:rsidRPr="00A71A27">
              <w:rPr>
                <w:rFonts w:ascii="Times New Roman" w:eastAsia="Times New Roman" w:hAnsi="Times New Roman" w:cs="Times New Roman"/>
                <w:color w:val="000000"/>
                <w:sz w:val="16"/>
                <w:szCs w:val="16"/>
                <w:lang w:eastAsia="en-GB"/>
              </w:rPr>
              <w:t>.</w:t>
            </w:r>
          </w:p>
        </w:tc>
        <w:tc>
          <w:tcPr>
            <w:tcW w:w="2693" w:type="dxa"/>
            <w:shd w:val="clear" w:color="auto" w:fill="auto"/>
            <w:vAlign w:val="center"/>
            <w:hideMark/>
          </w:tcPr>
          <w:p w14:paraId="249C3D3D"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8E6140C"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4D9BBD64"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ABD8589"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03B8BB4E"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46A6D212" w14:textId="77777777" w:rsidTr="00776FB0">
        <w:trPr>
          <w:gridAfter w:val="1"/>
          <w:wAfter w:w="20" w:type="dxa"/>
          <w:trHeight w:val="290"/>
        </w:trPr>
        <w:tc>
          <w:tcPr>
            <w:tcW w:w="319" w:type="dxa"/>
            <w:shd w:val="clear" w:color="auto" w:fill="auto"/>
            <w:vAlign w:val="center"/>
            <w:hideMark/>
          </w:tcPr>
          <w:p w14:paraId="6401F0AC" w14:textId="77777777" w:rsidR="006F7CDF" w:rsidRPr="00A71A27" w:rsidRDefault="006F7CDF" w:rsidP="00776FB0">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397AF02B"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3C5C7ADC"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42E23093"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7A6E4B65"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744F5348"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223AD915"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6F7CDF" w:rsidRPr="00A71A27" w14:paraId="7A56EA5C" w14:textId="77777777" w:rsidTr="00776FB0">
        <w:trPr>
          <w:gridAfter w:val="1"/>
          <w:wAfter w:w="20" w:type="dxa"/>
          <w:trHeight w:val="260"/>
        </w:trPr>
        <w:tc>
          <w:tcPr>
            <w:tcW w:w="319" w:type="dxa"/>
            <w:shd w:val="clear" w:color="auto" w:fill="auto"/>
            <w:vAlign w:val="center"/>
            <w:hideMark/>
          </w:tcPr>
          <w:p w14:paraId="08D5D568"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E68BA98"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health</w:t>
            </w:r>
            <w:proofErr w:type="gramEnd"/>
            <w:r w:rsidRPr="00A71A27">
              <w:rPr>
                <w:rFonts w:ascii="Times New Roman" w:eastAsia="Times New Roman" w:hAnsi="Times New Roman" w:cs="Times New Roman"/>
                <w:color w:val="000000"/>
                <w:sz w:val="16"/>
                <w:szCs w:val="16"/>
                <w:lang w:eastAsia="en-GB"/>
              </w:rPr>
              <w:t xml:space="preserve"> information systems.</w:t>
            </w:r>
          </w:p>
        </w:tc>
        <w:tc>
          <w:tcPr>
            <w:tcW w:w="2693" w:type="dxa"/>
            <w:shd w:val="clear" w:color="auto" w:fill="auto"/>
            <w:vAlign w:val="center"/>
            <w:hideMark/>
          </w:tcPr>
          <w:p w14:paraId="62CB1B74"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foreseen</w:t>
            </w:r>
            <w:proofErr w:type="gramEnd"/>
            <w:r w:rsidRPr="00A71A27">
              <w:rPr>
                <w:rFonts w:ascii="Times New Roman" w:eastAsia="Times New Roman" w:hAnsi="Times New Roman" w:cs="Times New Roman"/>
                <w:color w:val="000000"/>
                <w:sz w:val="16"/>
                <w:szCs w:val="16"/>
                <w:lang w:eastAsia="en-GB"/>
              </w:rPr>
              <w:t>.</w:t>
            </w:r>
          </w:p>
        </w:tc>
        <w:tc>
          <w:tcPr>
            <w:tcW w:w="3544" w:type="dxa"/>
            <w:shd w:val="clear" w:color="auto" w:fill="auto"/>
            <w:vAlign w:val="center"/>
            <w:hideMark/>
          </w:tcPr>
          <w:p w14:paraId="24E920DC"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patient </w:t>
            </w:r>
            <w:proofErr w:type="spellStart"/>
            <w:r w:rsidRPr="00A71A27">
              <w:rPr>
                <w:rFonts w:ascii="Times New Roman" w:eastAsia="Times New Roman" w:hAnsi="Times New Roman" w:cs="Times New Roman"/>
                <w:color w:val="000000"/>
                <w:sz w:val="16"/>
                <w:szCs w:val="16"/>
                <w:lang w:eastAsia="en-GB"/>
              </w:rPr>
              <w:t>safety</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1E9E6B18"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E7F4306"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33B05B6"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08D4CB97" w14:textId="77777777" w:rsidTr="00776FB0">
        <w:trPr>
          <w:gridAfter w:val="1"/>
          <w:wAfter w:w="20" w:type="dxa"/>
          <w:trHeight w:val="260"/>
        </w:trPr>
        <w:tc>
          <w:tcPr>
            <w:tcW w:w="319" w:type="dxa"/>
            <w:shd w:val="clear" w:color="auto" w:fill="auto"/>
            <w:vAlign w:val="center"/>
            <w:hideMark/>
          </w:tcPr>
          <w:p w14:paraId="7369C40E"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3B933802"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19D8865C"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22A744E6"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xml:space="preserve">; 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060AFE5B"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ECC9184"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8F77874"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7D6133CA" w14:textId="77777777" w:rsidTr="00776FB0">
        <w:trPr>
          <w:gridAfter w:val="1"/>
          <w:wAfter w:w="20" w:type="dxa"/>
          <w:trHeight w:val="260"/>
        </w:trPr>
        <w:tc>
          <w:tcPr>
            <w:tcW w:w="319" w:type="dxa"/>
            <w:shd w:val="clear" w:color="auto" w:fill="auto"/>
            <w:vAlign w:val="center"/>
            <w:hideMark/>
          </w:tcPr>
          <w:p w14:paraId="66932457"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35E5F832"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526F60CB" w14:textId="77777777" w:rsidR="006F7CDF" w:rsidRPr="00A71A27" w:rsidRDefault="006F7CDF" w:rsidP="00776FB0">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15E1224B"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78ED42DA"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412A9A75"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A745EB0"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p>
        </w:tc>
      </w:tr>
      <w:tr w:rsidR="006F7CDF" w:rsidRPr="00A71A27" w14:paraId="7458BD67" w14:textId="77777777" w:rsidTr="00776FB0">
        <w:trPr>
          <w:gridAfter w:val="1"/>
          <w:wAfter w:w="20" w:type="dxa"/>
          <w:trHeight w:val="260"/>
        </w:trPr>
        <w:tc>
          <w:tcPr>
            <w:tcW w:w="319" w:type="dxa"/>
            <w:shd w:val="clear" w:color="auto" w:fill="auto"/>
            <w:vAlign w:val="center"/>
            <w:hideMark/>
          </w:tcPr>
          <w:p w14:paraId="150CD2E2" w14:textId="77777777" w:rsidR="006F7CDF" w:rsidRPr="00A71A27" w:rsidRDefault="006F7CDF" w:rsidP="00776FB0">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802DD61"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10F38B56"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6A352573"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3EAAA5C"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2C964F62"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D7032C7"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6F7CDF" w:rsidRPr="00A71A27" w14:paraId="36A7E686" w14:textId="77777777" w:rsidTr="00776FB0">
        <w:trPr>
          <w:gridAfter w:val="1"/>
          <w:wAfter w:w="20" w:type="dxa"/>
          <w:trHeight w:val="300"/>
        </w:trPr>
        <w:tc>
          <w:tcPr>
            <w:tcW w:w="319" w:type="dxa"/>
            <w:shd w:val="clear" w:color="auto" w:fill="auto"/>
            <w:vAlign w:val="center"/>
            <w:hideMark/>
          </w:tcPr>
          <w:p w14:paraId="0B6712B4" w14:textId="77777777" w:rsidR="006F7CDF" w:rsidRPr="00A71A27" w:rsidRDefault="006F7CDF" w:rsidP="00776FB0">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C4547A7"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problems</w:t>
            </w:r>
            <w:proofErr w:type="gramEnd"/>
            <w:r w:rsidRPr="00A71A27">
              <w:rPr>
                <w:rFonts w:ascii="Times New Roman" w:eastAsia="Times New Roman" w:hAnsi="Times New Roman" w:cs="Times New Roman"/>
                <w:color w:val="000000"/>
                <w:sz w:val="16"/>
                <w:szCs w:val="16"/>
                <w:lang w:eastAsia="en-GB"/>
              </w:rPr>
              <w:t xml:space="preserve"> and predicaments.</w:t>
            </w:r>
          </w:p>
        </w:tc>
        <w:tc>
          <w:tcPr>
            <w:tcW w:w="2693" w:type="dxa"/>
            <w:shd w:val="clear" w:color="auto" w:fill="auto"/>
            <w:vAlign w:val="center"/>
            <w:hideMark/>
          </w:tcPr>
          <w:p w14:paraId="58DA975A"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proofErr w:type="gramStart"/>
            <w:r>
              <w:rPr>
                <w:rFonts w:ascii="Times New Roman" w:eastAsia="Times New Roman" w:hAnsi="Times New Roman" w:cs="Times New Roman"/>
                <w:color w:val="000000"/>
                <w:sz w:val="16"/>
                <w:szCs w:val="16"/>
                <w:lang w:eastAsia="en-GB"/>
              </w:rPr>
              <w:t>might</w:t>
            </w:r>
            <w:proofErr w:type="gramEnd"/>
            <w:r>
              <w:rPr>
                <w:rFonts w:ascii="Times New Roman" w:eastAsia="Times New Roman" w:hAnsi="Times New Roman" w:cs="Times New Roman"/>
                <w:color w:val="000000"/>
                <w:sz w:val="16"/>
                <w:szCs w:val="16"/>
                <w:lang w:eastAsia="en-GB"/>
              </w:rPr>
              <w:t xml:space="preserve"> be </w:t>
            </w:r>
            <w:r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4ED2EB0" w14:textId="77777777" w:rsidR="006F7CDF" w:rsidRPr="00A71A27" w:rsidRDefault="006F7CDF" w:rsidP="00776FB0">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2A24EB5B"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565DE98"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10195393" w14:textId="77777777" w:rsidR="006F7CDF" w:rsidRPr="00A71A27" w:rsidRDefault="006F7CDF" w:rsidP="00776FB0">
            <w:pPr>
              <w:spacing w:after="0" w:line="240" w:lineRule="auto"/>
              <w:jc w:val="center"/>
              <w:rPr>
                <w:rFonts w:ascii="Times New Roman" w:eastAsia="Times New Roman" w:hAnsi="Times New Roman" w:cs="Times New Roman"/>
                <w:color w:val="000000"/>
                <w:sz w:val="16"/>
                <w:szCs w:val="16"/>
                <w:lang w:eastAsia="en-GB"/>
              </w:rPr>
            </w:pPr>
          </w:p>
        </w:tc>
      </w:tr>
      <w:tr w:rsidR="006F7CDF" w:rsidRPr="00A71A27" w14:paraId="5254A8C1" w14:textId="77777777" w:rsidTr="00776FB0">
        <w:trPr>
          <w:trHeight w:val="300"/>
        </w:trPr>
        <w:tc>
          <w:tcPr>
            <w:tcW w:w="12532" w:type="dxa"/>
            <w:gridSpan w:val="8"/>
            <w:shd w:val="clear" w:color="auto" w:fill="auto"/>
            <w:vAlign w:val="center"/>
          </w:tcPr>
          <w:p w14:paraId="62437E64" w14:textId="77777777" w:rsidR="006F7CDF" w:rsidRPr="000D2165" w:rsidRDefault="006F7CDF" w:rsidP="00776FB0">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Pr>
                <w:rFonts w:ascii="Times New Roman" w:eastAsia="Times New Roman" w:hAnsi="Times New Roman" w:cs="Times New Roman"/>
                <w:bCs/>
                <w:sz w:val="16"/>
                <w:szCs w:val="20"/>
                <w:lang w:eastAsia="en-GB"/>
              </w:rPr>
              <w:t xml:space="preserve"> (</w:t>
            </w:r>
            <w:r w:rsidRPr="000D2165">
              <w:rPr>
                <w:rFonts w:ascii="Times New Roman" w:eastAsia="Times New Roman" w:hAnsi="Times New Roman" w:cs="Times New Roman"/>
                <w:bCs/>
                <w:sz w:val="16"/>
                <w:szCs w:val="20"/>
                <w:lang w:eastAsia="en-GB"/>
              </w:rPr>
              <w:t>HIT</w:t>
            </w:r>
            <w:r>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w:t>
            </w:r>
            <w:proofErr w:type="spellStart"/>
            <w:r>
              <w:rPr>
                <w:rFonts w:ascii="Times New Roman" w:eastAsia="Times New Roman" w:hAnsi="Times New Roman" w:cs="Times New Roman"/>
                <w:bCs/>
                <w:sz w:val="16"/>
                <w:szCs w:val="20"/>
                <w:lang w:eastAsia="en-GB"/>
              </w:rPr>
              <w:t>Sittig’s</w:t>
            </w:r>
            <w:proofErr w:type="spellEnd"/>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Pr="000D2165">
              <w:rPr>
                <w:rFonts w:ascii="Times New Roman" w:eastAsia="Times New Roman" w:hAnsi="Times New Roman" w:cs="Times New Roman"/>
                <w:bCs/>
                <w:sz w:val="16"/>
                <w:szCs w:val="20"/>
                <w:lang w:eastAsia="en-GB"/>
              </w:rPr>
              <w:fldChar w:fldCharType="begin" w:fldLock="1"/>
            </w:r>
            <w:r>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33&lt;/sup&gt;"},"properties":{"noteIndex":0},"schema":"https://github.com/citation-style-language/schema/raw/master/csl-citatin"}</w:instrText>
            </w:r>
            <w:r w:rsidRPr="000D2165">
              <w:rPr>
                <w:rFonts w:ascii="Times New Roman" w:eastAsia="Times New Roman" w:hAnsi="Times New Roman" w:cs="Times New Roman"/>
                <w:bCs/>
                <w:sz w:val="16"/>
                <w:szCs w:val="20"/>
                <w:vertAlign w:val="superscript"/>
                <w:lang w:eastAsia="en-GB"/>
              </w:rPr>
              <w:fldChar w:fldCharType="separate"/>
            </w:r>
            <w:r w:rsidRPr="006D003E">
              <w:rPr>
                <w:rFonts w:ascii="Times New Roman" w:eastAsia="Times New Roman" w:hAnsi="Times New Roman" w:cs="Times New Roman"/>
                <w:bCs/>
                <w:noProof/>
                <w:sz w:val="16"/>
                <w:szCs w:val="20"/>
                <w:vertAlign w:val="superscript"/>
                <w:lang w:eastAsia="en-GB"/>
              </w:rPr>
              <w:t>33</w:t>
            </w:r>
            <w:r w:rsidRPr="000D2165">
              <w:rPr>
                <w:rFonts w:ascii="Times New Roman" w:eastAsia="Times New Roman" w:hAnsi="Times New Roman" w:cs="Times New Roman"/>
                <w:bCs/>
                <w:sz w:val="16"/>
                <w:szCs w:val="20"/>
                <w:lang w:eastAsia="en-GB"/>
              </w:rPr>
              <w:fldChar w:fldCharType="end"/>
            </w:r>
          </w:p>
        </w:tc>
      </w:tr>
      <w:tr w:rsidR="006F7CDF" w:rsidRPr="00A71A27" w14:paraId="2AD96745" w14:textId="77777777" w:rsidTr="00776FB0">
        <w:trPr>
          <w:trHeight w:val="300"/>
        </w:trPr>
        <w:tc>
          <w:tcPr>
            <w:tcW w:w="12532" w:type="dxa"/>
            <w:gridSpan w:val="8"/>
            <w:shd w:val="clear" w:color="auto" w:fill="auto"/>
            <w:vAlign w:val="center"/>
          </w:tcPr>
          <w:p w14:paraId="14DAD992" w14:textId="77777777" w:rsidR="006F7CDF" w:rsidRPr="00A71A27" w:rsidRDefault="006F7CDF" w:rsidP="00776FB0">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715B8281" w14:textId="77777777" w:rsidR="0067312F" w:rsidRDefault="006F7CDF"/>
    <w:sectPr w:rsidR="0067312F" w:rsidSect="006F7CD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7B"/>
    <w:rsid w:val="00106D11"/>
    <w:rsid w:val="002B1538"/>
    <w:rsid w:val="00477693"/>
    <w:rsid w:val="004D1594"/>
    <w:rsid w:val="0058573C"/>
    <w:rsid w:val="006F548D"/>
    <w:rsid w:val="006F7CDF"/>
    <w:rsid w:val="007E627B"/>
    <w:rsid w:val="00BB6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071D"/>
  <w15:chartTrackingRefBased/>
  <w15:docId w15:val="{7D04D1D9-D143-4D7A-8931-C5DC7CE1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CDF"/>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TableGrid">
    <w:name w:val="Table Grid"/>
    <w:basedOn w:val="TableNormal"/>
    <w:uiPriority w:val="39"/>
    <w:rsid w:val="006F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945</Words>
  <Characters>5388</Characters>
  <Application>Microsoft Office Word</Application>
  <DocSecurity>0</DocSecurity>
  <Lines>44</Lines>
  <Paragraphs>12</Paragraphs>
  <ScaleCrop>false</ScaleCrop>
  <Company>University of Leeds</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2021-01-06T11:30:00Z</dcterms:created>
  <dcterms:modified xsi:type="dcterms:W3CDTF">2021-01-06T11:31:00Z</dcterms:modified>
</cp:coreProperties>
</file>