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7D55CB" w:rsidRDefault="007D55CB"/>
    <w:p w14:paraId="50B88A05" w14:textId="77777777" w:rsidR="006D4CAF" w:rsidRDefault="006D4CAF"/>
    <w:p w14:paraId="5293D175" w14:textId="30543410" w:rsidR="006D4CAF" w:rsidRPr="00E97300" w:rsidRDefault="00156F5E" w:rsidP="00E97300">
      <w:pPr>
        <w:jc w:val="center"/>
        <w:rPr>
          <w:sz w:val="32"/>
        </w:rPr>
      </w:pPr>
      <w:r>
        <w:rPr>
          <w:sz w:val="32"/>
        </w:rPr>
        <w:t xml:space="preserve">Patient </w:t>
      </w:r>
      <w:r w:rsidR="00AD4971" w:rsidRPr="00AD4971">
        <w:rPr>
          <w:sz w:val="32"/>
        </w:rPr>
        <w:t xml:space="preserve">Safety Informatics: </w:t>
      </w:r>
      <w:r>
        <w:rPr>
          <w:sz w:val="32"/>
        </w:rPr>
        <w:t>Recommendation</w:t>
      </w:r>
      <w:r w:rsidR="003667E8">
        <w:rPr>
          <w:sz w:val="32"/>
        </w:rPr>
        <w:t>s</w:t>
      </w:r>
      <w:r>
        <w:rPr>
          <w:sz w:val="32"/>
        </w:rPr>
        <w:t xml:space="preserve"> to meet the </w:t>
      </w:r>
      <w:r w:rsidR="00AD4971" w:rsidRPr="00AD4971">
        <w:rPr>
          <w:sz w:val="32"/>
        </w:rPr>
        <w:t xml:space="preserve">challenges </w:t>
      </w:r>
      <w:r w:rsidR="000C663C">
        <w:rPr>
          <w:sz w:val="32"/>
        </w:rPr>
        <w:t>of</w:t>
      </w:r>
      <w:r w:rsidR="00AD4971" w:rsidRPr="00AD4971">
        <w:rPr>
          <w:sz w:val="32"/>
        </w:rPr>
        <w:t xml:space="preserve"> </w:t>
      </w:r>
      <w:r w:rsidR="003667E8">
        <w:rPr>
          <w:sz w:val="32"/>
        </w:rPr>
        <w:t>emerging digital health</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700A2">
      <w:pPr>
        <w:pStyle w:val="Heading1"/>
      </w:pPr>
      <w:r>
        <w:t>Introduction</w:t>
      </w:r>
    </w:p>
    <w:p w14:paraId="1C2AB3B6" w14:textId="296374FA" w:rsidR="009D0ABB" w:rsidRDefault="00DF53B0" w:rsidP="007D064F">
      <w:r>
        <w:t xml:space="preserve">The fourth industrial revolution is based on cyber-physical systems and the connectivity of devices to which healthcare must adapt </w:t>
      </w:r>
      <w:r>
        <w:fldChar w:fldCharType="begin" w:fldLock="1"/>
      </w:r>
      <w: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Computing","type":"article-journal","volume":"18"},"uris":["http://www.mendeley.com/documents/?uuid=dae5fe6b-26a8-479f-a932-a7667dd56787"]}],"mendeley":{"formattedCitation":"(Aceto, Persico and Pescapé, 2020)","plainTextFormattedCitation":"(Aceto, Persico and Pescapé, 2020)","previouslyFormattedCitation":"(Aceto, Persico and Pescapé, 2020)"},"properties":{"noteIndex":0},"schema":"https://github.com/citation-style-language/schema/raw/master/csl-citation.json"}</w:instrText>
      </w:r>
      <w:r>
        <w:fldChar w:fldCharType="separate"/>
      </w:r>
      <w:r w:rsidRPr="00DF53B0">
        <w:rPr>
          <w:noProof/>
        </w:rPr>
        <w:t>(Aceto, Persico and Pescapé, 2020)</w:t>
      </w:r>
      <w:r>
        <w:fldChar w:fldCharType="end"/>
      </w:r>
      <w:r>
        <w:t xml:space="preserve">. </w:t>
      </w:r>
      <w:r w:rsidR="009D0ABB">
        <w:t xml:space="preserve">Healthcare is </w:t>
      </w:r>
      <w:r>
        <w:t xml:space="preserve">already </w:t>
      </w:r>
      <w:r w:rsidR="009D0ABB">
        <w:t xml:space="preserve">becoming increasingly digital and connected </w:t>
      </w:r>
      <w:r w:rsidR="0055697B">
        <w:t xml:space="preserve">with moves toward fog </w:t>
      </w:r>
      <w:r>
        <w:t xml:space="preserve">computing and the </w:t>
      </w:r>
      <w:r w:rsidR="0055697B">
        <w:t>Internet-of-T</w:t>
      </w:r>
      <w:r>
        <w:t xml:space="preserve">hings </w:t>
      </w:r>
      <w:r>
        <w:fldChar w:fldCharType="begin" w:fldLock="1"/>
      </w:r>
      <w:r w:rsidR="007F0FFA">
        <w:instrText>ADDIN CSL_CITATION {"citationItems":[{"id":"ITEM-1","itemData":{"DOI":"10.1016/j.future.2017.04.036","ISSN":"0167739X","abstract":"Internet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Systems","id":"ITEM-1","issued":{"date-parts":[["2018"]]},"page":"659-676","title":"Towards fog-driven IoT eHealth: Promises and challenges of IoT in medicine and healthcare","type":"article-journal","volume":"78"},"uris":["http://www.mendeley.com/documents/?uuid=b5803d7f-4c09-470f-87f6-e57f99febcca"]}],"mendeley":{"formattedCitation":"(Farahani &lt;i&gt;et al.&lt;/i&gt;, 2018)","plainTextFormattedCitation":"(Farahani et al., 2018)","previouslyFormattedCitation":"(Farahani &lt;i&gt;et al.&lt;/i&gt;, 2018)"},"properties":{"noteIndex":0},"schema":"https://github.com/citation-style-language/schema/raw/master/csl-citation.json"}</w:instrText>
      </w:r>
      <w:r>
        <w:fldChar w:fldCharType="separate"/>
      </w:r>
      <w:r w:rsidRPr="00DF53B0">
        <w:rPr>
          <w:noProof/>
        </w:rPr>
        <w:t xml:space="preserve">(Farahani </w:t>
      </w:r>
      <w:r w:rsidRPr="00DF53B0">
        <w:rPr>
          <w:i/>
          <w:noProof/>
        </w:rPr>
        <w:t>et al.</w:t>
      </w:r>
      <w:r w:rsidRPr="00DF53B0">
        <w:rPr>
          <w:noProof/>
        </w:rPr>
        <w:t>, 2018)</w:t>
      </w:r>
      <w:r>
        <w:fldChar w:fldCharType="end"/>
      </w:r>
      <w:r w:rsidR="009D0ABB">
        <w:t>.</w:t>
      </w:r>
      <w:r w:rsidR="0077572A">
        <w:t xml:space="preserve"> </w:t>
      </w:r>
      <w:r>
        <w:t>Additionally, a</w:t>
      </w:r>
      <w:r w:rsidR="0077572A">
        <w:t xml:space="preserve">t the time of writing, the </w:t>
      </w:r>
      <w:r w:rsidR="00026387">
        <w:t>COVID-19</w:t>
      </w:r>
      <w:r w:rsidR="0077572A">
        <w:t xml:space="preserve"> pandemic is occurring and accelerating the conception, design, development and use of digital health technology. </w:t>
      </w:r>
      <w:commentRangeStart w:id="0"/>
      <w:r w:rsidR="0077572A">
        <w:t xml:space="preserve">Healthcare providers have quickly responded with rapid </w:t>
      </w:r>
      <w:r>
        <w:t xml:space="preserve">wide-spread </w:t>
      </w:r>
      <w:r w:rsidR="0077572A">
        <w:t>ad</w:t>
      </w:r>
      <w:r>
        <w:t>opt</w:t>
      </w:r>
      <w:r w:rsidR="0077572A">
        <w:t xml:space="preserve">ion </w:t>
      </w:r>
      <w:r>
        <w:t xml:space="preserve">of existing technology like </w:t>
      </w:r>
      <w:r w:rsidR="0077572A">
        <w:t>video consultation</w:t>
      </w:r>
      <w:commentRangeEnd w:id="0"/>
      <w:r w:rsidR="00E1344E">
        <w:rPr>
          <w:rStyle w:val="CommentReference"/>
        </w:rPr>
        <w:commentReference w:id="0"/>
      </w:r>
      <w:r w:rsidR="0077572A">
        <w:t xml:space="preserve"> </w:t>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rsidR="009D0ABB">
        <w:t xml:space="preserve"> </w:t>
      </w:r>
      <w:r w:rsidR="007D064F">
        <w:t>Other t</w:t>
      </w:r>
      <w:r w:rsidR="009D0ABB">
        <w:t xml:space="preserve">echnologies like electronic health records, decision-support tools and handheld medical devices have been developed and used for many years with reported benefits for patient care but also with concerns for patient safety </w:t>
      </w:r>
      <w:r w:rsidR="009D0ABB">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rsidR="009D0ABB">
        <w:fldChar w:fldCharType="separate"/>
      </w:r>
      <w:r w:rsidR="00351A05" w:rsidRPr="00351A05">
        <w:rPr>
          <w:noProof/>
        </w:rPr>
        <w:t xml:space="preserve">(Sittig </w:t>
      </w:r>
      <w:r w:rsidR="00351A05" w:rsidRPr="00351A05">
        <w:rPr>
          <w:i/>
          <w:noProof/>
        </w:rPr>
        <w:t>et al.</w:t>
      </w:r>
      <w:r w:rsidR="00351A05" w:rsidRPr="00351A05">
        <w:rPr>
          <w:noProof/>
        </w:rPr>
        <w:t>, 2018)</w:t>
      </w:r>
      <w:r w:rsidR="009D0ABB">
        <w:fldChar w:fldCharType="end"/>
      </w:r>
      <w:r w:rsidR="009D0ABB">
        <w:t>.</w:t>
      </w:r>
      <w:r w:rsidR="00E27DC6">
        <w:t xml:space="preserve"> </w:t>
      </w:r>
      <w:r w:rsidR="009D0ABB">
        <w:t xml:space="preserve"> It is currently unclear what the implications are for patient safety </w:t>
      </w:r>
      <w:r w:rsidR="00AC4FD6">
        <w:t>as</w:t>
      </w:r>
      <w:r w:rsidR="009D0ABB">
        <w:t xml:space="preserve"> existing health information technologies become ubiquitous with increasing pace and interact </w:t>
      </w:r>
      <w:r>
        <w:t xml:space="preserve">in unforeseen ways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rsidR="009D0ABB">
        <w:t>.</w:t>
      </w:r>
      <w:r w:rsidR="007D064F">
        <w:t xml:space="preserve"> The</w:t>
      </w:r>
      <w:r>
        <w:t>re is a</w:t>
      </w:r>
      <w:r w:rsidR="007D064F">
        <w:t xml:space="preserve"> need for an improved understanding and praxis of patient safety </w:t>
      </w:r>
      <w:r>
        <w:t>in relation to information technology</w:t>
      </w:r>
      <w:r w:rsidR="007D064F">
        <w:t>.</w:t>
      </w:r>
    </w:p>
    <w:p w14:paraId="2029E978" w14:textId="62A3455D" w:rsidR="009D0ABB" w:rsidRDefault="00636CC5" w:rsidP="009D0ABB">
      <w:r>
        <w:t xml:space="preserve">The Patient Safety Translational Research Centres were set up by the UK National Institute for Health Research to translate patient-safety knowledge into practice. </w:t>
      </w:r>
      <w:r w:rsidR="009D0ABB">
        <w:t xml:space="preserve">In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to appraise the academic evidence for patient safety in health information systems. </w:t>
      </w:r>
      <w:r w:rsidR="00AC4FD6">
        <w:t>Our</w:t>
      </w:r>
      <w:r w:rsidR="009D0ABB">
        <w:t xml:space="preserve"> collaborative intend</w:t>
      </w:r>
      <w:r w:rsidR="00B51A64">
        <w:t>s</w:t>
      </w:r>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r w:rsidR="00BF0F98">
        <w:t xml:space="preserve">challenges for </w:t>
      </w:r>
      <w:r w:rsidR="00DB6363">
        <w:t>P</w:t>
      </w:r>
      <w:r w:rsidR="00FF67B8">
        <w:t xml:space="preserve">atient </w:t>
      </w:r>
      <w:r w:rsidR="00DB6363">
        <w:t>Safety I</w:t>
      </w:r>
      <w:r w:rsidR="009D0ABB">
        <w:t>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7F0FFA">
        <w:t xml:space="preserve">Patient </w:t>
      </w:r>
      <w:r w:rsidR="004E5CE1">
        <w:t>S</w:t>
      </w:r>
      <w:r w:rsidR="009D0ABB" w:rsidRPr="00284512">
        <w:t xml:space="preserve">afety </w:t>
      </w:r>
      <w:r w:rsidR="004E5CE1">
        <w:t>I</w:t>
      </w:r>
      <w:r w:rsidR="009D0ABB" w:rsidRPr="00284512">
        <w:t xml:space="preserve">nformatics </w:t>
      </w:r>
      <w:r w:rsidR="00C42EFF">
        <w:t xml:space="preserve">from </w:t>
      </w:r>
      <w:r w:rsidR="00BA71D4">
        <w:t xml:space="preserve">a UK </w:t>
      </w:r>
      <w:r w:rsidR="00C42EFF">
        <w:t>perspective</w:t>
      </w:r>
      <w:r w:rsidR="00BA71D4">
        <w:t xml:space="preserve"> </w:t>
      </w:r>
      <w:r w:rsidR="009D0ABB" w:rsidRPr="00284512">
        <w:t xml:space="preserve">and </w:t>
      </w:r>
      <w:r w:rsidR="00C42EFF">
        <w:t xml:space="preserve">establish a platform of </w:t>
      </w:r>
      <w:r w:rsidR="0055697B">
        <w:t>P</w:t>
      </w:r>
      <w:r w:rsidR="00FF67B8">
        <w:t xml:space="preserve">atient </w:t>
      </w:r>
      <w:r w:rsidR="0055697B">
        <w:t>S</w:t>
      </w:r>
      <w:r w:rsidR="00C42EFF">
        <w:t xml:space="preserve">afety </w:t>
      </w:r>
      <w:r w:rsidR="0055697B">
        <w:t>I</w:t>
      </w:r>
      <w:r w:rsidR="00C42EFF">
        <w:t xml:space="preserve">nformatics theory </w:t>
      </w:r>
      <w:r w:rsidR="009D0ABB" w:rsidRPr="00284512">
        <w:t>for future research and development</w:t>
      </w:r>
      <w:r w:rsidR="009D0ABB">
        <w:t>.</w:t>
      </w:r>
    </w:p>
    <w:p w14:paraId="15B9EE8F" w14:textId="13AC16A0" w:rsidR="009D0ABB" w:rsidRDefault="009D0ABB" w:rsidP="009D0ABB">
      <w:r>
        <w:t>In Section 1 of t</w:t>
      </w:r>
      <w:r w:rsidRPr="002A32FD">
        <w:t>h</w:t>
      </w:r>
      <w:r>
        <w:t xml:space="preserve">is paper, we </w:t>
      </w:r>
      <w:r w:rsidR="00C42EFF">
        <w:t xml:space="preserve">outline </w:t>
      </w:r>
      <w:r w:rsidR="004E5CE1">
        <w:t xml:space="preserve">the </w:t>
      </w:r>
      <w:r w:rsidR="00FF67B8">
        <w:t xml:space="preserve">Patient </w:t>
      </w:r>
      <w:r w:rsidR="004E5CE1">
        <w:t xml:space="preserve">Safety Informatics domain </w:t>
      </w:r>
      <w:r w:rsidR="00C42EFF">
        <w:t>at the</w:t>
      </w:r>
      <w:r w:rsidR="004E5CE1">
        <w:t xml:space="preserve"> intersection of </w:t>
      </w:r>
      <w:r>
        <w:t>safety science and health informatics</w:t>
      </w:r>
      <w:r w:rsidR="00C42EFF">
        <w:t xml:space="preserve"> and highlight the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7B37B8">
        <w:t xml:space="preserve">output from the workshop: </w:t>
      </w:r>
      <w:r>
        <w:t xml:space="preserve">challenges and patient-safety implications of emerging </w:t>
      </w:r>
      <w:r w:rsidR="007F0FFA">
        <w:t xml:space="preserve">changes </w:t>
      </w:r>
      <w:r w:rsidR="0055697B">
        <w:t xml:space="preserve">to digital health </w:t>
      </w:r>
      <w:r w:rsidR="007B37B8">
        <w:t>and recommendations to address them.</w:t>
      </w:r>
    </w:p>
    <w:p w14:paraId="7416D4A6" w14:textId="24230EB3" w:rsidR="00DA09EC" w:rsidRPr="00F700A2" w:rsidRDefault="00DA09EC" w:rsidP="009D0ABB">
      <w:pPr>
        <w:rPr>
          <w:color w:val="4472C4" w:themeColor="accent5"/>
        </w:rPr>
      </w:pPr>
    </w:p>
    <w:p w14:paraId="0342C2C5" w14:textId="31A1842C" w:rsidR="004B6407" w:rsidRDefault="009D0ABB" w:rsidP="009D0ABB">
      <w:pPr>
        <w:pStyle w:val="Heading1"/>
      </w:pPr>
      <w:r>
        <w:t xml:space="preserve">Section 1: </w:t>
      </w:r>
      <w:r w:rsidR="005843D6">
        <w:t xml:space="preserve">Patient </w:t>
      </w:r>
      <w:r w:rsidR="000C663C">
        <w:t>S</w:t>
      </w:r>
      <w:r w:rsidR="005843D6">
        <w:t xml:space="preserve">afety and </w:t>
      </w:r>
      <w:r w:rsidR="00FF67B8">
        <w:t xml:space="preserve">Patient </w:t>
      </w:r>
      <w:r>
        <w:t>Safety Informatics</w:t>
      </w:r>
    </w:p>
    <w:p w14:paraId="359D0C01" w14:textId="77777777" w:rsidR="0033179C" w:rsidRDefault="0033179C" w:rsidP="0033179C">
      <w:pPr>
        <w:pStyle w:val="Heading2"/>
        <w:rPr>
          <w:rFonts w:asciiTheme="minorHAnsi" w:eastAsiaTheme="minorHAnsi" w:hAnsiTheme="minorHAnsi" w:cstheme="minorBidi"/>
          <w:sz w:val="22"/>
          <w:szCs w:val="22"/>
        </w:rPr>
      </w:pPr>
      <w:r>
        <w:t>Patient safety and digital health</w:t>
      </w:r>
    </w:p>
    <w:p w14:paraId="7C2132CA" w14:textId="037488D8" w:rsidR="00E95698" w:rsidRDefault="002D78D3" w:rsidP="0033179C">
      <w:r>
        <w:t xml:space="preserve">Although no consensual definition exists, patient safety can be considered to be </w:t>
      </w:r>
      <w:r w:rsidR="0055697B">
        <w:t xml:space="preserve">the </w:t>
      </w:r>
      <w:r>
        <w:t>“</w:t>
      </w:r>
      <w:r w:rsidRPr="008E3903">
        <w:rPr>
          <w:i/>
        </w:rPr>
        <w:t>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lastRenderedPageBreak/>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and embracing</w:t>
      </w:r>
      <w:r w:rsidR="00C769FE">
        <w:t xml:space="preserve"> risk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r w:rsidR="007E7366">
        <w:t>.</w:t>
      </w:r>
      <w:r w:rsidR="00C361D0">
        <w:t xml:space="preserve"> This sets healthcare apart from other safety-critical industries</w:t>
      </w:r>
      <w:r w:rsidR="008A7803">
        <w:t xml:space="preserve"> that </w:t>
      </w:r>
      <w:r w:rsidR="00C361D0">
        <w:t>predominantly focus on only one of these approaches.</w:t>
      </w:r>
    </w:p>
    <w:p w14:paraId="24D88517" w14:textId="2E34ECEA" w:rsidR="00823212" w:rsidRDefault="00823212" w:rsidP="00823212">
      <w:pPr>
        <w:rPr>
          <w:rFonts w:cstheme="minorHAnsi"/>
        </w:rPr>
      </w:pPr>
      <w:r w:rsidRPr="00484E71">
        <w:t xml:space="preserve">While the patient-safety perspective on health information technology is not novel </w:t>
      </w:r>
      <w:r w:rsidRPr="00484E71">
        <w:fldChar w:fldCharType="begin" w:fldLock="1"/>
      </w:r>
      <w:r>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 xml:space="preserve">-safety challenges and our capacity to address them are constantly in flux. </w:t>
      </w:r>
      <w:r w:rsidR="00455DDA">
        <w:t>H</w:t>
      </w:r>
      <w:r w:rsidR="00455DDA" w:rsidRPr="00484E71">
        <w:t>ealth information technology</w:t>
      </w:r>
      <w:r w:rsidR="00455DDA">
        <w:rPr>
          <w:rFonts w:cstheme="minorHAnsi"/>
        </w:rPr>
        <w:t xml:space="preserve"> </w:t>
      </w:r>
      <w:r>
        <w:rPr>
          <w:rFonts w:cstheme="minorHAnsi"/>
        </w:rPr>
        <w:t xml:space="preserve">is becoming increasingly networked in line with the fourth industrial revolution </w:t>
      </w:r>
      <w:r w:rsidRPr="00484E71">
        <w:rPr>
          <w:rFonts w:cstheme="minorHAnsi"/>
        </w:rPr>
        <w:fldChar w:fldCharType="begin" w:fldLock="1"/>
      </w:r>
      <w:r>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Pr="00484E71">
        <w:rPr>
          <w:rFonts w:cstheme="minorHAnsi"/>
        </w:rPr>
        <w:fldChar w:fldCharType="separate"/>
      </w:r>
      <w:r w:rsidRPr="00351A05">
        <w:rPr>
          <w:rFonts w:cstheme="minorHAnsi"/>
          <w:noProof/>
        </w:rPr>
        <w:t>(Wickramasinghe and Bodendorf, 2020)</w:t>
      </w:r>
      <w:r w:rsidRPr="00484E71">
        <w:rPr>
          <w:rFonts w:cstheme="minorHAnsi"/>
        </w:rPr>
        <w:fldChar w:fldCharType="end"/>
      </w:r>
      <w:r>
        <w:rPr>
          <w:rFonts w:cstheme="minorHAnsi"/>
        </w:rPr>
        <w:t xml:space="preserve">, </w:t>
      </w:r>
      <w:r w:rsidRPr="00484E71">
        <w:rPr>
          <w:rFonts w:eastAsia="Times New Roman" w:cstheme="minorHAnsi"/>
          <w:lang w:eastAsia="en-GB"/>
        </w:rPr>
        <w:t>pos</w:t>
      </w:r>
      <w:r>
        <w:rPr>
          <w:rFonts w:eastAsia="Times New Roman" w:cstheme="minorHAnsi"/>
          <w:lang w:eastAsia="en-GB"/>
        </w:rPr>
        <w:t>ing</w:t>
      </w:r>
      <w:r w:rsidRPr="00484E71">
        <w:rPr>
          <w:rFonts w:eastAsia="Times New Roman" w:cstheme="minorHAnsi"/>
          <w:lang w:eastAsia="en-GB"/>
        </w:rPr>
        <w:t xml:space="preserve"> novel </w:t>
      </w:r>
      <w:r>
        <w:rPr>
          <w:rFonts w:eastAsia="Times New Roman" w:cstheme="minorHAnsi"/>
          <w:lang w:eastAsia="en-GB"/>
        </w:rPr>
        <w:t>safety issues as technologies interact</w:t>
      </w:r>
      <w:r w:rsidRPr="00484E71">
        <w:rPr>
          <w:rFonts w:eastAsia="Times New Roman" w:cstheme="minorHAnsi"/>
          <w:lang w:eastAsia="en-GB"/>
        </w:rPr>
        <w:t xml:space="preserve"> </w:t>
      </w:r>
      <w:r w:rsidRPr="00484E71">
        <w:rPr>
          <w:rFonts w:eastAsia="Times New Roman" w:cstheme="minorHAnsi"/>
          <w:lang w:eastAsia="en-GB"/>
        </w:rPr>
        <w:fldChar w:fldCharType="begin" w:fldLock="1"/>
      </w:r>
      <w:r>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This is because w</w:t>
      </w:r>
      <w:r w:rsidRPr="00484E71">
        <w:rPr>
          <w:rFonts w:cstheme="minorHAnsi"/>
        </w:rPr>
        <w:t xml:space="preserve">hen </w:t>
      </w:r>
      <w:r w:rsidR="00455DDA">
        <w:t>health information technologies</w:t>
      </w:r>
      <w:r w:rsidRPr="00484E71">
        <w:rPr>
          <w:rFonts w:cstheme="minorHAnsi"/>
        </w:rPr>
        <w:t xml:space="preserve"> interact, they form a </w:t>
      </w:r>
      <w:commentRangeStart w:id="1"/>
      <w:r>
        <w:rPr>
          <w:rFonts w:cstheme="minorHAnsi"/>
        </w:rPr>
        <w:t xml:space="preserve">health information system </w:t>
      </w:r>
      <w:commentRangeEnd w:id="1"/>
      <w:r>
        <w:rPr>
          <w:rStyle w:val="CommentReference"/>
        </w:rPr>
        <w:commentReference w:id="1"/>
      </w:r>
      <w:r>
        <w:rPr>
          <w:rFonts w:cstheme="minorHAnsi"/>
        </w:rPr>
        <w:fldChar w:fldCharType="begin" w:fldLock="1"/>
      </w:r>
      <w:r>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Pr>
          <w:rFonts w:cstheme="minorHAnsi"/>
        </w:rPr>
        <w:fldChar w:fldCharType="separate"/>
      </w:r>
      <w:r w:rsidRPr="00351A05">
        <w:rPr>
          <w:rFonts w:cstheme="minorHAnsi"/>
          <w:noProof/>
        </w:rPr>
        <w:t>(Onik, Fielt and Gable, 2017)</w:t>
      </w:r>
      <w:r>
        <w:rPr>
          <w:rFonts w:cstheme="minorHAnsi"/>
        </w:rPr>
        <w:fldChar w:fldCharType="end"/>
      </w:r>
      <w:r>
        <w:rPr>
          <w:rFonts w:cstheme="minorHAnsi"/>
        </w:rPr>
        <w:t xml:space="preserve">, the success or failure of which is partly due to emergent rather than planned change resulting from local improvisation </w:t>
      </w:r>
      <w:r>
        <w:rPr>
          <w:rFonts w:cstheme="minorHAnsi"/>
        </w:rPr>
        <w:fldChar w:fldCharType="begin" w:fldLock="1"/>
      </w:r>
      <w:r>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Pr>
          <w:rFonts w:cstheme="minorHAnsi"/>
        </w:rPr>
        <w:fldChar w:fldCharType="separate"/>
      </w:r>
      <w:r w:rsidRPr="00351A05">
        <w:rPr>
          <w:rFonts w:cstheme="minorHAnsi"/>
          <w:noProof/>
        </w:rPr>
        <w:t>(Heeks, 2006)</w:t>
      </w:r>
      <w:r>
        <w:rPr>
          <w:rFonts w:cstheme="minorHAnsi"/>
        </w:rPr>
        <w:fldChar w:fldCharType="end"/>
      </w:r>
      <w:r>
        <w:rPr>
          <w:rFonts w:cstheme="minorHAnsi"/>
        </w:rPr>
        <w:t xml:space="preserve">. These </w:t>
      </w:r>
      <w:r w:rsidR="00455DDA" w:rsidRPr="00484E71">
        <w:t xml:space="preserve">health information </w:t>
      </w:r>
      <w:r w:rsidR="00455DDA">
        <w:t>systems</w:t>
      </w:r>
      <w:r w:rsidR="00455DDA">
        <w:rPr>
          <w:rFonts w:cstheme="minorHAnsi"/>
        </w:rPr>
        <w:t xml:space="preserve"> </w:t>
      </w:r>
      <w:r>
        <w:rPr>
          <w:rFonts w:cstheme="minorHAnsi"/>
        </w:rPr>
        <w:t xml:space="preserve">are the inevitable structure of </w:t>
      </w:r>
      <w:r w:rsidR="002F1A2B">
        <w:rPr>
          <w:rFonts w:cstheme="minorHAnsi"/>
        </w:rPr>
        <w:t xml:space="preserve">how </w:t>
      </w:r>
      <w:r>
        <w:rPr>
          <w:rFonts w:cstheme="minorHAnsi"/>
        </w:rPr>
        <w:t xml:space="preserve">digital health </w:t>
      </w:r>
      <w:r w:rsidR="002F1A2B">
        <w:rPr>
          <w:rFonts w:cstheme="minorHAnsi"/>
        </w:rPr>
        <w:t xml:space="preserve">is evolving </w:t>
      </w:r>
      <w:r>
        <w:rPr>
          <w:rFonts w:cstheme="minorHAnsi"/>
        </w:rPr>
        <w:fldChar w:fldCharType="begin" w:fldLock="1"/>
      </w:r>
      <w:r>
        <w:rPr>
          <w:rFonts w:cstheme="minorHAnsi"/>
        </w:rPr>
        <w:instrText>ADDIN CSL_CITATION {"citationItems":[{"id":"ITEM-1","itemData":{"DOI":"10.1016/j.jii.2020.100129","ISSN":"2452-414X","author":[{"dropping-particle":"","family":"Aceto","given":"Giuseppe","non-dropping-particle":"","parse-names":false,"suffix":""},{"dropping-particle":"","family":"Persico","given":"Valerio","non-dropping-particle":"","parse-names":false,"suffix":""},{"dropping-particle":"","family":"Pescapé","given":"Antonio","non-dropping-particle":"","parse-names":false,"suffix":""}],"container-title":"Journal of Industrial Information Integration","id":"ITEM-1","issued":{"date-parts":[["2020"]]},"page":"100129","publisher":"Elsevier","title":"Industry 4.0 and Health: Internet of Things, Big Data, and Cloud Computing","type":"article-journal","volume":"18"},"uris":["http://www.mendeley.com/documents/?uuid=dae5fe6b-26a8-479f-a932-a7667dd56787"]},{"id":"ITEM-2","itemData":{"DOI":"10.1016/j.future.2017.04.036","ISSN":"0167739X","abstract":"Internet of Things (IoT) offers a seamless platform to connect people and objects to one another for enriching and making our lives easier. This vision carries us from compute-based centralized schemes to a more distributed environment offering a vast amount of applications such as smart wearables, smart home, smart mobility, and smart cities. In this paper we discuss applicability of IoT in healthcare and medicine by presenting a holistic architecture of IoT eHealth ecosystem. Healthcare is becoming increasingly difficult to manage due to insufficient and less effective healthcare services to meet the increasing demands of rising aging population with chronic diseases. We propose that this requires a transition from the clinic-centric treatment to patient-centric healthcare where each agent such as hospital, patient, and services are seamlessly connected to each other. This patient-centric IoT eHealth ecosystem needs a multi-layer architecture: (1) device, (2) fog computing and (3) cloud to empower handling of complex data in terms of its variety, speed, and latency. This fog-driven IoT architecture is followed by various case examples of services and applications that are implemented on those layers. Those examples range from mobile health, assisted living, e-medicine, implants, early warning systems, to population monitoring in smart cities. We then finally address the challenges of IoT eHealth such as data management, scalability, regulations, interoperability, device–network–human interfaces, security, and privacy.","author":[{"dropping-particle":"","family":"Farahani","given":"Bahar","non-dropping-particle":"","parse-names":false,"suffix":""},{"dropping-particle":"","family":"Firouzi","given":"Farshad","non-dropping-particle":"","parse-names":false,"suffix":""},{"dropping-particle":"","family":"Chang","given":"Victor","non-dropping-particle":"","parse-names":false,"suffix":""},{"dropping-particle":"","family":"Badaroglu","given":"Mustafa","non-dropping-particle":"","parse-names":false,"suffix":""},{"dropping-particle":"","family":"Constant","given":"Nicholas","non-dropping-particle":"","parse-names":false,"suffix":""},{"dropping-particle":"","family":"Mankodiya","given":"Kunal","non-dropping-particle":"","parse-names":false,"suffix":""}],"container-title":"Future Generation Computer Systems","id":"ITEM-2","issued":{"date-parts":[["2018"]]},"page":"659-676","title":"Towards fog-driven IoT eHealth: Promises and challenges of IoT in medicine and healthcare","type":"article-journal","volume":"78"},"uris":["http://www.mendeley.com/documents/?uuid=b5803d7f-4c09-470f-87f6-e57f99febcca"]}],"mendeley":{"formattedCitation":"(Farahani &lt;i&gt;et al.&lt;/i&gt;, 2018; Aceto, Persico and Pescapé, 2020)","plainTextFormattedCitation":"(Farahani et al., 2018; Aceto, Persico and Pescapé, 2020)","previouslyFormattedCitation":"(Farahani &lt;i&gt;et al.&lt;/i&gt;, 2018; Aceto, Persico and Pescapé, 2020)"},"properties":{"noteIndex":0},"schema":"https://github.com/citation-style-language/schema/raw/master/csl-citation.json"}</w:instrText>
      </w:r>
      <w:r>
        <w:rPr>
          <w:rFonts w:cstheme="minorHAnsi"/>
        </w:rPr>
        <w:fldChar w:fldCharType="separate"/>
      </w:r>
      <w:r w:rsidRPr="007F0FFA">
        <w:rPr>
          <w:rFonts w:cstheme="minorHAnsi"/>
          <w:noProof/>
        </w:rPr>
        <w:t xml:space="preserve">(Farahani </w:t>
      </w:r>
      <w:r w:rsidRPr="007F0FFA">
        <w:rPr>
          <w:rFonts w:cstheme="minorHAnsi"/>
          <w:i/>
          <w:noProof/>
        </w:rPr>
        <w:t>et al.</w:t>
      </w:r>
      <w:r w:rsidRPr="007F0FFA">
        <w:rPr>
          <w:rFonts w:cstheme="minorHAnsi"/>
          <w:noProof/>
        </w:rPr>
        <w:t>, 2018; Aceto, Persico and Pescapé, 2020)</w:t>
      </w:r>
      <w:r>
        <w:rPr>
          <w:rFonts w:cstheme="minorHAnsi"/>
        </w:rPr>
        <w:fldChar w:fldCharType="end"/>
      </w:r>
      <w:r>
        <w:rPr>
          <w:rFonts w:cstheme="minorHAnsi"/>
        </w:rPr>
        <w:t>, and will require a systemic perspective from developers, users and patient-safety researchers to mitigate emergent challenges to patient safety.</w:t>
      </w:r>
    </w:p>
    <w:p w14:paraId="576FEE71" w14:textId="0609037C" w:rsidR="0055697B" w:rsidRDefault="006A6EEC" w:rsidP="0055697B">
      <w:r>
        <w:t xml:space="preserve">Helpfully, </w:t>
      </w:r>
      <w:r w:rsidR="0055697B">
        <w:fldChar w:fldCharType="begin" w:fldLock="1"/>
      </w:r>
      <w:r w:rsidR="0033179C">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change","type":"article-journal","volume":"19"},"uris":["http://www.mendeley.com/documents/?uuid=29e65e51-2c38-450a-a6f0-f0dc9e8adc84"]}],"mendeley":{"formattedCitation":"(Markus, 2004)","manualFormatting":"Markus (2004)","plainTextFormattedCitation":"(Markus, 2004)","previouslyFormattedCitation":"(Markus, 2004)"},"properties":{"noteIndex":0},"schema":"https://github.com/citation-style-language/schema/raw/master/csl-citation.json"}</w:instrText>
      </w:r>
      <w:r w:rsidR="0055697B">
        <w:fldChar w:fldCharType="separate"/>
      </w:r>
      <w:r w:rsidR="0055697B">
        <w:rPr>
          <w:noProof/>
        </w:rPr>
        <w:t>Markus</w:t>
      </w:r>
      <w:r w:rsidR="0055697B" w:rsidRPr="00F10E19">
        <w:rPr>
          <w:noProof/>
        </w:rPr>
        <w:t xml:space="preserve"> </w:t>
      </w:r>
      <w:r w:rsidR="0055697B">
        <w:rPr>
          <w:noProof/>
        </w:rPr>
        <w:t>(</w:t>
      </w:r>
      <w:r w:rsidR="0055697B" w:rsidRPr="00F10E19">
        <w:rPr>
          <w:noProof/>
        </w:rPr>
        <w:t>2004)</w:t>
      </w:r>
      <w:r w:rsidR="0055697B">
        <w:fldChar w:fldCharType="end"/>
      </w:r>
      <w:r w:rsidR="0055697B">
        <w:t xml:space="preserve"> </w:t>
      </w:r>
      <w:r w:rsidR="00455DDA">
        <w:t xml:space="preserve">provides a framework to map the ways that digital health could evolve. </w:t>
      </w:r>
      <w:r>
        <w:fldChar w:fldCharType="begin" w:fldLock="1"/>
      </w:r>
      <w:r w:rsidR="0033179C">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change","type":"article-journal","volume":"19"},"uris":["http://www.mendeley.com/documents/?uuid=29e65e51-2c38-450a-a6f0-f0dc9e8adc84"]}],"mendeley":{"formattedCitation":"(Markus, 2004)","manualFormatting":"Markus's (2004)","plainTextFormattedCitation":"(Markus, 2004)","previouslyFormattedCitation":"(Markus, 2004)"},"properties":{"noteIndex":0},"schema":"https://github.com/citation-style-language/schema/raw/master/csl-citation.json"}</w:instrText>
      </w:r>
      <w:r>
        <w:fldChar w:fldCharType="separate"/>
      </w:r>
      <w:r>
        <w:rPr>
          <w:noProof/>
        </w:rPr>
        <w:t>Markus's</w:t>
      </w:r>
      <w:r w:rsidRPr="00F10E19">
        <w:rPr>
          <w:noProof/>
        </w:rPr>
        <w:t xml:space="preserve"> </w:t>
      </w:r>
      <w:r>
        <w:rPr>
          <w:noProof/>
        </w:rPr>
        <w:t>(</w:t>
      </w:r>
      <w:r w:rsidRPr="00F10E19">
        <w:rPr>
          <w:noProof/>
        </w:rPr>
        <w:t>2004)</w:t>
      </w:r>
      <w:r>
        <w:fldChar w:fldCharType="end"/>
      </w:r>
      <w:r w:rsidR="00455DDA">
        <w:t xml:space="preserve"> implie</w:t>
      </w:r>
      <w:r>
        <w:t>s</w:t>
      </w:r>
      <w:r w:rsidR="002F1A2B">
        <w:t xml:space="preserve"> a</w:t>
      </w:r>
      <w:r w:rsidR="00455DDA">
        <w:t xml:space="preserve"> 2x2 </w:t>
      </w:r>
      <w:r w:rsidR="002F1A2B">
        <w:t xml:space="preserve">model </w:t>
      </w:r>
      <w:r>
        <w:t>describing</w:t>
      </w:r>
      <w:r w:rsidR="0055697B">
        <w:t xml:space="preserve"> the risk</w:t>
      </w:r>
      <w:r>
        <w:t>s</w:t>
      </w:r>
      <w:r w:rsidR="0055697B">
        <w:t xml:space="preserve"> associated with</w:t>
      </w:r>
      <w:r w:rsidR="00455DDA">
        <w:t xml:space="preserve"> both novel and existing technologies</w:t>
      </w:r>
      <w:r w:rsidR="0055697B">
        <w:t xml:space="preserve"> and </w:t>
      </w:r>
      <w:r w:rsidR="00455DDA">
        <w:t xml:space="preserve">their </w:t>
      </w:r>
      <w:r w:rsidR="0055697B">
        <w:t>application (Table x</w:t>
      </w:r>
      <w:r w:rsidR="0055697B" w:rsidRPr="00F10E19">
        <w:rPr>
          <w:highlight w:val="yellow"/>
        </w:rPr>
        <w:t>2x2</w:t>
      </w:r>
      <w:r w:rsidR="0055697B">
        <w:t xml:space="preserve">x). </w:t>
      </w:r>
      <w:r w:rsidRPr="006A6EEC">
        <w:rPr>
          <w:i/>
        </w:rPr>
        <w:t>T</w:t>
      </w:r>
      <w:r w:rsidR="0055697B" w:rsidRPr="00326C13">
        <w:rPr>
          <w:i/>
        </w:rPr>
        <w:t>echnochange</w:t>
      </w:r>
      <w:r w:rsidR="0055697B">
        <w:t xml:space="preserve"> refers to </w:t>
      </w:r>
      <w:r>
        <w:t xml:space="preserve">the highest-risk of combining </w:t>
      </w:r>
      <w:r w:rsidR="0055697B" w:rsidRPr="00823212">
        <w:rPr>
          <w:i/>
        </w:rPr>
        <w:t>novel</w:t>
      </w:r>
      <w:r w:rsidR="0055697B">
        <w:t xml:space="preserve"> applications of </w:t>
      </w:r>
      <w:r w:rsidR="0055697B" w:rsidRPr="00823212">
        <w:rPr>
          <w:i/>
        </w:rPr>
        <w:t>new</w:t>
      </w:r>
      <w:r>
        <w:t xml:space="preserve"> technologies</w:t>
      </w:r>
      <w:r w:rsidR="0055697B">
        <w:t xml:space="preserve">. </w:t>
      </w:r>
      <w:r w:rsidR="00455DDA">
        <w:t>T</w:t>
      </w:r>
      <w:r w:rsidR="00823212">
        <w:t>his high-risk</w:t>
      </w:r>
      <w:r w:rsidR="0055697B">
        <w:t xml:space="preserve"> </w:t>
      </w:r>
      <w:r>
        <w:t>path for</w:t>
      </w:r>
      <w:r w:rsidR="00823212">
        <w:t xml:space="preserve"> digital health is </w:t>
      </w:r>
      <w:r w:rsidR="00455DDA">
        <w:t xml:space="preserve">driven by </w:t>
      </w:r>
      <w:r w:rsidR="0055697B">
        <w:t xml:space="preserve">the relationship between </w:t>
      </w:r>
      <w:r w:rsidR="0055697B" w:rsidRPr="00326C13">
        <w:t>vendors who want to be first to market and buyers who want to be seen to innovate</w:t>
      </w:r>
      <w:r w:rsidR="0055697B">
        <w:t>. These incentives can encourage high risk</w:t>
      </w:r>
      <w:r w:rsidR="00823212">
        <w:t>s</w:t>
      </w:r>
      <w:r w:rsidR="0055697B">
        <w:t xml:space="preserve"> for associated </w:t>
      </w:r>
      <w:r>
        <w:t xml:space="preserve">large </w:t>
      </w:r>
      <w:r w:rsidR="0055697B">
        <w:t>rewards</w:t>
      </w:r>
      <w:r>
        <w:t xml:space="preserve"> but</w:t>
      </w:r>
      <w:r w:rsidR="0055697B">
        <w:t xml:space="preserve"> at the cost of patient safety. </w:t>
      </w:r>
      <w:r w:rsidR="002F1A2B">
        <w:t xml:space="preserve">It is important to note that health information systems are complex adaptive systems </w:t>
      </w:r>
      <w:r w:rsidR="002F1A2B">
        <w:rPr>
          <w:rFonts w:cstheme="minorHAnsi"/>
        </w:rPr>
        <w:fldChar w:fldCharType="begin" w:fldLock="1"/>
      </w:r>
      <w:r w:rsidR="002F1A2B">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2F1A2B">
        <w:rPr>
          <w:rFonts w:cstheme="minorHAnsi"/>
        </w:rPr>
        <w:fldChar w:fldCharType="separate"/>
      </w:r>
      <w:r w:rsidR="002F1A2B" w:rsidRPr="00351A05">
        <w:rPr>
          <w:rFonts w:cstheme="minorHAnsi"/>
          <w:noProof/>
        </w:rPr>
        <w:t>(Johnson, 2019)</w:t>
      </w:r>
      <w:r w:rsidR="002F1A2B">
        <w:rPr>
          <w:rFonts w:cstheme="minorHAnsi"/>
        </w:rPr>
        <w:fldChar w:fldCharType="end"/>
      </w:r>
      <w:r w:rsidR="002F1A2B">
        <w:t>, so whether technology is introduced via familiar or novel applications, it is likely to have unforeseeable consequences.</w:t>
      </w:r>
    </w:p>
    <w:p w14:paraId="7C1B549E" w14:textId="77777777" w:rsidR="0055697B" w:rsidRDefault="0055697B" w:rsidP="0055697B"/>
    <w:tbl>
      <w:tblPr>
        <w:tblStyle w:val="TableGrid"/>
        <w:tblW w:w="0" w:type="auto"/>
        <w:jc w:val="center"/>
        <w:tblBorders>
          <w:bottom w:val="none" w:sz="0" w:space="0" w:color="auto"/>
        </w:tblBorders>
        <w:tblLook w:val="04A0" w:firstRow="1" w:lastRow="0" w:firstColumn="1" w:lastColumn="0" w:noHBand="0" w:noVBand="1"/>
      </w:tblPr>
      <w:tblGrid>
        <w:gridCol w:w="6237"/>
      </w:tblGrid>
      <w:tr w:rsidR="0055697B" w:rsidRPr="002820F4" w14:paraId="3087362F" w14:textId="77777777" w:rsidTr="0034034B">
        <w:trPr>
          <w:jc w:val="center"/>
        </w:trPr>
        <w:tc>
          <w:tcPr>
            <w:tcW w:w="6237" w:type="dxa"/>
            <w:tcBorders>
              <w:top w:val="nil"/>
              <w:left w:val="nil"/>
              <w:bottom w:val="single" w:sz="4" w:space="0" w:color="auto"/>
              <w:right w:val="nil"/>
            </w:tcBorders>
          </w:tcPr>
          <w:p w14:paraId="3F8A1CFF" w14:textId="537C49CB" w:rsidR="0055697B" w:rsidRPr="002820F4" w:rsidRDefault="0055697B" w:rsidP="00834B1B">
            <w:pPr>
              <w:rPr>
                <w:sz w:val="20"/>
              </w:rPr>
            </w:pPr>
            <w:r w:rsidRPr="002820F4">
              <w:rPr>
                <w:b/>
                <w:sz w:val="20"/>
              </w:rPr>
              <w:t>Table x</w:t>
            </w:r>
            <w:r w:rsidRPr="002820F4">
              <w:rPr>
                <w:b/>
                <w:sz w:val="20"/>
                <w:shd w:val="clear" w:color="auto" w:fill="FFFF00"/>
              </w:rPr>
              <w:t>2x2</w:t>
            </w:r>
            <w:r w:rsidRPr="002820F4">
              <w:rPr>
                <w:b/>
                <w:sz w:val="20"/>
              </w:rPr>
              <w:t>x</w:t>
            </w:r>
            <w:r w:rsidRPr="002820F4">
              <w:rPr>
                <w:sz w:val="20"/>
              </w:rPr>
              <w:t xml:space="preserve"> Contingency table illustrating the risk categories associated with interactions of novel and existing technology and its application. Adapted from </w:t>
            </w:r>
            <w:r w:rsidRPr="002820F4">
              <w:rPr>
                <w:sz w:val="20"/>
              </w:rPr>
              <w:fldChar w:fldCharType="begin" w:fldLock="1"/>
            </w:r>
            <w:r w:rsidR="0033179C">
              <w:rPr>
                <w:sz w:val="20"/>
              </w:rPr>
              <w:instrText>ADDIN CSL_CITATION {"citationItems":[{"id":"ITEM-1","itemData":{"DOI":"10.1057/palgrave.jit.2000002","ISBN":"7818912312","ISSN":"02683962","author":[{"dropping-particle":"","family":"Markus","given":"M. Lynne","non-dropping-particle":"","parse-names":false,"suffix":""}],"container-title":"Journal of Information Technology","id":"ITEM-1","issue":"1","issued":{"date-parts":[["2004"]]},"page":"4-20","title":"Technochange management: Using IT to drive organizational change","type":"article-journal","volume":"19"},"uris":["http://www.mendeley.com/documents/?uuid=29e65e51-2c38-450a-a6f0-f0dc9e8adc84"]}],"mendeley":{"formattedCitation":"(Markus, 2004)","manualFormatting":"Markus (2004)","plainTextFormattedCitation":"(Markus, 2004)","previouslyFormattedCitation":"(Markus, 2004)"},"properties":{"noteIndex":0},"schema":"https://github.com/citation-style-language/schema/raw/master/csl-citation.json"}</w:instrText>
            </w:r>
            <w:r w:rsidRPr="002820F4">
              <w:rPr>
                <w:sz w:val="20"/>
              </w:rPr>
              <w:fldChar w:fldCharType="separate"/>
            </w:r>
            <w:r w:rsidRPr="002820F4">
              <w:rPr>
                <w:noProof/>
                <w:sz w:val="20"/>
              </w:rPr>
              <w:t>Markus (2004)</w:t>
            </w:r>
            <w:r w:rsidRPr="002820F4">
              <w:rPr>
                <w:sz w:val="20"/>
              </w:rPr>
              <w:fldChar w:fldCharType="end"/>
            </w:r>
            <w:r w:rsidRPr="002820F4">
              <w:rPr>
                <w:sz w:val="20"/>
              </w:rPr>
              <w:t>.</w:t>
            </w:r>
          </w:p>
        </w:tc>
      </w:tr>
      <w:tr w:rsidR="0055697B" w14:paraId="5D8C918A" w14:textId="77777777" w:rsidTr="0034034B">
        <w:trPr>
          <w:jc w:val="center"/>
        </w:trPr>
        <w:tc>
          <w:tcPr>
            <w:tcW w:w="6237" w:type="dxa"/>
            <w:tcBorders>
              <w:top w:val="single" w:sz="4" w:space="0" w:color="auto"/>
              <w:left w:val="nil"/>
              <w:bottom w:val="nil"/>
              <w:right w:val="nil"/>
            </w:tcBorders>
          </w:tcPr>
          <w:tbl>
            <w:tblPr>
              <w:tblStyle w:val="TableGrid"/>
              <w:tblpPr w:leftFromText="180" w:rightFromText="180" w:vertAnchor="text" w:horzAnchor="margin" w:tblpXSpec="center" w:tblpY="35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7"/>
              <w:gridCol w:w="1210"/>
              <w:gridCol w:w="1210"/>
            </w:tblGrid>
            <w:tr w:rsidR="0055697B" w14:paraId="378B194E" w14:textId="77777777" w:rsidTr="00883287">
              <w:tc>
                <w:tcPr>
                  <w:tcW w:w="1427" w:type="dxa"/>
                  <w:tcBorders>
                    <w:bottom w:val="single" w:sz="4" w:space="0" w:color="auto"/>
                    <w:right w:val="single" w:sz="4" w:space="0" w:color="auto"/>
                  </w:tcBorders>
                </w:tcPr>
                <w:p w14:paraId="4E3670DB" w14:textId="77777777" w:rsidR="0055697B" w:rsidRDefault="0055697B" w:rsidP="00834B1B">
                  <w:pPr>
                    <w:spacing w:before="120" w:after="120"/>
                  </w:pPr>
                </w:p>
              </w:tc>
              <w:tc>
                <w:tcPr>
                  <w:tcW w:w="1210" w:type="dxa"/>
                  <w:tcBorders>
                    <w:left w:val="single" w:sz="4" w:space="0" w:color="auto"/>
                    <w:bottom w:val="single" w:sz="4" w:space="0" w:color="auto"/>
                  </w:tcBorders>
                </w:tcPr>
                <w:p w14:paraId="19945BDA" w14:textId="77777777" w:rsidR="0055697B" w:rsidRPr="002820F4" w:rsidRDefault="0055697B" w:rsidP="00834B1B">
                  <w:pPr>
                    <w:spacing w:before="120" w:after="120"/>
                    <w:jc w:val="center"/>
                    <w:rPr>
                      <w:i/>
                    </w:rPr>
                  </w:pPr>
                  <w:r w:rsidRPr="002820F4">
                    <w:rPr>
                      <w:i/>
                    </w:rPr>
                    <w:t>New technology</w:t>
                  </w:r>
                </w:p>
              </w:tc>
              <w:tc>
                <w:tcPr>
                  <w:tcW w:w="1210" w:type="dxa"/>
                  <w:tcBorders>
                    <w:bottom w:val="single" w:sz="4" w:space="0" w:color="auto"/>
                  </w:tcBorders>
                </w:tcPr>
                <w:p w14:paraId="6B9468F3" w14:textId="77777777" w:rsidR="0055697B" w:rsidRPr="002820F4" w:rsidRDefault="0055697B" w:rsidP="00834B1B">
                  <w:pPr>
                    <w:spacing w:before="120" w:after="120"/>
                    <w:jc w:val="center"/>
                    <w:rPr>
                      <w:i/>
                    </w:rPr>
                  </w:pPr>
                  <w:r w:rsidRPr="002820F4">
                    <w:rPr>
                      <w:i/>
                    </w:rPr>
                    <w:t>Existing technology</w:t>
                  </w:r>
                </w:p>
              </w:tc>
            </w:tr>
            <w:tr w:rsidR="0055697B" w14:paraId="5F5F6613" w14:textId="77777777" w:rsidTr="00883287">
              <w:tc>
                <w:tcPr>
                  <w:tcW w:w="1427" w:type="dxa"/>
                  <w:tcBorders>
                    <w:top w:val="single" w:sz="4" w:space="0" w:color="auto"/>
                    <w:right w:val="single" w:sz="4" w:space="0" w:color="auto"/>
                  </w:tcBorders>
                </w:tcPr>
                <w:p w14:paraId="6E5695E2" w14:textId="77777777" w:rsidR="0055697B" w:rsidRPr="002820F4" w:rsidRDefault="0055697B" w:rsidP="00834B1B">
                  <w:pPr>
                    <w:spacing w:before="120" w:after="120"/>
                    <w:rPr>
                      <w:i/>
                    </w:rPr>
                  </w:pPr>
                  <w:r w:rsidRPr="002820F4">
                    <w:rPr>
                      <w:i/>
                    </w:rPr>
                    <w:t>Novel application</w:t>
                  </w:r>
                </w:p>
              </w:tc>
              <w:tc>
                <w:tcPr>
                  <w:tcW w:w="1210" w:type="dxa"/>
                  <w:tcBorders>
                    <w:top w:val="single" w:sz="4" w:space="0" w:color="auto"/>
                    <w:left w:val="single" w:sz="4" w:space="0" w:color="auto"/>
                  </w:tcBorders>
                  <w:vAlign w:val="center"/>
                </w:tcPr>
                <w:p w14:paraId="0AC0E30F" w14:textId="77777777" w:rsidR="0055697B" w:rsidRDefault="0055697B" w:rsidP="00834B1B">
                  <w:pPr>
                    <w:spacing w:before="120" w:after="120"/>
                    <w:jc w:val="center"/>
                  </w:pPr>
                  <w:r>
                    <w:t>High risk</w:t>
                  </w:r>
                </w:p>
              </w:tc>
              <w:tc>
                <w:tcPr>
                  <w:tcW w:w="1210" w:type="dxa"/>
                  <w:tcBorders>
                    <w:top w:val="single" w:sz="4" w:space="0" w:color="auto"/>
                  </w:tcBorders>
                  <w:vAlign w:val="center"/>
                </w:tcPr>
                <w:p w14:paraId="24D375EA" w14:textId="77777777" w:rsidR="0055697B" w:rsidRDefault="0055697B" w:rsidP="00834B1B">
                  <w:pPr>
                    <w:spacing w:before="120" w:after="120"/>
                    <w:jc w:val="center"/>
                  </w:pPr>
                  <w:r>
                    <w:t>Moderate risk</w:t>
                  </w:r>
                </w:p>
              </w:tc>
            </w:tr>
            <w:tr w:rsidR="0055697B" w14:paraId="22DEE273" w14:textId="77777777" w:rsidTr="00883287">
              <w:tc>
                <w:tcPr>
                  <w:tcW w:w="1427" w:type="dxa"/>
                  <w:tcBorders>
                    <w:right w:val="single" w:sz="4" w:space="0" w:color="auto"/>
                  </w:tcBorders>
                </w:tcPr>
                <w:p w14:paraId="69DBDF76" w14:textId="77777777" w:rsidR="0055697B" w:rsidRPr="002820F4" w:rsidRDefault="0055697B" w:rsidP="00834B1B">
                  <w:pPr>
                    <w:spacing w:before="120" w:after="120"/>
                    <w:rPr>
                      <w:i/>
                    </w:rPr>
                  </w:pPr>
                  <w:r w:rsidRPr="002820F4">
                    <w:rPr>
                      <w:i/>
                    </w:rPr>
                    <w:t>Familiar application</w:t>
                  </w:r>
                </w:p>
              </w:tc>
              <w:tc>
                <w:tcPr>
                  <w:tcW w:w="1210" w:type="dxa"/>
                  <w:tcBorders>
                    <w:left w:val="single" w:sz="4" w:space="0" w:color="auto"/>
                  </w:tcBorders>
                  <w:vAlign w:val="center"/>
                </w:tcPr>
                <w:p w14:paraId="331895AC" w14:textId="77777777" w:rsidR="0055697B" w:rsidRDefault="0055697B" w:rsidP="00834B1B">
                  <w:pPr>
                    <w:spacing w:before="120" w:after="120"/>
                    <w:jc w:val="center"/>
                  </w:pPr>
                  <w:r>
                    <w:t>Moderate risk</w:t>
                  </w:r>
                </w:p>
              </w:tc>
              <w:tc>
                <w:tcPr>
                  <w:tcW w:w="1210" w:type="dxa"/>
                  <w:vAlign w:val="center"/>
                </w:tcPr>
                <w:p w14:paraId="5132BF3A" w14:textId="77777777" w:rsidR="0055697B" w:rsidRDefault="0055697B" w:rsidP="00834B1B">
                  <w:pPr>
                    <w:spacing w:before="120" w:after="120"/>
                    <w:jc w:val="center"/>
                  </w:pPr>
                  <w:r>
                    <w:t>Low risk</w:t>
                  </w:r>
                </w:p>
              </w:tc>
            </w:tr>
          </w:tbl>
          <w:p w14:paraId="38D4FA21" w14:textId="0664EE54" w:rsidR="00883287" w:rsidRDefault="00883287" w:rsidP="00883287">
            <w:pPr>
              <w:spacing w:before="120"/>
            </w:pPr>
          </w:p>
        </w:tc>
      </w:tr>
      <w:tr w:rsidR="0034034B" w14:paraId="69EE7255" w14:textId="77777777" w:rsidTr="0034034B">
        <w:trPr>
          <w:jc w:val="center"/>
        </w:trPr>
        <w:tc>
          <w:tcPr>
            <w:tcW w:w="6237" w:type="dxa"/>
            <w:tcBorders>
              <w:top w:val="nil"/>
              <w:left w:val="nil"/>
              <w:bottom w:val="single" w:sz="4" w:space="0" w:color="auto"/>
              <w:right w:val="nil"/>
            </w:tcBorders>
          </w:tcPr>
          <w:p w14:paraId="17992A0A" w14:textId="77777777" w:rsidR="0034034B" w:rsidRDefault="0034034B" w:rsidP="00834B1B">
            <w:pPr>
              <w:spacing w:before="120" w:after="120"/>
            </w:pPr>
          </w:p>
        </w:tc>
      </w:tr>
    </w:tbl>
    <w:p w14:paraId="2E2864CF" w14:textId="77777777" w:rsidR="0055697B" w:rsidRDefault="0055697B" w:rsidP="00484E71"/>
    <w:p w14:paraId="3BB0EAC7" w14:textId="61CF76D7" w:rsidR="0032493D" w:rsidRDefault="006A6EEC" w:rsidP="0032493D">
      <w:r>
        <w:t>Whether digital health evolves along high, moderate or low risk paths, many c</w:t>
      </w:r>
      <w:r w:rsidR="00484E71">
        <w:t xml:space="preserve">hallenges posed by </w:t>
      </w:r>
      <w:r w:rsidR="00D10464">
        <w:t xml:space="preserve">increasingly-complex </w:t>
      </w:r>
      <w:r w:rsidR="00823212">
        <w:t>digital health</w:t>
      </w:r>
      <w:r w:rsidR="00D10464">
        <w:t xml:space="preserve"> </w:t>
      </w:r>
      <w:r>
        <w:t xml:space="preserve">are </w:t>
      </w:r>
      <w:commentRangeStart w:id="2"/>
      <w:r>
        <w:t>similar</w:t>
      </w:r>
      <w:commentRangeEnd w:id="2"/>
      <w:r>
        <w:rPr>
          <w:rStyle w:val="CommentReference"/>
        </w:rPr>
        <w:commentReference w:id="2"/>
      </w:r>
      <w:r w:rsidR="004E5CE1">
        <w:t>:</w:t>
      </w:r>
      <w:r w:rsidR="00484E71" w:rsidRPr="0032493D">
        <w:t xml:space="preserve"> </w:t>
      </w:r>
      <w:r w:rsidR="00D10464">
        <w:t xml:space="preserve">innovations </w:t>
      </w:r>
      <w:r w:rsidR="00484E71" w:rsidRPr="0032493D">
        <w:t xml:space="preserve">are </w:t>
      </w:r>
      <w:r w:rsidR="00E124EC">
        <w:t>un</w:t>
      </w:r>
      <w:r w:rsidR="00484E71" w:rsidRPr="0032493D">
        <w:t xml:space="preserve">likely to be equally affordable </w:t>
      </w:r>
      <w:r w:rsidR="00E124EC">
        <w:t>and</w:t>
      </w:r>
      <w:r w:rsidR="00E124EC" w:rsidRPr="0032493D">
        <w:t xml:space="preserve"> </w:t>
      </w:r>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Pr="0032493D">
        <w:t xml:space="preserve">algorithms and models </w:t>
      </w:r>
      <w:r>
        <w:t xml:space="preserve">are of transient relevance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w:t>
      </w:r>
      <w:r>
        <w:t xml:space="preserve">there has been a </w:t>
      </w:r>
      <w:r w:rsidR="0032493D" w:rsidRPr="0032493D">
        <w:t xml:space="preserve">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societal challenges like an aging population </w:t>
      </w:r>
      <w:r w:rsidR="00D10464">
        <w:lastRenderedPageBreak/>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r w:rsidR="007551CF">
        <w:t>;</w:t>
      </w:r>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rsidR="006B300B">
        <w:t xml:space="preserve">are associated with </w:t>
      </w:r>
      <w:r w:rsidR="00427C91">
        <w:t xml:space="preserve">known </w:t>
      </w:r>
      <w:r w:rsidR="006B300B">
        <w:t xml:space="preserve">and unknown </w:t>
      </w:r>
      <w:r w:rsidR="00427C91">
        <w:t xml:space="preserve">implications for patient safety, which </w:t>
      </w:r>
      <w:r w:rsidR="006B300B">
        <w:t>need to be addressed for responsible provision of healthcare.</w:t>
      </w:r>
      <w:r w:rsidR="00D9344B">
        <w:t xml:space="preserve"> </w:t>
      </w:r>
      <w:r>
        <w:t>Hence, t</w:t>
      </w:r>
      <w:r w:rsidR="00F27F17">
        <w:t>here is</w:t>
      </w:r>
      <w:r>
        <w:t xml:space="preserve"> </w:t>
      </w:r>
      <w:r w:rsidR="00F27F17">
        <w:t xml:space="preserve">a need for rigorous study of the relationship between </w:t>
      </w:r>
      <w:r w:rsidR="00823212">
        <w:t>emerging digital</w:t>
      </w:r>
      <w:r w:rsidR="00F27F17">
        <w:t xml:space="preserve"> </w:t>
      </w:r>
      <w:r>
        <w:t xml:space="preserve">health </w:t>
      </w:r>
      <w:r w:rsidR="00F27F17">
        <w:t xml:space="preserve">and patient safety, i.e. a </w:t>
      </w:r>
      <w:r w:rsidR="007F0FFA">
        <w:t xml:space="preserve">Patient </w:t>
      </w:r>
      <w:r w:rsidR="00C07E6D">
        <w:t>Safety Informatics.</w:t>
      </w:r>
    </w:p>
    <w:p w14:paraId="5EF650BB" w14:textId="1B70F77F" w:rsidR="00823212" w:rsidRDefault="00823212" w:rsidP="0032493D">
      <w:pPr>
        <w:rPr>
          <w:color w:val="4472C4" w:themeColor="accent5"/>
        </w:rPr>
      </w:pPr>
    </w:p>
    <w:p w14:paraId="57D38080" w14:textId="7FF1ECA6" w:rsidR="00823212" w:rsidRDefault="0033179C" w:rsidP="00823212">
      <w:pPr>
        <w:pStyle w:val="Heading2"/>
      </w:pPr>
      <w:r>
        <w:t>Patient Safety Informatics</w:t>
      </w:r>
    </w:p>
    <w:p w14:paraId="02070CF9" w14:textId="3E1EFF2C" w:rsidR="0075274E" w:rsidRDefault="00EE199C" w:rsidP="00DE526B">
      <w:r>
        <w:t xml:space="preserve">Although there is no official definition of </w:t>
      </w:r>
      <w:r w:rsidR="00217673">
        <w:t xml:space="preserve">Patient </w:t>
      </w:r>
      <w:r>
        <w:t>Safety Informatics, t</w:t>
      </w:r>
      <w:r w:rsidR="00151E77">
        <w:t>he International Medical Informatics Association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r>
        <w:rPr>
          <w:i/>
        </w:rPr>
        <w:t xml:space="preserve"> </w:t>
      </w:r>
      <w:r w:rsidRPr="00D9344B">
        <w:t>[and</w:t>
      </w:r>
      <w:r>
        <w:t xml:space="preserve"> focusing on</w:t>
      </w:r>
      <w:r w:rsidRPr="00D9344B">
        <w:t>]</w:t>
      </w:r>
      <w:r>
        <w:rPr>
          <w:i/>
        </w:rPr>
        <w:t xml:space="preserve"> </w:t>
      </w:r>
      <w:r w:rsidR="00151E77" w:rsidRPr="00357A11">
        <w:rPr>
          <w:i/>
        </w:rPr>
        <w:t>how healthcare information systems can improve patient safety, as well as identifying and rectifying safety issues</w:t>
      </w:r>
      <w:r w:rsidR="00151E77">
        <w:t xml:space="preserve">” </w:t>
      </w:r>
      <w:r w:rsidR="00151E77">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rsidR="00151E77">
        <w:fldChar w:fldCharType="separate"/>
      </w:r>
      <w:r w:rsidR="00351A05" w:rsidRPr="00351A05">
        <w:rPr>
          <w:noProof/>
        </w:rPr>
        <w:t>(IMIA WG7, 2018)</w:t>
      </w:r>
      <w:r w:rsidR="00151E77">
        <w:fldChar w:fldCharType="end"/>
      </w:r>
      <w:r w:rsidR="00151E77">
        <w:t>.</w:t>
      </w:r>
      <w:r w:rsidR="004E5CE1">
        <w:t xml:space="preserve"> 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r w:rsidR="00CF5587">
        <w:t>,</w:t>
      </w:r>
      <w:r w:rsidR="00D9344B">
        <w:t xml:space="preserve"> </w:t>
      </w:r>
      <w:r w:rsidR="00CF5587">
        <w:t xml:space="preserve">which </w:t>
      </w:r>
      <w:r w:rsidR="004E5CE1">
        <w:t>defines three safety domains</w:t>
      </w:r>
      <w:r w:rsidR="00942589">
        <w:t xml:space="preserve"> embedded in a socio-technical work system</w:t>
      </w:r>
      <w:r w:rsidR="004E5CE1">
        <w:t xml:space="preserve">: safe </w:t>
      </w:r>
      <w:r w:rsidR="00FE5B63">
        <w:t>health information technology</w:t>
      </w:r>
      <w:r w:rsidR="004E5CE1">
        <w:t xml:space="preserve">, safe use of </w:t>
      </w:r>
      <w:r w:rsidR="00FE5B63">
        <w:t>health information technology</w:t>
      </w:r>
      <w:r w:rsidR="004E5CE1">
        <w:t xml:space="preserve">, and using </w:t>
      </w:r>
      <w:r w:rsidR="00FE5B63">
        <w:t>health information technology</w:t>
      </w:r>
      <w:r w:rsidR="004E5CE1">
        <w:t xml:space="preserve"> to improve safety.</w:t>
      </w:r>
      <w:r w:rsidR="00533E22">
        <w:t xml:space="preserve"> The following paragraphs are in support of our proposed definition of Patient Safety Informatics: the study of patient-safety-related information in healthcare systems.</w:t>
      </w:r>
    </w:p>
    <w:p w14:paraId="7E0AFA1D" w14:textId="17CCDB90" w:rsidR="00DE526B" w:rsidRDefault="0075274E" w:rsidP="00DE526B">
      <w:r w:rsidRPr="00CC5C52">
        <w:rPr>
          <w:i/>
        </w:rPr>
        <w:t>Informatics</w:t>
      </w:r>
      <w:r>
        <w:t xml:space="preserve"> </w:t>
      </w:r>
      <w:r w:rsidR="00CC5C52">
        <w:t>is</w:t>
      </w:r>
      <w:r>
        <w:t xml:space="preserve"> the interdisciplinary study of information and its environment </w:t>
      </w:r>
      <w:r>
        <w:fldChar w:fldCharType="begin" w:fldLock="1"/>
      </w:r>
      <w:r w:rsidR="00FC5386">
        <w:instrText>ADDIN CSL_CITATION {"citationItems":[{"id":"ITEM-1","itemData":{"author":[{"dropping-particle":"","family":"Gammack","given":"John","non-dropping-particle":"","parse-names":false,"suffix":""},{"dropping-particle":"","family":"Hobbs","given":"Valarie","non-dropping-particle":"","parse-names":false,"suffix":""},{"dropping-particle":"","family":"Pigott","given":"Diarmuid","non-dropping-particle":"","parse-names":false,"suffix":""}],"id":"ITEM-1","issued":{"date-parts":[["2011"]]},"publisher":"Cengage Learning","title":"The Book of Informatics","type":"book"},"uris":["http://www.mendeley.com/documents/?uuid=f1e6eef3-5fb5-4593-8949-a55f8e59f20c"]}],"mendeley":{"formattedCitation":"(Gammack, Hobbs and Pigott, 2011)","plainTextFormattedCitation":"(Gammack, Hobbs and Pigott, 2011)","previouslyFormattedCitation":"(Gammack, Hobbs and Pigott, 2011)"},"properties":{"noteIndex":0},"schema":"https://github.com/citation-style-language/schema/raw/master/csl-citation.json"}</w:instrText>
      </w:r>
      <w:r>
        <w:fldChar w:fldCharType="separate"/>
      </w:r>
      <w:r w:rsidRPr="0075274E">
        <w:rPr>
          <w:noProof/>
        </w:rPr>
        <w:t>(Gammack, Hobbs and Pigott, 2011)</w:t>
      </w:r>
      <w:r>
        <w:fldChar w:fldCharType="end"/>
      </w:r>
      <w:r>
        <w:t xml:space="preserve"> with i</w:t>
      </w:r>
      <w:r w:rsidR="00217673" w:rsidRPr="00217673">
        <w:t xml:space="preserve">nformation flow </w:t>
      </w:r>
      <w:r w:rsidR="00DE526B">
        <w:t xml:space="preserve">recognised as </w:t>
      </w:r>
      <w:r w:rsidR="00217673" w:rsidRPr="00217673">
        <w:t>key to system safety, as a vital resource and as a reflection of safety culture</w:t>
      </w:r>
      <w:r w:rsidR="00217673">
        <w:t xml:space="preserve"> </w:t>
      </w:r>
      <w:r w:rsidR="00217673">
        <w:fldChar w:fldCharType="begin" w:fldLock="1"/>
      </w:r>
      <w:r w:rsidR="00217673">
        <w:instrText>ADDIN CSL_CITATION {"citationItems":[{"id":"ITEM-1","itemData":{"DOI":"10.1016/j.ssci.2014.01.009","ISSN":"18791042","abstract":"Information flow has been shown to be a key variable in system safety. Not only is information flow vital to the organization's \"nervous system,\" but it is also a key indicator of the quality of the organization's functioning. The author describes how his personal trajectory took him from the study of social information about anomalous events to the role of information in causing or preventing technological accidents. The important features of good information flow are relevance, timeliness, and clarity. Generative environments are more likely to provide information with these characteristics, since they encourage a \"level playing field\" and respect for the needs of the information recipient. By contrast, pathological environments, caused by a leader's desire to see him/herself succeed, often create a \"political\" environment for information that interferes with good flow. © 2014 Elsevier Ltd.","author":[{"dropping-particle":"","family":"Westrum","given":"Ron","non-dropping-particle":"","parse-names":false,"suffix":""}],"container-title":"Safety Science","id":"ITEM-1","issued":{"date-parts":[["2014"]]},"page":"58-63","publisher":"Elsevier Ltd","title":"The study of information flow: A personal journey","type":"article-journal","volume":"67"},"uris":["http://www.mendeley.com/documents/?uuid=9b81cb49-5b85-4cc7-a687-b4da113ba0e0"]}],"mendeley":{"formattedCitation":"(Westrum, 2014)","plainTextFormattedCitation":"(Westrum, 2014)","previouslyFormattedCitation":"(Westrum, 2014)"},"properties":{"noteIndex":0},"schema":"https://github.com/citation-style-language/schema/raw/master/csl-citation.json"}</w:instrText>
      </w:r>
      <w:r w:rsidR="00217673">
        <w:fldChar w:fldCharType="separate"/>
      </w:r>
      <w:r w:rsidR="00217673" w:rsidRPr="00217673">
        <w:rPr>
          <w:noProof/>
        </w:rPr>
        <w:t>(Westrum, 2014)</w:t>
      </w:r>
      <w:r w:rsidR="00217673">
        <w:fldChar w:fldCharType="end"/>
      </w:r>
      <w:r w:rsidR="00217673">
        <w:t>.</w:t>
      </w:r>
      <w:r w:rsidR="00DE526B">
        <w:t xml:space="preserve"> Safety informatics is a relatively new concept </w:t>
      </w:r>
      <w:r w:rsidR="00533E22">
        <w:t>with a</w:t>
      </w:r>
      <w:r w:rsidR="00CC5C52">
        <w:t xml:space="preserve"> proposed </w:t>
      </w:r>
      <w:r w:rsidR="00DE526B">
        <w:t xml:space="preserve">definition </w:t>
      </w:r>
      <w:r w:rsidR="00CC5C52">
        <w:t xml:space="preserve">as </w:t>
      </w:r>
      <w:r w:rsidR="00533E22">
        <w:t xml:space="preserve">a </w:t>
      </w:r>
      <w:r w:rsidR="00DE526B">
        <w:t xml:space="preserve">scientific discipline </w:t>
      </w:r>
      <w:r w:rsidR="00CC5C52">
        <w:t>studying</w:t>
      </w:r>
      <w:r w:rsidR="00DE526B">
        <w:t xml:space="preserve"> safety information and </w:t>
      </w:r>
      <w:r w:rsidR="00CC5C52">
        <w:t xml:space="preserve">its </w:t>
      </w:r>
      <w:r w:rsidR="00DE526B">
        <w:t>mechanisms to address the lack of safety information in safety management</w:t>
      </w:r>
      <w:r w:rsidR="00CC5C52">
        <w:t xml:space="preserve"> </w:t>
      </w:r>
      <w:r w:rsidR="00CC5C52">
        <w:fldChar w:fldCharType="begin" w:fldLock="1"/>
      </w:r>
      <w:r w:rsidR="00CC5C52">
        <w:instrText>ADDIN CSL_CITATION {"citationItems":[{"id":"ITEM-1","itemData":{"DOI":"10.1016/j.jclepro.2019.119852","ISSN":"09596526","abstract":"Safety is a central dimension in contemporary debates on human health, loss prevention, environmental protection, sustainability, and cleaner production. In the information age, especially in the era of big data, safety information is an essential strategy for safety, and safety informatics has become a major research interest and a popular issue in the field of safety science. In recent years, safety informatics—a new area of safety science—has received increasing attention, developing greatly with successful research on the subject. The three key purposes of this paper are: (i) to analyze the historical development of safety informatics, (ii) to review the research progress of safety informatics, and (iii) to review limitations and propose future directions in the field of safety informatics. First, the development process of safety informatics is divided into four typical stages: (i) the embryonic stage (1940–1980), (ii) the initial stage (1980–1990), (iii) the formation stage (1990–2010), and (iv) the deepening stage (2010–present). Then, a review of safety informatics research is provided from seven aspects, including: (i) the discipline construction of safety informatics, (ii) theoretical safety information model, (iii) accident causation model from a safety information perspective, (iv) safety management based on safety information, (v) safety big data, (vi) safety intelligence, and (vii) safety information technology. Finally, limitations and future research directions in the safety informatics area are briefly discussed.","author":[{"dropping-particle":"","family":"Wang","given":"Bing","non-dropping-particle":"","parse-names":false,"suffix":""},{"dropping-particle":"","family":"Wu","given":"Chao","non-dropping-particle":"","parse-names":false,"suffix":""}],"container-title":"Journal of Cleaner Production","id":"ITEM-1","issued":{"date-parts":[["2020"]]},"page":"119852","publisher":"Elsevier Ltd","title":"Safety informatics as a new, promising and sustainable area of safety science in the information age","type":"article-journal","volume":"252"},"uris":["http://www.mendeley.com/documents/?uuid=a35e7b16-2560-4641-8c18-7a4b922a1b88"]}],"mendeley":{"formattedCitation":"(Wang and Wu, 2020)","plainTextFormattedCitation":"(Wang and Wu, 2020)","previouslyFormattedCitation":"(Wang and Wu, 2020)"},"properties":{"noteIndex":0},"schema":"https://github.com/citation-style-language/schema/raw/master/csl-citation.json"}</w:instrText>
      </w:r>
      <w:r w:rsidR="00CC5C52">
        <w:fldChar w:fldCharType="separate"/>
      </w:r>
      <w:r w:rsidR="00CC5C52" w:rsidRPr="00DE526B">
        <w:rPr>
          <w:noProof/>
        </w:rPr>
        <w:t>(Wang and Wu, 2020)</w:t>
      </w:r>
      <w:r w:rsidR="00CC5C52">
        <w:fldChar w:fldCharType="end"/>
      </w:r>
      <w:r w:rsidR="00DE526B">
        <w:t>. Here, safety information refers to safety-related data that shows system</w:t>
      </w:r>
      <w:r w:rsidR="00CC5C52">
        <w:t>s’</w:t>
      </w:r>
      <w:r w:rsidR="00DE526B">
        <w:t xml:space="preserve"> safety state and its changes </w:t>
      </w:r>
      <w:r w:rsidR="00DE526B">
        <w:fldChar w:fldCharType="begin" w:fldLock="1"/>
      </w:r>
      <w:r w:rsidR="00DE526B">
        <w:instrText>ADDIN CSL_CITATION {"citationItems":[{"id":"ITEM-1","itemData":{"author":[{"dropping-particle":"","family":"Wang","given":"Bing","non-dropping-particle":"","parse-names":false,"suffix":""},{"dropping-particle":"","family":"Wu","given":"Chao","non-dropping-particle":"","parse-names":false,"suffix":""}],"container-title":"J. Intell.","id":"ITEM-1","issue":"2","issued":{"date-parts":[["2018"]]},"page":"88e96","title":"The outline of safety informatics","type":"article-journal","volume":"37"},"uris":["http://www.mendeley.com/documents/?uuid=e0a3a48a-08e1-4e0e-ac1e-5cc565872afd"]},{"id":"ITEM-2","itemData":{"DOI":"10.1002/prs.11898","author":[{"dropping-particle":"","family":"Huang","given":"Lang","non-dropping-particle":"","parse-names":false,"suffix":""},{"dropping-particle":"","family":"Wu","given":"Chao","non-dropping-particle":"","parse-names":false,"suffix":""},{"dropping-particle":"","family":"Wang","given":"Bing","non-dropping-particle":"","parse-names":false,"suffix":""},{"dropping-particle":"","family":"Ouyang","given":"Qiumei","non-dropping-particle":"","parse-names":false,"suffix":""}],"container-title":"Process Safety Progress","id":"ITEM-2","issue":"1","issued":{"date-parts":[["2017"]]},"page":"42-48","title":"A New Paradigm for Accident Investigation and Analysis in the Era of Big Data","type":"article-journal","volume":"37"},"uris":["http://www.mendeley.com/documents/?uuid=5ddbd102-e5b4-4fba-b4b6-cb78f990e692"]}],"mendeley":{"formattedCitation":"(Huang &lt;i&gt;et al.&lt;/i&gt;, 2017; Wang and Wu, 2018)","plainTextFormattedCitation":"(Huang et al., 2017; Wang and Wu, 2018)","previouslyFormattedCitation":"(Huang &lt;i&gt;et al.&lt;/i&gt;, 2017; Wang and Wu, 2018)"},"properties":{"noteIndex":0},"schema":"https://github.com/citation-style-language/schema/raw/master/csl-citation.json"}</w:instrText>
      </w:r>
      <w:r w:rsidR="00DE526B">
        <w:fldChar w:fldCharType="separate"/>
      </w:r>
      <w:r w:rsidR="00DE526B" w:rsidRPr="00DE526B">
        <w:rPr>
          <w:noProof/>
        </w:rPr>
        <w:t xml:space="preserve">(Huang </w:t>
      </w:r>
      <w:r w:rsidR="00DE526B" w:rsidRPr="00DE526B">
        <w:rPr>
          <w:i/>
          <w:noProof/>
        </w:rPr>
        <w:t>et al.</w:t>
      </w:r>
      <w:r w:rsidR="00DE526B" w:rsidRPr="00DE526B">
        <w:rPr>
          <w:noProof/>
        </w:rPr>
        <w:t>, 2017; Wang and Wu, 2018)</w:t>
      </w:r>
      <w:r w:rsidR="00DE526B">
        <w:fldChar w:fldCharType="end"/>
      </w:r>
      <w:r w:rsidR="00DE526B">
        <w:t xml:space="preserve">. There have been calls to </w:t>
      </w:r>
      <w:r w:rsidR="00DE526B" w:rsidRPr="00217673">
        <w:t>bridge the gap between research and practice in the safety of systems</w:t>
      </w:r>
      <w:r w:rsidR="00DE526B">
        <w:t xml:space="preserve"> </w:t>
      </w:r>
      <w:r w:rsidR="00DE526B">
        <w:fldChar w:fldCharType="begin" w:fldLock="1"/>
      </w:r>
      <w:r w:rsidR="00DE526B">
        <w:instrText>ADDIN CSL_CITATION {"citationItems":[{"id":"ITEM-1","itemData":{"DOI":"10.1016/j.aap.2013.02.041","ISSN":"00014575","PMID":"23542136","abstract":"The systems approach is arguably the dominant concept within accident analysis research. Viewing accidents as a result of uncontrolled system interactions, it forms the theoretical basis of various systemic accident analysis (SAA) models and methods. Despite the proposed benefits of SAA, such as an improved description of accident causation, evidence within the scientific literature suggests that these techniques are not being used in practice and that a research-practice gap exists. The aim of this study was to explore the issues stemming from research and practice which could hinder the awareness, adoption and usage of SAA. To achieve this, semi-structured interviews were conducted with 42 safety experts from ten countries and a variety of industries, including rail, aviation and maritime. This study suggests that the research-practice gap should be closed and efforts to bridge the gap should focus on ensuring that systemic methods meet the needs of practitioners and improving the communication of SAA research. © 2013 Elsevier B.V. All rights reserved.","author":[{"dropping-particle":"","family":"Underwood","given":"Peter","non-dropping-particle":"","parse-names":false,"suffix":""},{"dropping-particle":"","family":"Waterson","given":"Patrick","non-dropping-particle":"","parse-names":false,"suffix":""}],"container-title":"Accident Analysis and Prevention","id":"ITEM-1","issued":{"date-parts":[["2013"]]},"page":"154-164","publisher":"Elsevier Ltd","title":"Systemic accident analysis: Examining the gap between research and practice","type":"article-journal","volume":"55"},"uris":["http://www.mendeley.com/documents/?uuid=4b2609be-8dca-411f-881d-bbd61b08129f"]}],"mendeley":{"formattedCitation":"(Underwood and Waterson, 2013)","plainTextFormattedCitation":"(Underwood and Waterson, 2013)","previouslyFormattedCitation":"(Underwood and Waterson, 2013)"},"properties":{"noteIndex":0},"schema":"https://github.com/citation-style-language/schema/raw/master/csl-citation.json"}</w:instrText>
      </w:r>
      <w:r w:rsidR="00DE526B">
        <w:fldChar w:fldCharType="separate"/>
      </w:r>
      <w:r w:rsidR="00DE526B" w:rsidRPr="00217673">
        <w:rPr>
          <w:noProof/>
        </w:rPr>
        <w:t>(Underwood and Waterson, 2013)</w:t>
      </w:r>
      <w:r w:rsidR="00DE526B">
        <w:fldChar w:fldCharType="end"/>
      </w:r>
      <w:r w:rsidR="00DE526B">
        <w:t xml:space="preserve"> but, despite theoretical and practical progress in safety informatics, </w:t>
      </w:r>
      <w:r w:rsidR="00CC5C52">
        <w:t xml:space="preserve">it </w:t>
      </w:r>
      <w:r w:rsidR="00DE526B">
        <w:t xml:space="preserve">has yet to be applied </w:t>
      </w:r>
      <w:r w:rsidR="00DB6363">
        <w:t xml:space="preserve">substantially </w:t>
      </w:r>
      <w:r w:rsidR="00DE526B">
        <w:t>to healthcare and patient safety</w:t>
      </w:r>
      <w:r w:rsidR="00CC5C52">
        <w:t>, in particular</w:t>
      </w:r>
      <w:r w:rsidR="00100749">
        <w:t>.</w:t>
      </w:r>
    </w:p>
    <w:p w14:paraId="651C5308" w14:textId="70137098" w:rsidR="00217673" w:rsidRDefault="00E46030" w:rsidP="004E5CE1">
      <w:r>
        <w:fldChar w:fldCharType="begin" w:fldLock="1"/>
      </w:r>
      <w:r>
        <w:instrText>ADDIN CSL_CITATION {"citationItems":[{"id":"ITEM-1","itemData":{"DOI":"10.1097/01.mlr.0000109125.00113.f4","ISSN":"00257079","abstract":"OBJECTIVES: The purposes of this article are to highlight the role of informatics in promoting patient safety and enabling evidence-based practice (EBP), 2 significant aspects for assuring healthcare quality; to delineate some challenges for the future; and to provide key recommendations for education, practice, policy, and research. METHODS: First, we describe the components of an informatics infrastructure for patient safety and evidence-based practice. Second, we address the role of informatics in 4 areas: 1) information access; 2) automated surveillance for real-time error detection and prevention; 3) communication among members of the healthcare team; and 4) standardization of practice patterns. Last, we delineate some future challenges for nursing and for informatics and provide key recommendations for education, practice, policy, and research. RESULTS: The components of an informatics infrastructure are available and applications that bring together these components to promote patient safety and enable EBP have demonstrated positive or promising results. CONCLUSIONS: Challenges must be addressed so that an informatics infrastructure and related applications that promote patient safety and enable EBP can be realized.","author":[{"dropping-particle":"","family":"Bakken","given":"Suzanne","non-dropping-particle":"","parse-names":false,"suffix":""},{"dropping-particle":"","family":"Cimino","given":"James J.","non-dropping-particle":"","parse-names":false,"suffix":""},{"dropping-particle":"","family":"Hripcsak","given":"George","non-dropping-particle":"","parse-names":false,"suffix":""}],"container-title":"Medical care","id":"ITEM-1","issue":"2 Suppl","issued":{"date-parts":[["2004"]]},"page":"49-56","title":"Promoting patient safety and enabling evidence-based practice through informatics.","type":"article-journal","volume":"42"},"uris":["http://www.mendeley.com/documents/?uuid=bbd80153-5639-4240-a6ea-84d80ef3c56d"]}],"mendeley":{"formattedCitation":"(Bakken, Cimino and Hripcsak, 2004)","manualFormatting":"Bakken, Cimino and Hripcsak (2004)","plainTextFormattedCitation":"(Bakken, Cimino and Hripcsak, 2004)","previouslyFormattedCitation":"(Bakken, Cimino and Hripcsak, 2004)"},"properties":{"noteIndex":0},"schema":"https://github.com/citation-style-language/schema/raw/master/csl-citation.json"}</w:instrText>
      </w:r>
      <w:r>
        <w:fldChar w:fldCharType="separate"/>
      </w:r>
      <w:r w:rsidRPr="00E46030">
        <w:rPr>
          <w:noProof/>
        </w:rPr>
        <w:t>Bakken, Cimino a</w:t>
      </w:r>
      <w:r>
        <w:rPr>
          <w:noProof/>
        </w:rPr>
        <w:t>nd Hripcsak</w:t>
      </w:r>
      <w:r w:rsidRPr="00E46030">
        <w:rPr>
          <w:noProof/>
        </w:rPr>
        <w:t xml:space="preserve"> </w:t>
      </w:r>
      <w:r>
        <w:rPr>
          <w:noProof/>
        </w:rPr>
        <w:t>(</w:t>
      </w:r>
      <w:r w:rsidRPr="00E46030">
        <w:rPr>
          <w:noProof/>
        </w:rPr>
        <w:t>2004)</w:t>
      </w:r>
      <w:r>
        <w:fldChar w:fldCharType="end"/>
      </w:r>
      <w:r>
        <w:t xml:space="preserve"> explored how informatics can promote patient safety and provided recommendations </w:t>
      </w:r>
      <w:r w:rsidR="00CC5C52">
        <w:t>like</w:t>
      </w:r>
      <w:r>
        <w:t xml:space="preserve"> integrating informatics into healthcare curricula</w:t>
      </w:r>
      <w:r w:rsidR="00DB6363">
        <w:t xml:space="preserve"> and</w:t>
      </w:r>
      <w:r>
        <w:t xml:space="preserve"> the evaluation of </w:t>
      </w:r>
      <w:r w:rsidR="00CC5C52">
        <w:t>digital health</w:t>
      </w:r>
      <w:r>
        <w:t xml:space="preserve"> from health-economic, clinical and administrative perspectives. While welcomed, these recommendations</w:t>
      </w:r>
      <w:r w:rsidR="00DB6363">
        <w:t>,</w:t>
      </w:r>
      <w:r>
        <w:t xml:space="preserve"> and the challenges</w:t>
      </w:r>
      <w:r w:rsidR="00DB6363">
        <w:t xml:space="preserve"> they purport to address,</w:t>
      </w:r>
      <w:r>
        <w:t xml:space="preserve"> c</w:t>
      </w:r>
      <w:r w:rsidR="00DB6363">
        <w:t>oncern</w:t>
      </w:r>
      <w:r>
        <w:t xml:space="preserve"> </w:t>
      </w:r>
      <w:r w:rsidR="00CC5C52">
        <w:t>health information technologies</w:t>
      </w:r>
      <w:r>
        <w:t xml:space="preserve"> in isolation and their function in promoting patient safety</w:t>
      </w:r>
      <w:r w:rsidR="00DE526B">
        <w:t>, only</w:t>
      </w:r>
      <w:r>
        <w:t xml:space="preserve">. As described earlier, emerging digital health must consider </w:t>
      </w:r>
      <w:r w:rsidR="00533E22">
        <w:t xml:space="preserve">the safety of </w:t>
      </w:r>
      <w:r w:rsidR="00CC5C52">
        <w:t>health information systems</w:t>
      </w:r>
      <w:r>
        <w:t xml:space="preserve"> and their safe use, too </w:t>
      </w:r>
      <w:r>
        <w:fldChar w:fldCharType="begin" w:fldLock="1"/>
      </w:r>
      <w:r w:rsidR="00DE526B">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2016)","plainTextFormattedCitation":"(Singh and Sittig, 2016)","previouslyFormattedCitation":"(Singh and Sittig, 2016)"},"properties":{"noteIndex":0},"schema":"https://github.com/citation-style-language/schema/raw/master/csl-citation.json"}</w:instrText>
      </w:r>
      <w:r>
        <w:fldChar w:fldCharType="separate"/>
      </w:r>
      <w:r w:rsidRPr="00E46030">
        <w:rPr>
          <w:noProof/>
        </w:rPr>
        <w:t>(Singh and Sittig, 2016)</w:t>
      </w:r>
      <w:r>
        <w:fldChar w:fldCharType="end"/>
      </w:r>
      <w:r>
        <w:t>.</w:t>
      </w:r>
      <w:r w:rsidR="00CC5C52">
        <w:t xml:space="preserve"> A thorough exploration and instantiation of Patient Safety Informatics is thus still lacking.</w:t>
      </w:r>
    </w:p>
    <w:p w14:paraId="3BC4C3AE" w14:textId="0C8ED01F" w:rsidR="004E5CE1" w:rsidRPr="00322A06" w:rsidRDefault="00DB6363" w:rsidP="00DB6363">
      <w:r>
        <w:t>It is for these reasons that the aim of our workshop series was to develop the theoretical and practical foundations of Patient Safety Informatics by exploring the theory and practice</w:t>
      </w:r>
      <w:r w:rsidRPr="00DB6363">
        <w:t xml:space="preserve"> </w:t>
      </w:r>
      <w:r>
        <w:t>of applying s</w:t>
      </w:r>
      <w:r w:rsidRPr="00DB6363">
        <w:t xml:space="preserve">afety </w:t>
      </w:r>
      <w:r>
        <w:t>i</w:t>
      </w:r>
      <w:r w:rsidRPr="00DB6363">
        <w:t>nformatics</w:t>
      </w:r>
      <w:r>
        <w:t xml:space="preserve"> to patient safety. Our first workshop focused on the challenges and patient-safety implications of, and recommendations to address, emerging digital health.</w:t>
      </w:r>
    </w:p>
    <w:p w14:paraId="265E847F" w14:textId="4F76E6C1" w:rsidR="00EC546B" w:rsidRDefault="00EC546B" w:rsidP="00AB3439"/>
    <w:p w14:paraId="4A4AC040" w14:textId="5BC8D3FB" w:rsidR="00656305" w:rsidRDefault="00C87DCA" w:rsidP="00F700A2">
      <w:pPr>
        <w:pStyle w:val="Heading1"/>
      </w:pPr>
      <w:r>
        <w:t xml:space="preserve">Section 2: </w:t>
      </w:r>
      <w:r w:rsidR="0033179C">
        <w:t xml:space="preserve">Workshop </w:t>
      </w:r>
      <w:r w:rsidR="002F1A2B">
        <w:t>process</w:t>
      </w:r>
    </w:p>
    <w:p w14:paraId="1A578BDD" w14:textId="6FB4AD0A" w:rsidR="00E55D85" w:rsidRDefault="006A63CC" w:rsidP="00656305">
      <w:r>
        <w:t xml:space="preserve">A workshop </w:t>
      </w:r>
      <w:r w:rsidR="00F10E19">
        <w:t xml:space="preserve">was convened </w:t>
      </w:r>
      <w:r>
        <w:t xml:space="preserve">of </w:t>
      </w:r>
      <w:commentRangeStart w:id="3"/>
      <w:r w:rsidR="00D77B4B">
        <w:t>14</w:t>
      </w:r>
      <w:r>
        <w:t xml:space="preserve"> </w:t>
      </w:r>
      <w:r w:rsidR="00FC78F5">
        <w:t xml:space="preserve">health informatics </w:t>
      </w:r>
      <w:commentRangeEnd w:id="3"/>
      <w:r w:rsidR="00256640">
        <w:rPr>
          <w:rStyle w:val="CommentReference"/>
        </w:rPr>
        <w:commentReference w:id="3"/>
      </w:r>
      <w:r w:rsidR="00FC78F5">
        <w:t>researchers</w:t>
      </w:r>
      <w:r w:rsidR="00FC78F5" w:rsidRPr="00AA44BF">
        <w:t xml:space="preserve"> </w:t>
      </w:r>
      <w:r>
        <w:t>who represent those who develop</w:t>
      </w:r>
      <w:r w:rsidR="00E124EC">
        <w:t xml:space="preserve"> and</w:t>
      </w:r>
      <w:r>
        <w:t xml:space="preserve"> evaluate </w:t>
      </w:r>
      <w:r w:rsidR="00834B1B">
        <w:t>digital health</w:t>
      </w:r>
      <w:r w:rsidRPr="001809FF">
        <w:t>.</w:t>
      </w:r>
      <w:r w:rsidR="005646F8">
        <w:t xml:space="preserve"> C</w:t>
      </w:r>
      <w:r w:rsidR="005646F8" w:rsidRPr="001809FF">
        <w:t>ollaborators discussed the patient-safety implications of the challenges posed</w:t>
      </w:r>
      <w:r w:rsidR="00E55D85">
        <w:t xml:space="preserve"> by</w:t>
      </w:r>
      <w:r w:rsidR="00B11DC6" w:rsidRPr="001809FF">
        <w:t xml:space="preserve"> emerging </w:t>
      </w:r>
      <w:r w:rsidR="00E55D85">
        <w:t>digital health,</w:t>
      </w:r>
      <w:r w:rsidR="00834B1B">
        <w:t xml:space="preserve"> from all four quadrants of t</w:t>
      </w:r>
      <w:r w:rsidR="00326C13">
        <w:t>able x</w:t>
      </w:r>
      <w:r w:rsidR="00326C13" w:rsidRPr="00F10E19">
        <w:rPr>
          <w:highlight w:val="yellow"/>
        </w:rPr>
        <w:t>2x2</w:t>
      </w:r>
      <w:r w:rsidR="00326C13">
        <w:t xml:space="preserve">x. </w:t>
      </w:r>
      <w:r w:rsidR="00E55D85">
        <w:t>Table x</w:t>
      </w:r>
      <w:r w:rsidR="00AD6C48" w:rsidRPr="00AD6C48">
        <w:rPr>
          <w:highlight w:val="yellow"/>
        </w:rPr>
        <w:t>Supplementary</w:t>
      </w:r>
      <w:r w:rsidR="00E55D85" w:rsidRPr="00D77B4B">
        <w:rPr>
          <w:highlight w:val="yellow"/>
        </w:rPr>
        <w:t>1</w:t>
      </w:r>
      <w:r w:rsidR="00E55D85">
        <w:t xml:space="preserve">x </w:t>
      </w:r>
      <w:r w:rsidR="00E55D85">
        <w:lastRenderedPageBreak/>
        <w:t xml:space="preserve">shows some of the </w:t>
      </w:r>
      <w:r w:rsidR="00E55D85" w:rsidRPr="00084215">
        <w:t xml:space="preserve">example </w:t>
      </w:r>
      <w:r w:rsidR="00834B1B">
        <w:t xml:space="preserve">health information technologies </w:t>
      </w:r>
      <w:r w:rsidR="00E55D85">
        <w:t xml:space="preserve">discussed in the workshop, </w:t>
      </w:r>
      <w:r w:rsidR="00E55D85" w:rsidRPr="00084215">
        <w:t>characterised by personalisation, decentralisation, a system</w:t>
      </w:r>
      <w:r w:rsidR="00F10E19">
        <w:t>ic</w:t>
      </w:r>
      <w:r w:rsidR="00E55D85" w:rsidRPr="00084215">
        <w:t xml:space="preserve"> orientation, and a move toward a user-led/patient-centred </w:t>
      </w:r>
      <w:r w:rsidR="00E55D85">
        <w:t>experience</w:t>
      </w:r>
      <w:r w:rsidR="00E55D85" w:rsidRPr="00084215">
        <w:t>.</w:t>
      </w:r>
    </w:p>
    <w:p w14:paraId="30BE240E" w14:textId="705F8BC8" w:rsidR="00656305" w:rsidRDefault="001809FF" w:rsidP="00656305">
      <w:r w:rsidRPr="001809FF">
        <w:t xml:space="preserve">In subsequent meetings, the group collated and synthesised contributions to 1) describe characteristics of new and emerging </w:t>
      </w:r>
      <w:r w:rsidR="001846F5">
        <w:t>HITs</w:t>
      </w:r>
      <w:r w:rsidRPr="001809FF">
        <w:t>, 2) describe the challenges posed</w:t>
      </w:r>
      <w:r w:rsidR="00256640">
        <w:t xml:space="preserve"> when HITs are brought together within</w:t>
      </w:r>
      <w:r w:rsidRPr="001809FF">
        <w:t xml:space="preserve"> </w:t>
      </w:r>
      <w:r w:rsidR="00CB1C67">
        <w:t>HIS</w:t>
      </w:r>
      <w:r w:rsidR="00AC4FD6">
        <w:t>s</w:t>
      </w:r>
      <w:r w:rsidRPr="001809FF">
        <w:t>, 3) describe the patient-safety implications of the</w:t>
      </w:r>
      <w:r w:rsidR="001846F5">
        <w:t>se</w:t>
      </w:r>
      <w:r w:rsidRPr="001809FF">
        <w:t xml:space="preserve"> challenges, and 4) recommend approaches to address the patient-safety implications</w:t>
      </w:r>
      <w:r>
        <w:t>.</w:t>
      </w:r>
    </w:p>
    <w:p w14:paraId="4C5FF7EF" w14:textId="77777777" w:rsidR="00906431" w:rsidRDefault="00906431" w:rsidP="00656305"/>
    <w:p w14:paraId="35067DB6" w14:textId="2B32E2E3" w:rsidR="008E287D" w:rsidRDefault="008E287D" w:rsidP="00656305"/>
    <w:p w14:paraId="4CF81741" w14:textId="127B6CD3" w:rsidR="009D0ABB" w:rsidRDefault="009D0ABB" w:rsidP="00F700A2">
      <w:pPr>
        <w:pStyle w:val="Heading1"/>
      </w:pPr>
      <w:r>
        <w:t xml:space="preserve">Section 3: </w:t>
      </w:r>
      <w:r w:rsidR="0033179C">
        <w:t xml:space="preserve">Workshop </w:t>
      </w:r>
      <w:commentRangeStart w:id="4"/>
      <w:commentRangeStart w:id="5"/>
      <w:r w:rsidR="0033179C">
        <w:t>outputs</w:t>
      </w:r>
      <w:commentRangeEnd w:id="4"/>
      <w:r w:rsidR="0033179C">
        <w:rPr>
          <w:rStyle w:val="CommentReference"/>
          <w:rFonts w:asciiTheme="minorHAnsi" w:eastAsiaTheme="minorHAnsi" w:hAnsiTheme="minorHAnsi" w:cstheme="minorBidi"/>
        </w:rPr>
        <w:commentReference w:id="4"/>
      </w:r>
      <w:commentRangeEnd w:id="5"/>
      <w:r w:rsidR="0033179C">
        <w:rPr>
          <w:rStyle w:val="CommentReference"/>
          <w:rFonts w:asciiTheme="minorHAnsi" w:eastAsiaTheme="minorHAnsi" w:hAnsiTheme="minorHAnsi" w:cstheme="minorBidi"/>
        </w:rPr>
        <w:commentReference w:id="5"/>
      </w:r>
    </w:p>
    <w:p w14:paraId="770E149C" w14:textId="15B252AA" w:rsidR="007B37B8" w:rsidRPr="00F25567" w:rsidRDefault="0034034B" w:rsidP="000A1BAC">
      <w:r>
        <w:t>During the workshop, we highlighted</w:t>
      </w:r>
      <w:r w:rsidR="00A330D1">
        <w:t xml:space="preserve"> </w:t>
      </w:r>
      <w:r w:rsidR="0033179C" w:rsidRPr="0033179C">
        <w:rPr>
          <w:highlight w:val="yellow"/>
        </w:rPr>
        <w:t>X</w:t>
      </w:r>
      <w:r w:rsidR="00A330D1">
        <w:t xml:space="preserve"> challenges that </w:t>
      </w:r>
      <w:r w:rsidR="007B37B8">
        <w:t xml:space="preserve">emerging </w:t>
      </w:r>
      <w:r w:rsidR="0033179C">
        <w:t xml:space="preserve">digital health </w:t>
      </w:r>
      <w:r>
        <w:t>pose</w:t>
      </w:r>
      <w:r w:rsidR="009978E4">
        <w:t>, each with implications for patient safety</w:t>
      </w:r>
      <w:r w:rsidR="000A1BAC">
        <w:t xml:space="preserve">. </w:t>
      </w:r>
      <w:r w:rsidR="007B37B8">
        <w:t xml:space="preserve">Table </w:t>
      </w:r>
      <w:r w:rsidR="007B37B8" w:rsidRPr="007B37B8">
        <w:rPr>
          <w:shd w:val="clear" w:color="auto" w:fill="FFFF00"/>
        </w:rPr>
        <w:t>xC.I.R.x</w:t>
      </w:r>
      <w:r w:rsidR="007B37B8">
        <w:t xml:space="preserve"> summarises the challenges and our </w:t>
      </w:r>
      <w:r w:rsidR="001F1127">
        <w:t xml:space="preserve">theoretical and practical </w:t>
      </w:r>
      <w:r w:rsidR="007B37B8">
        <w:t>recommendations to address the safety concerns.</w:t>
      </w:r>
      <w:r w:rsidR="00A330D1">
        <w:t xml:space="preserve"> Each is </w:t>
      </w:r>
      <w:r w:rsidR="001F1127">
        <w:t xml:space="preserve">only </w:t>
      </w:r>
      <w:r w:rsidR="00A330D1">
        <w:t>briefly presented below</w:t>
      </w:r>
      <w:r w:rsidR="00A47A44">
        <w:t xml:space="preserve"> with references for further </w:t>
      </w:r>
      <w:r w:rsidR="00A47A44" w:rsidRPr="00F25567">
        <w:t>reading.</w:t>
      </w:r>
    </w:p>
    <w:p w14:paraId="1870A5C0" w14:textId="77777777" w:rsidR="007B37B8" w:rsidRPr="00F25567" w:rsidRDefault="007B37B8" w:rsidP="000A1BAC"/>
    <w:p w14:paraId="09C7AF0A" w14:textId="6C96ECCD" w:rsidR="007B37B8" w:rsidRPr="00F25567" w:rsidRDefault="007B37B8" w:rsidP="00DE355E">
      <w:pPr>
        <w:pStyle w:val="Heading2"/>
      </w:pPr>
      <w:r w:rsidRPr="00F25567">
        <w:t>Difficulty conceptualising threats to patient safety</w:t>
      </w:r>
    </w:p>
    <w:p w14:paraId="14A59AD8" w14:textId="2E4F5C18" w:rsidR="00AC4FD6" w:rsidRPr="00F25567" w:rsidRDefault="000A1BAC" w:rsidP="000A1BAC">
      <w:r w:rsidRPr="00777476">
        <w:t>Firstly, much of the innovation is not physical</w:t>
      </w:r>
      <w:r w:rsidR="00B16B1C" w:rsidRPr="00777476">
        <w:t>,</w:t>
      </w:r>
      <w:r w:rsidRPr="00777476">
        <w:t xml:space="preserve"> instead leveraging existing hardware in novel ways. This manifests as software, systems architecture </w:t>
      </w:r>
      <w:r w:rsidR="005646F8" w:rsidRPr="00777476">
        <w:t>and</w:t>
      </w:r>
      <w:r w:rsidRPr="00777476">
        <w:t xml:space="preserve"> communication protocols</w:t>
      </w:r>
      <w:r w:rsidR="005F5CF3" w:rsidRPr="00777476">
        <w:t xml:space="preserve">, which lack the tangibility so foundational to trust in digital and robotic systems </w:t>
      </w:r>
      <w:r w:rsidR="005F5CF3" w:rsidRPr="00777476">
        <w:fldChar w:fldCharType="begin" w:fldLock="1"/>
      </w:r>
      <w:r w:rsidR="00CE0FE4">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Research","type":"article-journal"},"uris":["http://www.mendeley.com/documents/?uuid=445d24f3-1cc5-42ce-8b8a-88e1c2b0f989"]}],"mendeley":{"formattedCitation":"(Glikson and Woolley, 2020)","plainTextFormattedCitation":"(Glikson and Woolley, 2020)","previouslyFormattedCitation":"(Glikson and Woolley, 2020)"},"properties":{"noteIndex":0},"schema":"https://github.com/citation-style-language/schema/raw/master/csl-citation.json"}</w:instrText>
      </w:r>
      <w:r w:rsidR="005F5CF3" w:rsidRPr="00777476">
        <w:fldChar w:fldCharType="separate"/>
      </w:r>
      <w:r w:rsidR="005F5CF3" w:rsidRPr="00777476">
        <w:rPr>
          <w:noProof/>
        </w:rPr>
        <w:t>(Glikson and Woolley, 2020)</w:t>
      </w:r>
      <w:r w:rsidR="005F5CF3" w:rsidRPr="00777476">
        <w:fldChar w:fldCharType="end"/>
      </w:r>
      <w:r w:rsidRPr="00777476">
        <w:t xml:space="preserve">. It </w:t>
      </w:r>
      <w:r w:rsidR="005646F8" w:rsidRPr="00777476">
        <w:t>is challenging</w:t>
      </w:r>
      <w:r w:rsidRPr="00777476">
        <w:t xml:space="preserve"> to conceptualise threats to patient safety from </w:t>
      </w:r>
      <w:r w:rsidR="00AC4FD6" w:rsidRPr="00777476">
        <w:t xml:space="preserve">these </w:t>
      </w:r>
      <w:r w:rsidRPr="00777476">
        <w:t>non-physical influences</w:t>
      </w:r>
      <w:r w:rsidR="005646F8" w:rsidRPr="00777476">
        <w:t xml:space="preserve"> because it </w:t>
      </w:r>
      <w:r w:rsidRPr="00777476">
        <w:t>require</w:t>
      </w:r>
      <w:r w:rsidR="005646F8" w:rsidRPr="00777476">
        <w:t>s</w:t>
      </w:r>
      <w:r w:rsidRPr="00777476">
        <w:t xml:space="preserve"> more-abstract consideration</w:t>
      </w:r>
      <w:r w:rsidR="00B4439A" w:rsidRPr="00777476">
        <w:t xml:space="preserve"> of interactions and effects.</w:t>
      </w:r>
      <w:r w:rsidR="007B37B8" w:rsidRPr="00777476">
        <w:t xml:space="preserve"> This can lead to inadequate consideration of threats to patient safety.</w:t>
      </w:r>
    </w:p>
    <w:p w14:paraId="46E976A4" w14:textId="76088487" w:rsidR="00BF12B0" w:rsidRPr="00F25567" w:rsidRDefault="00BF12B0" w:rsidP="00BF12B0">
      <w:r w:rsidRPr="00777476">
        <w:t xml:space="preserve">Safety cases might be a useful tool to help map the relationship between abstract influences and consequences. Safety cases are structured arguments supported by evidence that are used to justify why a system or a service in acceptably safety within a particular context </w:t>
      </w:r>
      <w:r w:rsidRPr="00777476">
        <w:fldChar w:fldCharType="begin" w:fldLock="1"/>
      </w:r>
      <w:r w:rsidRPr="00777476">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Pr="00777476">
        <w:fldChar w:fldCharType="separate"/>
      </w:r>
      <w:r w:rsidRPr="00777476">
        <w:rPr>
          <w:noProof/>
        </w:rPr>
        <w:t>(Bishop and Bloomfield, 2000)</w:t>
      </w:r>
      <w:r w:rsidRPr="00777476">
        <w:fldChar w:fldCharType="end"/>
      </w:r>
      <w:r w:rsidRPr="00777476">
        <w:t xml:space="preserve">. In safety-critical industries, particularly in the UK, these cases are an established means by which confidence in the safety of the system is communicated to, and scrutinised by, the diverse stakeholders, including users, regulators and policy makers. In the NHS, compliance with the clinical safety standards DCB0129 and DCB0160 requires a safety case for HITs. The process involves an exposition of risk to encourage proactive safety management </w:t>
      </w:r>
      <w:r w:rsidRPr="00777476">
        <w:fldChar w:fldCharType="begin" w:fldLock="1"/>
      </w:r>
      <w:r w:rsidRPr="00777476">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Pr="00777476">
        <w:fldChar w:fldCharType="separate"/>
      </w:r>
      <w:r w:rsidRPr="00777476">
        <w:rPr>
          <w:noProof/>
        </w:rPr>
        <w:t xml:space="preserve">(Sujan </w:t>
      </w:r>
      <w:r w:rsidRPr="00777476">
        <w:rPr>
          <w:i/>
          <w:noProof/>
        </w:rPr>
        <w:t>et al.</w:t>
      </w:r>
      <w:r w:rsidRPr="00777476">
        <w:rPr>
          <w:noProof/>
        </w:rPr>
        <w:t>, 2016)</w:t>
      </w:r>
      <w:r w:rsidRPr="00777476">
        <w:fldChar w:fldCharType="end"/>
      </w:r>
      <w:r w:rsidRPr="00777476">
        <w:t>. The preparation of safety cases guides reflexivity that can be insightful when combined with a systems approach to conceptualising risk and safety</w:t>
      </w:r>
      <w:r w:rsidR="008D06DB" w:rsidRPr="00777476">
        <w:t xml:space="preserve"> </w:t>
      </w:r>
      <w:r w:rsidR="008D06DB" w:rsidRPr="00777476">
        <w:fldChar w:fldCharType="begin" w:fldLock="1"/>
      </w:r>
      <w:r w:rsidR="005E4F8F" w:rsidRPr="00777476">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Approach","type":"article-journal","volume":"29"},"uris":["http://www.mendeley.com/documents/?uuid=be91c8a7-d065-46c7-9ead-103322cdddb1"]},{"id":"ITEM-2","itemData":{"ISSN":"02705214","abstract":"Despite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Laboratory)","id":"ITEM-2","issue":"4","issued":{"date-parts":[["2013"]]},"page":"354-365","title":"Systems approach and systems engineering applied to health care: Improving patient safety and health care delivery","type":"article-journal","volume":"31"},"uris":["http://www.mendeley.com/documents/?uuid=20338070-7ab9-4f20-b073-147222818f9e"]}],"mendeley":{"formattedCitation":"(Haimes, 2009a; Ravitz &lt;i&gt;et al.&lt;/i&gt;, 2013)","plainTextFormattedCitation":"(Haimes, 2009a; Ravitz et al., 2013)","previouslyFormattedCitation":"(Haimes, 2009a; Ravitz &lt;i&gt;et al.&lt;/i&gt;, 2013)"},"properties":{"noteIndex":0},"schema":"https://github.com/citation-style-language/schema/raw/master/csl-citation.json"}</w:instrText>
      </w:r>
      <w:r w:rsidR="008D06DB" w:rsidRPr="00777476">
        <w:fldChar w:fldCharType="separate"/>
      </w:r>
      <w:r w:rsidR="005E4F8F" w:rsidRPr="00777476">
        <w:rPr>
          <w:noProof/>
        </w:rPr>
        <w:t xml:space="preserve">(Haimes, 2009a; Ravitz </w:t>
      </w:r>
      <w:r w:rsidR="005E4F8F" w:rsidRPr="00777476">
        <w:rPr>
          <w:i/>
          <w:noProof/>
        </w:rPr>
        <w:t>et al.</w:t>
      </w:r>
      <w:r w:rsidR="005E4F8F" w:rsidRPr="00777476">
        <w:rPr>
          <w:noProof/>
        </w:rPr>
        <w:t>, 2013)</w:t>
      </w:r>
      <w:r w:rsidR="008D06DB" w:rsidRPr="00777476">
        <w:fldChar w:fldCharType="end"/>
      </w:r>
      <w:r w:rsidRPr="00777476">
        <w:t xml:space="preserve">. </w:t>
      </w:r>
      <w:r w:rsidR="008D06DB" w:rsidRPr="00777476">
        <w:t>Thus, p</w:t>
      </w:r>
      <w:r w:rsidRPr="00777476">
        <w:t xml:space="preserve">atient safety might be facilitated by the use of dynamic </w:t>
      </w:r>
      <w:r w:rsidRPr="00777476">
        <w:fldChar w:fldCharType="begin" w:fldLock="1"/>
      </w:r>
      <w:r w:rsidRPr="00777476">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Pr="00777476">
        <w:fldChar w:fldCharType="separate"/>
      </w:r>
      <w:r w:rsidRPr="00777476">
        <w:rPr>
          <w:noProof/>
        </w:rPr>
        <w:t>(Denney, Pai and Habli, 2015)</w:t>
      </w:r>
      <w:r w:rsidRPr="00777476">
        <w:fldChar w:fldCharType="end"/>
      </w:r>
      <w:r w:rsidRPr="00777476">
        <w:t xml:space="preserve">, multi-view </w:t>
      </w:r>
      <w:r w:rsidRPr="00777476">
        <w:fldChar w:fldCharType="begin" w:fldLock="1"/>
      </w:r>
      <w:r w:rsidRPr="00777476">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Pr="00777476">
        <w:fldChar w:fldCharType="separate"/>
      </w:r>
      <w:r w:rsidRPr="00777476">
        <w:rPr>
          <w:noProof/>
        </w:rPr>
        <w:t>(Flood and Habli, 2011)</w:t>
      </w:r>
      <w:r w:rsidRPr="00777476">
        <w:fldChar w:fldCharType="end"/>
      </w:r>
      <w:r w:rsidRPr="00777476">
        <w:t xml:space="preserve"> safety cases for HIT </w:t>
      </w:r>
      <w:r w:rsidRPr="00777476">
        <w:fldChar w:fldCharType="begin" w:fldLock="1"/>
      </w:r>
      <w:r w:rsidRPr="00777476">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Pr="00777476">
        <w:fldChar w:fldCharType="separate"/>
      </w:r>
      <w:r w:rsidRPr="00777476">
        <w:rPr>
          <w:noProof/>
        </w:rPr>
        <w:t xml:space="preserve">(Despotou </w:t>
      </w:r>
      <w:r w:rsidRPr="00777476">
        <w:rPr>
          <w:i/>
          <w:noProof/>
        </w:rPr>
        <w:t>et al.</w:t>
      </w:r>
      <w:r w:rsidRPr="00777476">
        <w:rPr>
          <w:noProof/>
        </w:rPr>
        <w:t xml:space="preserve">, 2012; Habli </w:t>
      </w:r>
      <w:r w:rsidRPr="00777476">
        <w:rPr>
          <w:i/>
          <w:noProof/>
        </w:rPr>
        <w:t>et al.</w:t>
      </w:r>
      <w:r w:rsidRPr="00777476">
        <w:rPr>
          <w:noProof/>
        </w:rPr>
        <w:t>, 2018)</w:t>
      </w:r>
      <w:r w:rsidRPr="00777476">
        <w:fldChar w:fldCharType="end"/>
      </w:r>
      <w:r w:rsidRPr="00777476">
        <w:t xml:space="preserve"> and for healthcare services </w:t>
      </w:r>
      <w:r w:rsidRPr="00777476">
        <w:fldChar w:fldCharType="begin" w:fldLock="1"/>
      </w:r>
      <w:r w:rsidRPr="00777476">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Pr="00777476">
        <w:fldChar w:fldCharType="separate"/>
      </w:r>
      <w:r w:rsidRPr="00777476">
        <w:rPr>
          <w:noProof/>
        </w:rPr>
        <w:t xml:space="preserve">(Sujan </w:t>
      </w:r>
      <w:r w:rsidRPr="00777476">
        <w:rPr>
          <w:i/>
          <w:noProof/>
        </w:rPr>
        <w:t>et al.</w:t>
      </w:r>
      <w:r w:rsidRPr="00777476">
        <w:rPr>
          <w:noProof/>
        </w:rPr>
        <w:t>, 2015)</w:t>
      </w:r>
      <w:r w:rsidRPr="00777476">
        <w:fldChar w:fldCharType="end"/>
      </w:r>
      <w:r w:rsidRPr="00777476">
        <w:t>.</w:t>
      </w:r>
    </w:p>
    <w:p w14:paraId="2E3DCD29" w14:textId="063A50D0" w:rsidR="007B37B8" w:rsidRPr="00F25567" w:rsidRDefault="007B37B8" w:rsidP="000A1BAC"/>
    <w:p w14:paraId="063AF99B" w14:textId="40FFC336" w:rsidR="007B37B8" w:rsidRPr="00F25567" w:rsidRDefault="007B37B8" w:rsidP="00DE355E">
      <w:pPr>
        <w:pStyle w:val="Heading2"/>
      </w:pPr>
      <w:commentRangeStart w:id="6"/>
      <w:r w:rsidRPr="00F25567">
        <w:t>Unclear how to integrate and interpret data streams</w:t>
      </w:r>
      <w:commentRangeEnd w:id="6"/>
      <w:r w:rsidR="00DE355E" w:rsidRPr="00F25567">
        <w:rPr>
          <w:rStyle w:val="CommentReference"/>
          <w:rFonts w:asciiTheme="minorHAnsi" w:eastAsiaTheme="minorHAnsi" w:hAnsiTheme="minorHAnsi" w:cstheme="minorBidi"/>
        </w:rPr>
        <w:commentReference w:id="6"/>
      </w:r>
    </w:p>
    <w:p w14:paraId="04B7F97D" w14:textId="1C3FC087" w:rsidR="0034034B" w:rsidRPr="00F25567" w:rsidRDefault="00A62628" w:rsidP="00962238">
      <w:pPr>
        <w:rPr>
          <w:shd w:val="clear" w:color="auto" w:fill="92D050"/>
        </w:rPr>
      </w:pPr>
      <w:r w:rsidRPr="00777476">
        <w:t>Secondly, more</w:t>
      </w:r>
      <w:r w:rsidR="00B4439A" w:rsidRPr="00777476">
        <w:t xml:space="preserve"> data </w:t>
      </w:r>
      <w:r w:rsidRPr="00777476">
        <w:t>of a greater variety can be collected with greater ease and speed</w:t>
      </w:r>
      <w:r w:rsidR="0034034B" w:rsidRPr="00777476">
        <w:t>,</w:t>
      </w:r>
      <w:r w:rsidRPr="00777476">
        <w:t xml:space="preserve"> </w:t>
      </w:r>
      <w:r w:rsidR="00B4439A" w:rsidRPr="00777476">
        <w:t xml:space="preserve">but it is not clear how </w:t>
      </w:r>
      <w:r w:rsidR="0034034B" w:rsidRPr="00777476">
        <w:t>this data</w:t>
      </w:r>
      <w:r w:rsidR="00B4439A" w:rsidRPr="00777476">
        <w:t xml:space="preserve"> can be sensibly integrated and interpreted</w:t>
      </w:r>
      <w:r w:rsidR="003C6222" w:rsidRPr="00777476">
        <w:t xml:space="preserve"> </w:t>
      </w:r>
      <w:r w:rsidR="003C6222" w:rsidRPr="00777476">
        <w:fldChar w:fldCharType="begin" w:fldLock="1"/>
      </w:r>
      <w:r w:rsidR="008E3903" w:rsidRPr="00777476">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rsidRPr="00777476">
        <w:fldChar w:fldCharType="separate"/>
      </w:r>
      <w:r w:rsidR="00351A05" w:rsidRPr="00777476">
        <w:rPr>
          <w:noProof/>
        </w:rPr>
        <w:t xml:space="preserve">(Ranjan </w:t>
      </w:r>
      <w:r w:rsidR="00351A05" w:rsidRPr="00777476">
        <w:rPr>
          <w:i/>
          <w:noProof/>
        </w:rPr>
        <w:t>et al.</w:t>
      </w:r>
      <w:r w:rsidR="00351A05" w:rsidRPr="00777476">
        <w:rPr>
          <w:noProof/>
        </w:rPr>
        <w:t>, 2018)</w:t>
      </w:r>
      <w:r w:rsidR="003C6222" w:rsidRPr="00777476">
        <w:fldChar w:fldCharType="end"/>
      </w:r>
      <w:r w:rsidR="007B37B8" w:rsidRPr="00777476">
        <w:t>.</w:t>
      </w:r>
      <w:r w:rsidR="00962238" w:rsidRPr="00777476">
        <w:t xml:space="preserve"> There is a risk that opportunities will be missed to use data to improve safety, and </w:t>
      </w:r>
      <w:r w:rsidR="009B4077" w:rsidRPr="00777476">
        <w:t xml:space="preserve">there are </w:t>
      </w:r>
      <w:r w:rsidR="00962238" w:rsidRPr="00777476">
        <w:t>risks of inappropriate or biased use of d</w:t>
      </w:r>
      <w:r w:rsidR="008602F4" w:rsidRPr="00777476">
        <w:t>ata that threatens patient</w:t>
      </w:r>
      <w:r w:rsidR="00962238" w:rsidRPr="00777476">
        <w:t>s</w:t>
      </w:r>
      <w:r w:rsidR="008602F4" w:rsidRPr="00777476">
        <w:t>’</w:t>
      </w:r>
      <w:r w:rsidR="00777476" w:rsidRPr="00777476">
        <w:t xml:space="preserve"> safety.</w:t>
      </w:r>
    </w:p>
    <w:p w14:paraId="7BAC3EB5" w14:textId="3C5B8B7A" w:rsidR="00962238" w:rsidRPr="00F25567" w:rsidRDefault="00962238" w:rsidP="00962238">
      <w:r w:rsidRPr="00777476">
        <w:lastRenderedPageBreak/>
        <w:t>To mitigate these hazards, safe development and use of middleware will be essential to provide an intermediary “</w:t>
      </w:r>
      <w:r w:rsidRPr="00777476">
        <w:rPr>
          <w:i/>
        </w:rPr>
        <w:t xml:space="preserve">to abstract </w:t>
      </w:r>
      <w:r w:rsidRPr="00777476">
        <w:t>[the]</w:t>
      </w:r>
      <w:r w:rsidRPr="00777476">
        <w:rPr>
          <w:i/>
        </w:rPr>
        <w:t xml:space="preserve"> heterogeneity </w:t>
      </w:r>
      <w:r w:rsidRPr="00777476">
        <w:t xml:space="preserve">[of </w:t>
      </w:r>
      <w:r w:rsidR="00C76A80" w:rsidRPr="00777476">
        <w:t>health information technologies</w:t>
      </w:r>
      <w:r w:rsidRPr="00777476">
        <w:t>]</w:t>
      </w:r>
      <w:r w:rsidRPr="00777476">
        <w:rPr>
          <w:i/>
        </w:rPr>
        <w:t xml:space="preserve"> … to achieve a seamless integration</w:t>
      </w:r>
      <w:r w:rsidRPr="00777476">
        <w:t xml:space="preserve">” </w:t>
      </w:r>
      <w:r w:rsidRPr="00777476">
        <w:fldChar w:fldCharType="begin" w:fldLock="1"/>
      </w:r>
      <w:r w:rsidRPr="00777476">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Pr="00777476">
        <w:fldChar w:fldCharType="separate"/>
      </w:r>
      <w:r w:rsidRPr="00777476">
        <w:rPr>
          <w:noProof/>
        </w:rPr>
        <w:t>(Díaz, Martín and Rubio, 2016)</w:t>
      </w:r>
      <w:r w:rsidRPr="00777476">
        <w:fldChar w:fldCharType="end"/>
      </w:r>
      <w:r w:rsidRPr="00777476">
        <w:t xml:space="preserve">. Proposed solutions include standards for exchanging electronic health records </w:t>
      </w:r>
      <w:r w:rsidRPr="00777476">
        <w:fldChar w:fldCharType="begin" w:fldLock="1"/>
      </w:r>
      <w:r w:rsidRPr="00777476">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Pr="00777476">
        <w:fldChar w:fldCharType="separate"/>
      </w:r>
      <w:r w:rsidRPr="00777476">
        <w:rPr>
          <w:noProof/>
        </w:rPr>
        <w:t>(Saripalle et al., 2019; see Houta et al., 2019 for application in epilepsy data)</w:t>
      </w:r>
      <w:r w:rsidRPr="00777476">
        <w:fldChar w:fldCharType="end"/>
      </w:r>
      <w:r w:rsidRPr="00777476">
        <w:t xml:space="preserve">, distributed architectures to integrate electronic health records </w:t>
      </w:r>
      <w:r w:rsidRPr="00777476">
        <w:fldChar w:fldCharType="begin" w:fldLock="1"/>
      </w:r>
      <w:r w:rsidRPr="00777476">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Pr="00777476">
        <w:fldChar w:fldCharType="separate"/>
      </w:r>
      <w:r w:rsidRPr="00777476">
        <w:rPr>
          <w:noProof/>
        </w:rPr>
        <w:t xml:space="preserve">(Roehrs, André and Righi, 2017; Roehrs, 2019; Roehrs </w:t>
      </w:r>
      <w:r w:rsidRPr="00777476">
        <w:rPr>
          <w:i/>
          <w:noProof/>
        </w:rPr>
        <w:t>et al.</w:t>
      </w:r>
      <w:r w:rsidRPr="00777476">
        <w:rPr>
          <w:noProof/>
        </w:rPr>
        <w:t>, 2019)</w:t>
      </w:r>
      <w:r w:rsidRPr="00777476">
        <w:fldChar w:fldCharType="end"/>
      </w:r>
      <w:r w:rsidRPr="00777476">
        <w:t>, and 3</w:t>
      </w:r>
      <w:r w:rsidRPr="00777476">
        <w:rPr>
          <w:vertAlign w:val="superscript"/>
        </w:rPr>
        <w:t>rd</w:t>
      </w:r>
      <w:r w:rsidRPr="00777476">
        <w:t xml:space="preserve">-party infrastructure for linkage and querying of electronic health records, e.g. the CSIRO Health Data Integration tool </w:t>
      </w:r>
      <w:r w:rsidRPr="00777476">
        <w:fldChar w:fldCharType="begin" w:fldLock="1"/>
      </w:r>
      <w:r w:rsidRPr="00777476">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Pr="00777476">
        <w:fldChar w:fldCharType="separate"/>
      </w:r>
      <w:r w:rsidRPr="00777476">
        <w:rPr>
          <w:noProof/>
        </w:rPr>
        <w:t>(Hansen, Pang and Maeder, 2007)</w:t>
      </w:r>
      <w:r w:rsidRPr="00777476">
        <w:fldChar w:fldCharType="end"/>
      </w:r>
      <w:r w:rsidRPr="00777476">
        <w:t>.</w:t>
      </w:r>
    </w:p>
    <w:p w14:paraId="0695BF48" w14:textId="072C15C3" w:rsidR="00962238" w:rsidRPr="00F25567" w:rsidRDefault="00962238" w:rsidP="00962238">
      <w:r w:rsidRPr="00777476">
        <w:t xml:space="preserve">Other contributing solutions include dynamic modelling of the data </w:t>
      </w:r>
      <w:r w:rsidRPr="00777476">
        <w:fldChar w:fldCharType="begin" w:fldLock="1"/>
      </w:r>
      <w:r w:rsidRPr="00777476">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Pr="00777476">
        <w:fldChar w:fldCharType="separate"/>
      </w:r>
      <w:r w:rsidRPr="00777476">
        <w:rPr>
          <w:noProof/>
        </w:rPr>
        <w:t xml:space="preserve">(Jenkins </w:t>
      </w:r>
      <w:r w:rsidRPr="00777476">
        <w:rPr>
          <w:i/>
          <w:noProof/>
        </w:rPr>
        <w:t>et al.</w:t>
      </w:r>
      <w:r w:rsidRPr="00777476">
        <w:rPr>
          <w:noProof/>
        </w:rPr>
        <w:t>, 2018)</w:t>
      </w:r>
      <w:r w:rsidRPr="00777476">
        <w:fldChar w:fldCharType="end"/>
      </w:r>
      <w:r w:rsidRPr="00777476">
        <w:t xml:space="preserve">, which can provide a solution to the transient relevance of predictive models. Similarly, progress continues to be made developing models that respect the latent, data-generating processes underlying the phenomena of interest </w:t>
      </w:r>
      <w:r w:rsidRPr="00777476">
        <w:fldChar w:fldCharType="begin" w:fldLock="1"/>
      </w:r>
      <w:r w:rsidRPr="00777476">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rsidRPr="00777476">
        <w:fldChar w:fldCharType="separate"/>
      </w:r>
      <w:r w:rsidRPr="00777476">
        <w:rPr>
          <w:noProof/>
        </w:rPr>
        <w:t xml:space="preserve">(Sperrin </w:t>
      </w:r>
      <w:r w:rsidRPr="00777476">
        <w:rPr>
          <w:i/>
          <w:noProof/>
        </w:rPr>
        <w:t>et al.</w:t>
      </w:r>
      <w:r w:rsidRPr="00777476">
        <w:rPr>
          <w:noProof/>
        </w:rPr>
        <w:t>, 2019)</w:t>
      </w:r>
      <w:r w:rsidRPr="00777476">
        <w:fldChar w:fldCharType="end"/>
      </w:r>
      <w:r w:rsidRPr="00777476">
        <w:t xml:space="preserve">, which might clarify ‘Big healthcare data’ </w:t>
      </w:r>
      <w:r w:rsidRPr="00777476">
        <w:fldChar w:fldCharType="begin" w:fldLock="1"/>
      </w:r>
      <w:r w:rsidR="003E2D52" w:rsidRPr="00777476">
        <w:instrText>ADDIN CSL_CITATION {"citationItems":[{"id":"ITEM-1","itemData":{"DOI":"10.1001/jama.2017.18391","author":[{"dropping-particle":"","family":"Beam","given":"Andrew L.","non-dropping-particle":"","parse-names":false,"suffix":""},{"dropping-particle":"","family":"Kohane","given":"Isaac S.","non-dropping-particle":"","parse-names":false,"suffix":""}],"container-title":"JAMA","id":"ITEM-1","issue":"13","issued":{"date-parts":[["2018"]]},"page":"1317-1318","title":"Big Data and Machine Learning in Health Care","type":"article-journal","volume":"319"},"uris":["http://www.mendeley.com/documents/?uuid=e0bbc4ef-a292-4110-bb2d-058f603056f6"]}],"mendeley":{"formattedCitation":"(Beam and Kohane, 2018)","plainTextFormattedCitation":"(Beam and Kohane, 2018)","previouslyFormattedCitation":"(Beam and Kohane, 2018)"},"properties":{"noteIndex":0},"schema":"https://github.com/citation-style-language/schema/raw/master/csl-citation.json"}</w:instrText>
      </w:r>
      <w:r w:rsidRPr="00777476">
        <w:fldChar w:fldCharType="separate"/>
      </w:r>
      <w:r w:rsidRPr="00777476">
        <w:rPr>
          <w:noProof/>
        </w:rPr>
        <w:t>(Beam and Kohane, 2018)</w:t>
      </w:r>
      <w:r w:rsidRPr="00777476">
        <w:fldChar w:fldCharType="end"/>
      </w:r>
      <w:r w:rsidRPr="00777476">
        <w:t>.</w:t>
      </w:r>
      <w:r w:rsidR="0081714B" w:rsidRPr="00777476">
        <w:t xml:space="preserve"> Finally, progress in artificial intelligence (particularly anomaly detection) might help to mitigate problems arising from data errors </w:t>
      </w:r>
      <w:r w:rsidR="0081714B" w:rsidRPr="00777476">
        <w:fldChar w:fldCharType="begin" w:fldLock="1"/>
      </w:r>
      <w:r w:rsidR="0081714B" w:rsidRPr="00777476">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rsidR="0081714B" w:rsidRPr="00777476">
        <w:fldChar w:fldCharType="separate"/>
      </w:r>
      <w:r w:rsidR="0081714B" w:rsidRPr="00777476">
        <w:rPr>
          <w:noProof/>
        </w:rPr>
        <w:t xml:space="preserve">(Challen </w:t>
      </w:r>
      <w:r w:rsidR="0081714B" w:rsidRPr="00777476">
        <w:rPr>
          <w:i/>
          <w:noProof/>
        </w:rPr>
        <w:t>et al.</w:t>
      </w:r>
      <w:r w:rsidR="0081714B" w:rsidRPr="00777476">
        <w:rPr>
          <w:noProof/>
        </w:rPr>
        <w:t>, 2019; Macrae, 2019)</w:t>
      </w:r>
      <w:r w:rsidR="0081714B" w:rsidRPr="00777476">
        <w:fldChar w:fldCharType="end"/>
      </w:r>
      <w:r w:rsidR="0081714B" w:rsidRPr="00777476">
        <w:t xml:space="preserve">. For example, to minimise inappropriate decisions due to poor data quality, </w:t>
      </w:r>
      <w:r w:rsidR="0081714B" w:rsidRPr="00777476">
        <w:fldChar w:fldCharType="begin" w:fldLock="1"/>
      </w:r>
      <w:r w:rsidR="0081714B" w:rsidRPr="00777476">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81714B" w:rsidRPr="00777476">
        <w:fldChar w:fldCharType="separate"/>
      </w:r>
      <w:r w:rsidR="0081714B" w:rsidRPr="00777476">
        <w:rPr>
          <w:noProof/>
        </w:rPr>
        <w:t>Sako et al. (2020)</w:t>
      </w:r>
      <w:r w:rsidR="0081714B" w:rsidRPr="00777476">
        <w:fldChar w:fldCharType="end"/>
      </w:r>
      <w:r w:rsidR="0081714B" w:rsidRPr="00777476">
        <w:t xml:space="preserve"> provides a conceptual framework for automated assessment of data quality and information integrity.</w:t>
      </w:r>
      <w:r w:rsidR="003E6B64" w:rsidRPr="00777476">
        <w:t xml:space="preserve"> These methods are examples of how </w:t>
      </w:r>
      <w:r w:rsidR="00C76A80" w:rsidRPr="00777476">
        <w:t>developments in digital health</w:t>
      </w:r>
      <w:r w:rsidR="003E6B64" w:rsidRPr="00777476">
        <w:t xml:space="preserve"> can be used to improve patient safety </w:t>
      </w:r>
      <w:r w:rsidR="00C76A80" w:rsidRPr="00777476">
        <w:t>as well as help with its safe use</w:t>
      </w:r>
      <w:r w:rsidR="003E6B64" w:rsidRPr="00777476">
        <w:t>.</w:t>
      </w:r>
    </w:p>
    <w:p w14:paraId="123D50B9" w14:textId="6A15425B" w:rsidR="007B37B8" w:rsidRPr="00F25567" w:rsidRDefault="007B37B8" w:rsidP="000A1BAC"/>
    <w:p w14:paraId="4C9F8C1A" w14:textId="397C8BDA" w:rsidR="007B37B8" w:rsidRPr="00F25567" w:rsidRDefault="007B37B8" w:rsidP="00DE355E">
      <w:pPr>
        <w:pStyle w:val="Heading2"/>
      </w:pPr>
      <w:r w:rsidRPr="00F25567">
        <w:t>Reactive regulations and standards</w:t>
      </w:r>
    </w:p>
    <w:p w14:paraId="53AD91FB" w14:textId="77777777" w:rsidR="00CE0FE4" w:rsidRDefault="00B4439A" w:rsidP="000A1BAC">
      <w:r w:rsidRPr="00777476">
        <w:t>Thirdly, as the pace of innovation accelerates, the current reactive (rather than proactive) regulatory- and standards-based approaches to safety will be increasingly ineffective at assuring patients’ safety</w:t>
      </w:r>
      <w:r w:rsidR="00B44012" w:rsidRPr="00777476">
        <w:t xml:space="preserve"> (</w:t>
      </w:r>
      <w:r w:rsidR="00B44012" w:rsidRPr="001A5100">
        <w:rPr>
          <w:highlight w:val="yellow"/>
        </w:rPr>
        <w:t>Xplaceholder – OJ and CMc paperX</w:t>
      </w:r>
      <w:r w:rsidR="00B44012" w:rsidRPr="00777476">
        <w:t>)</w:t>
      </w:r>
      <w:r w:rsidRPr="00777476">
        <w:t>.</w:t>
      </w:r>
      <w:r w:rsidR="0081714B" w:rsidRPr="00777476">
        <w:t xml:space="preserve"> The implication is that avoidable harm might be experienced before mitigations are put in place.</w:t>
      </w:r>
    </w:p>
    <w:p w14:paraId="6E348CBD" w14:textId="3354B4EC" w:rsidR="003E2D52" w:rsidRPr="00F25567" w:rsidRDefault="003E2D52" w:rsidP="000A1BAC">
      <w:r w:rsidRPr="00777476">
        <w:t xml:space="preserve">We recommend </w:t>
      </w:r>
      <w:r w:rsidR="009B4077" w:rsidRPr="00777476">
        <w:t>synchronisation</w:t>
      </w:r>
      <w:r w:rsidRPr="00777476">
        <w:t xml:space="preserve"> of the development and evaluation of </w:t>
      </w:r>
      <w:r w:rsidR="00E06809" w:rsidRPr="00777476">
        <w:t>health information technologies</w:t>
      </w:r>
      <w:r w:rsidRPr="00777476">
        <w:t xml:space="preserve">, similar to the IDEAL framework </w:t>
      </w:r>
      <w:r w:rsidRPr="00777476">
        <w:fldChar w:fldCharType="begin" w:fldLock="1"/>
      </w:r>
      <w:r w:rsidRPr="00777476">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goal","type":"article-journal","volume":"353"},"uris":["http://www.mendeley.com/documents/?uuid=b5da7b4c-ff6c-45f7-acb2-0d1429b5e4f4"]}],"mendeley":{"formattedCitation":"(Sedrakyan &lt;i&gt;et al.&lt;/i&gt;, 2016)","plainTextFormattedCitation":"(Sedrakyan et al., 2016)","previouslyFormattedCitation":"(Sedrakyan &lt;i&gt;et al.&lt;/i&gt;, 2016)"},"properties":{"noteIndex":0},"schema":"https://github.com/citation-style-language/schema/raw/master/csl-citation.json"}</w:instrText>
      </w:r>
      <w:r w:rsidRPr="00777476">
        <w:fldChar w:fldCharType="separate"/>
      </w:r>
      <w:r w:rsidRPr="00777476">
        <w:rPr>
          <w:noProof/>
        </w:rPr>
        <w:t xml:space="preserve">(Sedrakyan </w:t>
      </w:r>
      <w:r w:rsidRPr="00777476">
        <w:rPr>
          <w:i/>
          <w:noProof/>
        </w:rPr>
        <w:t>et al.</w:t>
      </w:r>
      <w:r w:rsidRPr="00777476">
        <w:rPr>
          <w:noProof/>
        </w:rPr>
        <w:t>, 2016)</w:t>
      </w:r>
      <w:r w:rsidRPr="00777476">
        <w:fldChar w:fldCharType="end"/>
      </w:r>
      <w:r w:rsidRPr="00777476">
        <w:t>. The IDEAL framework champions gradual approval of medical devices rather than the one-shot approval of CE marking</w:t>
      </w:r>
      <w:r w:rsidR="008D06DB" w:rsidRPr="00777476">
        <w:t xml:space="preserve"> </w:t>
      </w:r>
      <w:r w:rsidR="008D06DB" w:rsidRPr="00777476">
        <w:fldChar w:fldCharType="begin" w:fldLock="1"/>
      </w:r>
      <w:r w:rsidR="008D06DB" w:rsidRPr="00777476">
        <w:instrText>ADDIN CSL_CITATION {"citationItems":[{"id":"ITEM-1","itemData":{"author":[{"dropping-particle":"","family":"The European Parliment and The Council of the European Union","given":"","non-dropping-particle":"","parse-names":false,"suffix":""}],"container-title":"Official Journal of the European Union","id":"ITEM-1","issued":{"date-parts":[["1993"]]},"title":"Council Directive 93/68/EEC of 22 July 1993","type":"article-journal","volume":"68"},"uris":["http://www.mendeley.com/documents/?uuid=c2f6fe6e-1568-4298-b98f-754c5f094769"]}],"mendeley":{"formattedCitation":"(The European Parliment and The Council of the European Union, 1993)","plainTextFormattedCitation":"(The European Parliment and The Council of the European Union, 1993)","previouslyFormattedCitation":"(The European Parliment and The Council of the European Union, 1993)"},"properties":{"noteIndex":0},"schema":"https://github.com/citation-style-language/schema/raw/master/csl-citation.json"}</w:instrText>
      </w:r>
      <w:r w:rsidR="008D06DB" w:rsidRPr="00777476">
        <w:fldChar w:fldCharType="separate"/>
      </w:r>
      <w:r w:rsidR="008D06DB" w:rsidRPr="00777476">
        <w:rPr>
          <w:noProof/>
        </w:rPr>
        <w:t>(The European Parliment and The Council of the European Union, 1993)</w:t>
      </w:r>
      <w:r w:rsidR="008D06DB" w:rsidRPr="00777476">
        <w:fldChar w:fldCharType="end"/>
      </w:r>
      <w:r w:rsidRPr="00777476">
        <w:t>, which would allow “</w:t>
      </w:r>
      <w:r w:rsidRPr="00777476">
        <w:rPr>
          <w:i/>
        </w:rPr>
        <w:t>graded, responsible, but earlier patient access</w:t>
      </w:r>
      <w:r w:rsidRPr="00777476">
        <w:t xml:space="preserve">” </w:t>
      </w:r>
      <w:r w:rsidRPr="00777476">
        <w:fldChar w:fldCharType="begin" w:fldLock="1"/>
      </w:r>
      <w:r w:rsidRPr="00777476">
        <w:instrText>ADDIN CSL_CITATION {"citationItems":[{"id":"ITEM-1","itemData":{"DOI":"10.1136/bmj.i2372","author":[{"dropping-particle":"","family":"Sedrakyan","given":"Art","non-dropping-particle":"","parse-names":false,"suffix":""},{"dropping-particle":"","family":"Campbell","given":"Bruce","non-dropping-particle":"","parse-names":false,"suffix":""},{"dropping-particle":"","family":"Merino","given":"Jose G","non-dropping-particle":"","parse-names":false,"suffix":""},{"dropping-particle":"","family":"Kuntz","given":"Richard","non-dropping-particle":"","parse-names":false,"suffix":""},{"dropping-particle":"","family":"Hirst","given":"Allison","non-dropping-particle":"","parse-names":false,"suffix":""},{"dropping-particle":"","family":"McCulloch","given":"Peter","non-dropping-particle":"","parse-names":false,"suffix":""}],"container-title":"BMJ","id":"ITEM-1","issue":"i2372","issued":{"date-parts":[["2016"]]},"page":"1-7","title":"IDEAL-D: a rational framework for evaluating and achieve this goal","type":"article-journal","volume":"353"},"uris":["http://www.mendeley.com/documents/?uuid=b5da7b4c-ff6c-45f7-acb2-0d1429b5e4f4"]},{"id":"ITEM-2","itemData":{"DOI":"10.1097/SLA.0000000000002794","ISBN":"0000000000","ISSN":"15281140","PMID":"29697448","abstract":"OBJECTIVE: To update, clarify, and extend IDEAL concepts and recommendations. BACKGROUND: New surgical procedures, devices, and other complex interventions need robust evaluation for safety, efficacy, and effectiveness. Unlike new medicines, there is no internationally agreed evaluation pathway for generating and analyzing data throughout the life cycle of surgical innovations. The IDEAL Framework and Recommendations were designed to provide this pathway and they have been used increasingly since their introduction in 2009. Based on a Delphi survey, expert workshop and major discussions during IDEAL conferences held in Oxford (2016) and New York (2017), this article updates and extends the IDEAL Recommendations, identifies areas for future research, and discusses the ethical problems faced by investigators at each IDEAL stage. METHODS: The IDEAL Framework describes 5 stages of evolution for new surgical therapeutic interventions-Idea, Development, Exploration, Assessment, and Long-term Study. This comprehensive update proposes several modifications. First, a \"Pre-IDEAL\" stage describing preclinical studies has been added. Second we discuss potential adaptations to expand the scope of IDEAL (originally designed for surgical procedures) to accommodate therapeutic devices, through an IDEAL-D variant. Third, we explicitly recognise the value of comprehensive data collection through registries at all stages in the Framework and fourth, we examine the ethical issues that arise at each stage of IDEAL and underpin the recommendations. The Recommendations for each stage are reviewed, clarified and additional detail added. CONCLUSIONS: The intention of this article is to widen the practical use of IDEAL by clarifying the rationale for and practical details of the Recommendations. Additional research based on the experience of implementing these Recommendations is needed to further improve them.","author":[{"dropping-particle":"","family":"Hirst","given":"Allison","non-dropping-particle":"","parse-names":false,"suffix":""},{"dropping-particle":"","family":"Philippou","given":"Yiannis","non-dropping-particle":"","parse-names":false,"suffix":""},{"dropping-particle":"","family":"Blazeby","given":"Jane","non-dropping-particle":"","parse-names":false,"suffix":""},{"dropping-particle":"","family":"Campbell","given":"Bruce","non-dropping-particle":"","parse-names":false,"suffix":""},{"dropping-particle":"","family":"Campbell","given":"Marion","non-dropping-particle":"","parse-names":false,"suffix":""},{"dropping-particle":"","family":"Feinberg","given":"Joshua","non-dropping-particle":"","parse-names":false,"suffix":""},{"dropping-particle":"","family":"Rovers","given":"Maroeska","non-dropping-particle":"","parse-names":false,"suffix":""},{"dropping-particle":"","family":"Blencowe","given":"Natalie","non-dropping-particle":"","parse-names":false,"suffix":""},{"dropping-particle":"","family":"Pennell","given":"Christopher","non-dropping-particle":"","parse-names":false,"suffix":""},{"dropping-particle":"","family":"Quinn","given":"Tom","non-dropping-particle":"","parse-names":false,"suffix":""},{"dropping-particle":"","family":"Rogers","given":"Wendy","non-dropping-particle":"","parse-names":false,"suffix":""},{"dropping-particle":"","family":"Cook","given":"Jonathan","non-dropping-particle":"","parse-names":false,"suffix":""},{"dropping-particle":"","family":"Kolias","given":"Angelos G.","non-dropping-particle":"","parse-names":false,"suffix":""},{"dropping-particle":"","family":"Agha","given":"Riaz","non-dropping-particle":"","parse-names":false,"suffix":""},{"dropping-particle":"","family":"Dahm","given":"Philipp","non-dropping-particle":"","parse-names":false,"suffix":""},{"dropping-particle":"","family":"Sedrakyan","given":"Art","non-dropping-particle":"","parse-names":false,"suffix":""},{"dropping-particle":"","family":"McCulloch","given":"Peter","non-dropping-particle":"","parse-names":false,"suffix":""}],"container-title":"Annals of surgery","id":"ITEM-2","issue":"2","issued":{"date-parts":[["2019"]]},"page":"211-220","title":"No Surgical Innovation Without Evaluation: Evolution and Further Development of the IDEAL Framework and Recommendations","type":"article-journal","volume":"269"},"uris":["http://www.mendeley.com/documents/?uuid=c943c2e8-e02c-4c68-90e3-7ee5fb858265"]}],"mendeley":{"formattedCitation":"(Sedrakyan &lt;i&gt;et al.&lt;/i&gt;, 2016; Hirst &lt;i&gt;et al.&lt;/i&gt;, 2019)","plainTextFormattedCitation":"(Sedrakyan et al., 2016; Hirst et al., 2019)","previouslyFormattedCitation":"(Sedrakyan &lt;i&gt;et al.&lt;/i&gt;, 2016; Hirst &lt;i&gt;et al.&lt;/i&gt;, 2019)"},"properties":{"noteIndex":0},"schema":"https://github.com/citation-style-language/schema/raw/master/csl-citation.json"}</w:instrText>
      </w:r>
      <w:r w:rsidRPr="00777476">
        <w:fldChar w:fldCharType="separate"/>
      </w:r>
      <w:r w:rsidRPr="00777476">
        <w:rPr>
          <w:noProof/>
        </w:rPr>
        <w:t xml:space="preserve">(Sedrakyan </w:t>
      </w:r>
      <w:r w:rsidRPr="00777476">
        <w:rPr>
          <w:i/>
          <w:noProof/>
        </w:rPr>
        <w:t>et al.</w:t>
      </w:r>
      <w:r w:rsidRPr="00777476">
        <w:rPr>
          <w:noProof/>
        </w:rPr>
        <w:t xml:space="preserve">, 2016; Hirst </w:t>
      </w:r>
      <w:r w:rsidRPr="00777476">
        <w:rPr>
          <w:i/>
          <w:noProof/>
        </w:rPr>
        <w:t>et al.</w:t>
      </w:r>
      <w:r w:rsidRPr="00777476">
        <w:rPr>
          <w:noProof/>
        </w:rPr>
        <w:t>, 2019)</w:t>
      </w:r>
      <w:r w:rsidRPr="00777476">
        <w:fldChar w:fldCharType="end"/>
      </w:r>
      <w:r w:rsidRPr="00777476">
        <w:t xml:space="preserve">. Such frameworks simultaneously address concerns that the increased administrative burden of more-stringent regulations might delay products that are imperfect but practically useful </w:t>
      </w:r>
      <w:r w:rsidRPr="00777476">
        <w:fldChar w:fldCharType="begin" w:fldLock="1"/>
      </w:r>
      <w:r w:rsidRPr="00777476">
        <w:instrText>ADDIN CSL_CITATION {"citationItems":[{"id":"ITEM-1","itemData":{"DOI":"10.1017/S0266462319001958","author":[{"dropping-particle":"","family":"Oelze","given":"Ilse-barbara","non-dropping-particle":"","parse-names":false,"suffix":""},{"dropping-particle":"","family":"Neeser","given":"Kurt","non-dropping-particle":"","parse-names":false,"suffix":""},{"dropping-particle":"","family":"Müller","given":"Elvira","non-dropping-particle":"","parse-names":false,"suffix":""}],"container-title":"International Journal of Technology Assessment in Health Care","id":"ITEM-1","issue":"S1","issued":{"date-parts":[["2019"]]},"page":"42-43","title":"PP31 Medical Device Regulation : What Is New?","type":"article-journal","volume":"35"},"uris":["http://www.mendeley.com/documents/?uuid=cfe5b23f-b99b-40c1-ab4e-1209ab953c36"]}],"mendeley":{"formattedCitation":"(Oelze, Neeser and Müller, 2019)","plainTextFormattedCitation":"(Oelze, Neeser and Müller, 2019)","previouslyFormattedCitation":"(Oelze, Neeser and Müller, 2019)"},"properties":{"noteIndex":0},"schema":"https://github.com/citation-style-language/schema/raw/master/csl-citation.json"}</w:instrText>
      </w:r>
      <w:r w:rsidRPr="00777476">
        <w:fldChar w:fldCharType="separate"/>
      </w:r>
      <w:r w:rsidRPr="00777476">
        <w:rPr>
          <w:noProof/>
        </w:rPr>
        <w:t>(Oelze, Neeser and Müller, 2019)</w:t>
      </w:r>
      <w:r w:rsidRPr="00777476">
        <w:fldChar w:fldCharType="end"/>
      </w:r>
      <w:r w:rsidRPr="00F25567">
        <w:t xml:space="preserve">. </w:t>
      </w:r>
    </w:p>
    <w:p w14:paraId="1C185595" w14:textId="07C7D51E" w:rsidR="0081714B" w:rsidRPr="00F25567" w:rsidRDefault="003E2D52" w:rsidP="000A1BAC">
      <w:r w:rsidRPr="00777476">
        <w:t>We also recommend that regulators and developers of standards adopt a systems approach to conceptualising risk</w:t>
      </w:r>
      <w:r w:rsidR="00B06ABE" w:rsidRPr="00777476">
        <w:t xml:space="preserve"> </w:t>
      </w:r>
      <w:r w:rsidR="00B06ABE" w:rsidRPr="00777476">
        <w:fldChar w:fldCharType="begin" w:fldLock="1"/>
      </w:r>
      <w:r w:rsidR="005E4F8F" w:rsidRPr="00777476">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Approach","type":"article-journal","volume":"29"},"uris":["http://www.mendeley.com/documents/?uuid=be91c8a7-d065-46c7-9ead-103322cdddb1"]}],"mendeley":{"formattedCitation":"(Haimes, 2009a)","plainTextFormattedCitation":"(Haimes, 2009a)","previouslyFormattedCitation":"(Haimes, 2009a)"},"properties":{"noteIndex":0},"schema":"https://github.com/citation-style-language/schema/raw/master/csl-citation.json"}</w:instrText>
      </w:r>
      <w:r w:rsidR="00B06ABE" w:rsidRPr="00777476">
        <w:fldChar w:fldCharType="separate"/>
      </w:r>
      <w:r w:rsidR="00751DD1" w:rsidRPr="00777476">
        <w:rPr>
          <w:noProof/>
        </w:rPr>
        <w:t>(Haimes, 2009a)</w:t>
      </w:r>
      <w:r w:rsidR="00B06ABE" w:rsidRPr="00777476">
        <w:fldChar w:fldCharType="end"/>
      </w:r>
      <w:r w:rsidRPr="00777476">
        <w:t xml:space="preserve"> to appropriately reflect the complex adaptive nature of healthcare </w:t>
      </w:r>
      <w:r w:rsidRPr="00777476">
        <w:fldChar w:fldCharType="begin" w:fldLock="1"/>
      </w:r>
      <w:r w:rsidR="00B06ABE" w:rsidRPr="00777476">
        <w:instrText>ADDIN CSL_CITATION {"citationItems":[{"id":"ITEM-1","itemData":{"PMID":"11557716","abstract":"Summary points The science of complex adaptive systems provides important concepts and tools for responding to the challenges of health care in the 21st century Clinical practice, organisation, information management, research, education, and professional development are interdependent and built around multiple self adjusting and interacting systems In complex systems, unpredictability and paradox are ever present, and some things will remain unknowable New conceptual frameworks that incorporate a dynamic, emergent, creative, and intuitive view of the world must replace traditional “reduce and resolve” approaches to clinical care and service organisation","author":[{"dropping-particle":"","family":"Plsek","given":"Paul E","non-dropping-particle":"","parse-names":false,"suffix":""},{"dropping-particle":"","family":"Greenhalgh","given":"Trisha","non-dropping-particle":"","parse-names":false,"suffix":""}],"container-title":"BMJ (Clinical research ed.)","id":"ITEM-1","issue":"7313","issued":{"date-parts":[["2001"]]},"page":"625-8","title":"The challenge of complexity in health care","type":"article-journal","volume":"323"},"uris":["http://www.mendeley.com/documents/?uuid=b1f3fa29-ac3b-402e-9e89-82412d61636d"]}],"mendeley":{"formattedCitation":"(Plsek and Greenhalgh, 2001)","plainTextFormattedCitation":"(Plsek and Greenhalgh, 2001)","previouslyFormattedCitation":"(Plsek and Greenhalgh, 2001)"},"properties":{"noteIndex":0},"schema":"https://github.com/citation-style-language/schema/raw/master/csl-citation.json"}</w:instrText>
      </w:r>
      <w:r w:rsidRPr="00777476">
        <w:fldChar w:fldCharType="separate"/>
      </w:r>
      <w:r w:rsidRPr="00777476">
        <w:rPr>
          <w:noProof/>
        </w:rPr>
        <w:t>(Plsek and Greenhalgh, 2001)</w:t>
      </w:r>
      <w:r w:rsidRPr="00777476">
        <w:fldChar w:fldCharType="end"/>
      </w:r>
      <w:r w:rsidRPr="00777476">
        <w:t xml:space="preserve">. </w:t>
      </w:r>
      <w:r w:rsidR="00D30C91" w:rsidRPr="00777476">
        <w:t>It is hoped tha</w:t>
      </w:r>
      <w:r w:rsidR="00B66EA9" w:rsidRPr="00777476">
        <w:t xml:space="preserve">t </w:t>
      </w:r>
      <w:r w:rsidR="00D30C91" w:rsidRPr="00777476">
        <w:t>t</w:t>
      </w:r>
      <w:r w:rsidR="0081714B" w:rsidRPr="00777476">
        <w:t xml:space="preserve">hese recommendations </w:t>
      </w:r>
      <w:r w:rsidR="00E25082" w:rsidRPr="00777476">
        <w:t xml:space="preserve">might </w:t>
      </w:r>
      <w:r w:rsidR="0081714B" w:rsidRPr="00777476">
        <w:t xml:space="preserve">help to manage increased sensitivity to safety </w:t>
      </w:r>
      <w:r w:rsidR="00B66EA9" w:rsidRPr="00777476">
        <w:t>during development</w:t>
      </w:r>
      <w:r w:rsidR="0081714B" w:rsidRPr="00F25567">
        <w:t>.</w:t>
      </w:r>
    </w:p>
    <w:p w14:paraId="3A8600A6" w14:textId="174287ED" w:rsidR="007B37B8" w:rsidRPr="00F25567" w:rsidRDefault="007B37B8" w:rsidP="000A1BAC"/>
    <w:p w14:paraId="0515F150" w14:textId="77777777" w:rsidR="00E0556F" w:rsidRPr="00F25567" w:rsidRDefault="00E0556F" w:rsidP="00DE355E">
      <w:pPr>
        <w:pStyle w:val="Heading2"/>
      </w:pPr>
      <w:commentRangeStart w:id="7"/>
      <w:r w:rsidRPr="00F25567">
        <w:t xml:space="preserve">Trust </w:t>
      </w:r>
      <w:commentRangeEnd w:id="7"/>
      <w:r w:rsidR="003354EE" w:rsidRPr="00F25567">
        <w:rPr>
          <w:rStyle w:val="CommentReference"/>
          <w:rFonts w:asciiTheme="minorHAnsi" w:eastAsiaTheme="minorHAnsi" w:hAnsiTheme="minorHAnsi" w:cstheme="minorBidi"/>
        </w:rPr>
        <w:commentReference w:id="7"/>
      </w:r>
      <w:r w:rsidRPr="00F25567">
        <w:t>in opaque and complex systems</w:t>
      </w:r>
    </w:p>
    <w:p w14:paraId="1F2AF7D9" w14:textId="5011AF19" w:rsidR="00297362" w:rsidRPr="00F25567" w:rsidRDefault="00E0556F" w:rsidP="00E57295">
      <w:pPr>
        <w:rPr>
          <w:shd w:val="clear" w:color="auto" w:fill="92D050"/>
        </w:rPr>
      </w:pPr>
      <w:r w:rsidRPr="00777476">
        <w:t xml:space="preserve">Fourthly, trust </w:t>
      </w:r>
      <w:r w:rsidR="00EA09ED" w:rsidRPr="00777476">
        <w:t>has</w:t>
      </w:r>
      <w:r w:rsidRPr="00777476">
        <w:t xml:space="preserve"> long been a part of patient care </w:t>
      </w:r>
      <w:r w:rsidRPr="00777476">
        <w:fldChar w:fldCharType="begin" w:fldLock="1"/>
      </w:r>
      <w:r w:rsidRPr="00777476">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Pr="00777476">
        <w:fldChar w:fldCharType="separate"/>
      </w:r>
      <w:r w:rsidRPr="00777476">
        <w:rPr>
          <w:noProof/>
        </w:rPr>
        <w:t>(Thorne and Robinson, 1988; Song and Zahedi, 2007)</w:t>
      </w:r>
      <w:r w:rsidRPr="00777476">
        <w:fldChar w:fldCharType="end"/>
      </w:r>
      <w:r w:rsidR="00EA09ED" w:rsidRPr="00777476">
        <w:t xml:space="preserve"> but it is threatened by the way that digitisation and complexification of </w:t>
      </w:r>
      <w:r w:rsidR="005D4872" w:rsidRPr="00777476">
        <w:t>digital health</w:t>
      </w:r>
      <w:r w:rsidR="00EA09ED" w:rsidRPr="00777476">
        <w:t xml:space="preserve"> can hinder the intimacy of care</w:t>
      </w:r>
      <w:r w:rsidRPr="00777476">
        <w:t xml:space="preserve">. Trust in healthcare is partly a function of inter-personal behaviours </w:t>
      </w:r>
      <w:r w:rsidRPr="00777476">
        <w:fldChar w:fldCharType="begin" w:fldLock="1"/>
      </w:r>
      <w:r w:rsidRPr="00777476">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Pr="00777476">
        <w:fldChar w:fldCharType="separate"/>
      </w:r>
      <w:r w:rsidRPr="00777476">
        <w:rPr>
          <w:noProof/>
        </w:rPr>
        <w:t>(Calnan and Rowe, 2006)</w:t>
      </w:r>
      <w:r w:rsidRPr="00777476">
        <w:fldChar w:fldCharType="end"/>
      </w:r>
      <w:r w:rsidRPr="00777476">
        <w:t xml:space="preserve"> with the </w:t>
      </w:r>
      <w:commentRangeStart w:id="8"/>
      <w:r w:rsidRPr="00777476">
        <w:t xml:space="preserve">gatekeeping and competing incentives of actors </w:t>
      </w:r>
      <w:r w:rsidR="005D4872" w:rsidRPr="00777476">
        <w:t>with</w:t>
      </w:r>
      <w:r w:rsidRPr="00777476">
        <w:t xml:space="preserve">in a </w:t>
      </w:r>
      <w:r w:rsidR="005D4872" w:rsidRPr="00777476">
        <w:t xml:space="preserve">health information system </w:t>
      </w:r>
      <w:r w:rsidR="00EA09ED" w:rsidRPr="00777476">
        <w:t>potentially jeopardising</w:t>
      </w:r>
      <w:r w:rsidRPr="00777476">
        <w:t xml:space="preserve"> this trust </w:t>
      </w:r>
      <w:commentRangeEnd w:id="8"/>
      <w:r w:rsidR="003354EE" w:rsidRPr="00777476">
        <w:rPr>
          <w:rStyle w:val="CommentReference"/>
        </w:rPr>
        <w:commentReference w:id="8"/>
      </w:r>
      <w:r w:rsidRPr="00777476">
        <w:fldChar w:fldCharType="begin" w:fldLock="1"/>
      </w:r>
      <w:r w:rsidRPr="00777476">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Pr="00777476">
        <w:fldChar w:fldCharType="separate"/>
      </w:r>
      <w:r w:rsidRPr="00777476">
        <w:rPr>
          <w:noProof/>
        </w:rPr>
        <w:t>(Mechanic and Schlesinger, 1996; Alaszewski, 2003)</w:t>
      </w:r>
      <w:r w:rsidRPr="00777476">
        <w:fldChar w:fldCharType="end"/>
      </w:r>
      <w:r w:rsidR="008602F4" w:rsidRPr="00777476">
        <w:t xml:space="preserve">. Without trust in expert and reliable sources, patients’ safety is under threat from </w:t>
      </w:r>
      <w:r w:rsidR="008602F4" w:rsidRPr="00777476">
        <w:lastRenderedPageBreak/>
        <w:t xml:space="preserve">misinformation and disinformation from sources more intimate and familiar </w:t>
      </w:r>
      <w:r w:rsidR="008602F4" w:rsidRPr="00777476">
        <w:fldChar w:fldCharType="begin" w:fldLock="1"/>
      </w:r>
      <w:r w:rsidR="00625C5D" w:rsidRPr="00777476">
        <w:instrText>ADDIN CSL_CITATION {"citationItems":[{"id":"ITEM-1","itemData":{"abstract":"Contemporary women experience more menstrual cycles than their predecessors, and their menstrual patterns are modified by contraceptives. Amenorrhea is one side effect that has recently been advocated as desirable. This qualitative study investigated Brazilian women's views regarding the suppression of menstruation using hormones. Data were collected through eight focus groups, following a semistructured guideline. Sixty-four women, 21-51 years old, all menstruating regularly and all of whom had already initiated sexual activity and had no perceived infertility participated. Discussions were recorded, transcribed and entered into the computer, using the Ethnograph V 5.0 software to aggregate similar patterns. Thematic content analysis revealed that menstruation and amenorrhea were both seen with ambiguity. Although regarded as a nuisance, menstruation was associated with femaleness, youth, fertility and health. Most women, although they would like to be free from menstruation, feared negative consequences of induced amenorrhea and even regarded the proposition as a male intrusion into what they consider a natural female condition. © 2005 Elsevier Inc. All rights reserved.","author":[{"dropping-particle":"","family":"Wardle","given":"Claire","non-dropping-particle":"","parse-names":false,"suffix":""},{"dropping-particle":"","family":"Derakhshan","given":"Hossein","non-dropping-particle":"","parse-names":false,"suffix":""}],"container-title":"Report to the Council of Europe","id":"ITEM-1","issued":{"date-parts":[["2017"]]},"page":"108","title":"Information Disorder: Toward an interdisciplinary framework for research and policy making","type":"article-journal"},"uris":["http://www.mendeley.com/documents/?uuid=873fbbd6-d527-4793-8190-827ecc22fec7"]}],"mendeley":{"formattedCitation":"(Wardle and Derakhshan, 2017)","plainTextFormattedCitation":"(Wardle and Derakhshan, 2017)","previouslyFormattedCitation":"(Wardle and Derakhshan, 2017)"},"properties":{"noteIndex":0},"schema":"https://github.com/citation-style-language/schema/raw/master/csl-citation.json"}</w:instrText>
      </w:r>
      <w:r w:rsidR="008602F4" w:rsidRPr="00777476">
        <w:fldChar w:fldCharType="separate"/>
      </w:r>
      <w:r w:rsidR="007767EC" w:rsidRPr="00777476">
        <w:rPr>
          <w:noProof/>
        </w:rPr>
        <w:t>(Wardle and Derakhshan, 2017)</w:t>
      </w:r>
      <w:r w:rsidR="008602F4" w:rsidRPr="00777476">
        <w:fldChar w:fldCharType="end"/>
      </w:r>
      <w:r w:rsidR="008602F4" w:rsidRPr="00777476">
        <w:t>.</w:t>
      </w:r>
    </w:p>
    <w:p w14:paraId="35D7452F" w14:textId="2C6CFA33" w:rsidR="00E0556F" w:rsidRPr="00F25567" w:rsidRDefault="00625C5D" w:rsidP="00E57295">
      <w:r w:rsidRPr="00777476">
        <w:t>A f</w:t>
      </w:r>
      <w:r w:rsidR="005D4872" w:rsidRPr="00777476">
        <w:t>urthe</w:t>
      </w:r>
      <w:r w:rsidRPr="00777476">
        <w:t xml:space="preserve">r challenge </w:t>
      </w:r>
      <w:r w:rsidR="005D4872" w:rsidRPr="00777476">
        <w:t xml:space="preserve">to trust </w:t>
      </w:r>
      <w:r w:rsidRPr="00777476">
        <w:t xml:space="preserve">is when an </w:t>
      </w:r>
      <w:r w:rsidR="00A34080" w:rsidRPr="00777476">
        <w:t>illusion of safety</w:t>
      </w:r>
      <w:r w:rsidRPr="00777476">
        <w:t xml:space="preserve"> is</w:t>
      </w:r>
      <w:r w:rsidR="005D4872" w:rsidRPr="00777476">
        <w:t xml:space="preserve"> </w:t>
      </w:r>
      <w:r w:rsidRPr="00777476">
        <w:t>partly</w:t>
      </w:r>
      <w:r w:rsidR="00A34080" w:rsidRPr="00777476">
        <w:t xml:space="preserve"> </w:t>
      </w:r>
      <w:r w:rsidR="005D4872" w:rsidRPr="00777476">
        <w:t>incentivised</w:t>
      </w:r>
      <w:r w:rsidR="00A34080" w:rsidRPr="00777476">
        <w:t xml:space="preserve"> by short-term returns</w:t>
      </w:r>
      <w:r w:rsidR="005D4872" w:rsidRPr="00777476">
        <w:t xml:space="preserve">. </w:t>
      </w:r>
      <w:r w:rsidR="00CE0FE4">
        <w:t xml:space="preserve">In addition to the </w:t>
      </w:r>
      <w:r w:rsidR="00E57295" w:rsidRPr="00777476">
        <w:t xml:space="preserve">illusion of patient safety </w:t>
      </w:r>
      <w:r w:rsidR="00CE0FE4">
        <w:t>arising</w:t>
      </w:r>
      <w:r w:rsidR="00E57295" w:rsidRPr="00777476">
        <w:t xml:space="preserve"> from ignorance</w:t>
      </w:r>
      <w:r w:rsidR="00297362" w:rsidRPr="00777476">
        <w:t xml:space="preserve"> or lack of </w:t>
      </w:r>
      <w:r w:rsidR="00E57295" w:rsidRPr="00777476">
        <w:t xml:space="preserve">engagement </w:t>
      </w:r>
      <w:r w:rsidR="00E57295" w:rsidRPr="00777476">
        <w:fldChar w:fldCharType="begin" w:fldLock="1"/>
      </w:r>
      <w:r w:rsidR="00E57295" w:rsidRPr="00777476">
        <w:instrText>ADDIN CSL_CITATION {"citationItems":[{"id":"ITEM-1","itemData":{"author":[{"dropping-particle":"","family":"Classen","given":"David","non-dropping-particle":"","parse-names":false,"suffix":""}],"container-title":"JAMA","id":"ITEM-1","issue":"9","issued":{"date-parts":[["2003"]]},"page":"1154-1156","title":"Medication Safety: Moving from illusion to reality","type":"article-journal","volume":"289"},"uris":["http://www.mendeley.com/documents/?uuid=95a0e836-5d4e-4c09-984e-718449317631"]},{"id":"ITEM-2","itemData":{"author":[{"dropping-particle":"","family":"Tomassoni","given":"Anthony J.","non-dropping-particle":"","parse-names":false,"suffix":""},{"dropping-particle":"","family":"Simone","given":"Karen","non-dropping-particle":"","parse-names":false,"suffix":""}],"container-title":"Current Opinion in Pediatrics","id":"ITEM-2","issued":{"date-parts":[["2001"]]},"page":"162-169","title":"Herbal medicines for children: an illusion of safety?","type":"article-journal","volume":"13"},"uris":["http://www.mendeley.com/documents/?uuid=d857878f-80da-4e83-b734-72f390ab04dc"]}],"mendeley":{"formattedCitation":"(Tomassoni and Simone, 2001; Classen, 2003)","plainTextFormattedCitation":"(Tomassoni and Simone, 2001; Classen, 2003)","previouslyFormattedCitation":"(Tomassoni and Simone, 2001; Classen, 2003)"},"properties":{"noteIndex":0},"schema":"https://github.com/citation-style-language/schema/raw/master/csl-citation.json"}</w:instrText>
      </w:r>
      <w:r w:rsidR="00E57295" w:rsidRPr="00777476">
        <w:fldChar w:fldCharType="separate"/>
      </w:r>
      <w:r w:rsidR="00E57295" w:rsidRPr="00777476">
        <w:rPr>
          <w:noProof/>
        </w:rPr>
        <w:t>(Tomassoni and Simone, 2001; Classen, 2003)</w:t>
      </w:r>
      <w:r w:rsidR="00E57295" w:rsidRPr="00777476">
        <w:fldChar w:fldCharType="end"/>
      </w:r>
      <w:r w:rsidR="00E57295" w:rsidRPr="00777476">
        <w:t xml:space="preserve">, </w:t>
      </w:r>
      <w:r w:rsidR="00C5275C" w:rsidRPr="00777476">
        <w:t>‘</w:t>
      </w:r>
      <w:r w:rsidR="005D4872" w:rsidRPr="00777476">
        <w:t>safety</w:t>
      </w:r>
      <w:r w:rsidR="00C5275C" w:rsidRPr="00777476">
        <w:t>/security</w:t>
      </w:r>
      <w:r w:rsidR="005D4872" w:rsidRPr="00777476">
        <w:t xml:space="preserve"> theatre</w:t>
      </w:r>
      <w:r w:rsidR="00C5275C" w:rsidRPr="00777476">
        <w:t>’</w:t>
      </w:r>
      <w:r w:rsidR="005D4872" w:rsidRPr="00777476">
        <w:t xml:space="preserve"> </w:t>
      </w:r>
      <w:r w:rsidR="00E57295" w:rsidRPr="00777476">
        <w:t xml:space="preserve">describes deliberate safety-related activities intended to provide feelings of improved safety regardless of whether they actually influence safety </w:t>
      </w:r>
      <w:r w:rsidR="00E57295" w:rsidRPr="00777476">
        <w:fldChar w:fldCharType="begin" w:fldLock="1"/>
      </w:r>
      <w:r w:rsidR="007767EC" w:rsidRPr="00777476">
        <w:instrText>ADDIN CSL_CITATION {"citationItems":[{"id":"ITEM-1","itemData":{"author":[{"dropping-particle":"","family":"Thedell","given":"Terry","non-dropping-particle":"","parse-names":false,"suffix":""}],"container-title":"Professional Safety","id":"ITEM-1","issue":"10","issued":{"date-parts":[["2013"]]},"page":"28","title":"The Theater of Safety","type":"article-journal","volume":"58"},"uris":["http://www.mendeley.com/documents/?uuid=ab96648c-fac3-4782-8335-0629f821cfc1"]}],"mendeley":{"formattedCitation":"(Thedell, 2013)","plainTextFormattedCitation":"(Thedell, 2013)","previouslyFormattedCitation":"(Thedell, 2013)"},"properties":{"noteIndex":0},"schema":"https://github.com/citation-style-language/schema/raw/master/csl-citation.json"}</w:instrText>
      </w:r>
      <w:r w:rsidR="00E57295" w:rsidRPr="00777476">
        <w:fldChar w:fldCharType="separate"/>
      </w:r>
      <w:r w:rsidR="00E57295" w:rsidRPr="00777476">
        <w:rPr>
          <w:noProof/>
        </w:rPr>
        <w:t>(Thedell, 2013)</w:t>
      </w:r>
      <w:r w:rsidR="00E57295" w:rsidRPr="00777476">
        <w:fldChar w:fldCharType="end"/>
      </w:r>
      <w:r w:rsidR="00E57295" w:rsidRPr="00777476">
        <w:t>.</w:t>
      </w:r>
      <w:r w:rsidRPr="00777476">
        <w:t xml:space="preserve"> </w:t>
      </w:r>
      <w:r w:rsidR="00E6430D" w:rsidRPr="00777476">
        <w:t>With</w:t>
      </w:r>
      <w:r w:rsidRPr="00777476">
        <w:t xml:space="preserve"> public </w:t>
      </w:r>
      <w:r w:rsidR="005F5CF3" w:rsidRPr="00777476">
        <w:t>wariness of technology like</w:t>
      </w:r>
      <w:r w:rsidRPr="00777476">
        <w:t xml:space="preserve"> artificial intelligence </w:t>
      </w:r>
      <w:r w:rsidRPr="00777476">
        <w:fldChar w:fldCharType="begin" w:fldLock="1"/>
      </w:r>
      <w:r w:rsidR="00BF705B" w:rsidRPr="00777476">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robotics","type":"article-journal","volume":"31"},"uris":["http://www.mendeley.com/documents/?uuid=4aa214e9-6b87-4e6d-8b9b-a091ff7c62c1"]}],"mendeley":{"formattedCitation":"(Siau and Wang, 2018)","plainTextFormattedCitation":"(Siau and Wang, 2018)","previouslyFormattedCitation":"(Siau and Wang, 2018)"},"properties":{"noteIndex":0},"schema":"https://github.com/citation-style-language/schema/raw/master/csl-citation.json"}</w:instrText>
      </w:r>
      <w:r w:rsidRPr="00777476">
        <w:fldChar w:fldCharType="separate"/>
      </w:r>
      <w:r w:rsidRPr="00777476">
        <w:rPr>
          <w:noProof/>
        </w:rPr>
        <w:t>(Siau and Wang, 2018)</w:t>
      </w:r>
      <w:r w:rsidRPr="00777476">
        <w:fldChar w:fldCharType="end"/>
      </w:r>
      <w:r w:rsidRPr="00777476">
        <w:t>, developers of digital health are incentivised to promote their products persuasively</w:t>
      </w:r>
      <w:r w:rsidR="005F5CF3" w:rsidRPr="00777476">
        <w:t xml:space="preserve"> with, for example, </w:t>
      </w:r>
      <w:r w:rsidR="00CE0FE4">
        <w:t xml:space="preserve">focus on </w:t>
      </w:r>
      <w:r w:rsidR="005F5CF3" w:rsidRPr="00777476">
        <w:t xml:space="preserve">short rather than long-term benefits </w:t>
      </w:r>
      <w:r w:rsidR="005F5CF3" w:rsidRPr="00777476">
        <w:fldChar w:fldCharType="begin" w:fldLock="1"/>
      </w:r>
      <w:r w:rsidR="005F5CF3" w:rsidRPr="00777476">
        <w:instrText>ADDIN CSL_CITATION {"citationItems":[{"id":"ITEM-1","itemData":{"DOI":"10.5465/annals.2018.0057","ISSN":"1941-6520","abstract":"Predicting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approach.","author":[{"dropping-particle":"","family":"Glikson","given":"Ella","non-dropping-particle":"","parse-names":false,"suffix":""},{"dropping-particle":"","family":"Woolley","given":"Anita Williams","non-dropping-particle":"","parse-names":false,"suffix":""}],"container-title":"Academy of Management Annals","id":"ITEM-1","issued":{"date-parts":[["2020"]]},"title":"Human Trust in Artificial Intelligence: Review of Empirical Research","type":"article-journal"},"uris":["http://www.mendeley.com/documents/?uuid=445d24f3-1cc5-42ce-8b8a-88e1c2b0f989"]}],"mendeley":{"formattedCitation":"(Glikson and Woolley, 2020)","plainTextFormattedCitation":"(Glikson and Woolley, 2020)","previouslyFormattedCitation":"(Glikson and Woolley, 2020)"},"properties":{"noteIndex":0},"schema":"https://github.com/citation-style-language/schema/raw/master/csl-citation.json"}</w:instrText>
      </w:r>
      <w:r w:rsidR="005F5CF3" w:rsidRPr="00777476">
        <w:fldChar w:fldCharType="separate"/>
      </w:r>
      <w:r w:rsidR="005F5CF3" w:rsidRPr="00777476">
        <w:rPr>
          <w:noProof/>
        </w:rPr>
        <w:t>(Glikson and Woolley, 2020)</w:t>
      </w:r>
      <w:r w:rsidR="005F5CF3" w:rsidRPr="00777476">
        <w:fldChar w:fldCharType="end"/>
      </w:r>
      <w:r w:rsidRPr="00777476">
        <w:t xml:space="preserve">. </w:t>
      </w:r>
      <w:r w:rsidR="00297362" w:rsidRPr="00777476">
        <w:t xml:space="preserve"> </w:t>
      </w:r>
      <w:r w:rsidR="00A34080" w:rsidRPr="00777476">
        <w:t>P</w:t>
      </w:r>
      <w:r w:rsidR="00297362" w:rsidRPr="00777476">
        <w:t xml:space="preserve">atients’ safety </w:t>
      </w:r>
      <w:r w:rsidR="00A34080" w:rsidRPr="00777476">
        <w:t xml:space="preserve">is threatened directly by </w:t>
      </w:r>
      <w:r w:rsidR="00297362" w:rsidRPr="00777476">
        <w:t>misdirection of attention and indirectly from allocation of limited resources to support the distraction.</w:t>
      </w:r>
    </w:p>
    <w:p w14:paraId="07E2630F" w14:textId="6D75BFAC" w:rsidR="0008502C" w:rsidRPr="00F25567" w:rsidRDefault="006A08E5" w:rsidP="00E0556F">
      <w:pPr>
        <w:rPr>
          <w:shd w:val="clear" w:color="auto" w:fill="5B9BD5" w:themeFill="accent1"/>
        </w:rPr>
      </w:pPr>
      <w:r w:rsidRPr="00777476">
        <w:t>We suggest that a</w:t>
      </w:r>
      <w:r w:rsidR="0041730C" w:rsidRPr="00777476">
        <w:t xml:space="preserve"> </w:t>
      </w:r>
      <w:commentRangeStart w:id="9"/>
      <w:r w:rsidR="0041730C" w:rsidRPr="00777476">
        <w:t xml:space="preserve">socio-technical perspective </w:t>
      </w:r>
      <w:commentRangeEnd w:id="9"/>
      <w:r w:rsidR="00CE0FE4">
        <w:rPr>
          <w:rStyle w:val="CommentReference"/>
        </w:rPr>
        <w:commentReference w:id="9"/>
      </w:r>
      <w:r w:rsidRPr="00777476">
        <w:t xml:space="preserve">will help all stakeholders in healthcare to acknowledge the systemic nature of </w:t>
      </w:r>
      <w:r w:rsidR="00BF705B" w:rsidRPr="00777476">
        <w:t>digital health systems</w:t>
      </w:r>
      <w:r w:rsidR="002665B8" w:rsidRPr="00777476">
        <w:t>. Such a perspective can support an awareness and transparency as a foundation of trust</w:t>
      </w:r>
      <w:r w:rsidR="00DC0469" w:rsidRPr="00777476">
        <w:t xml:space="preserve"> </w:t>
      </w:r>
      <w:r w:rsidR="00DC0469" w:rsidRPr="00777476">
        <w:fldChar w:fldCharType="begin" w:fldLock="1"/>
      </w:r>
      <w:r w:rsidR="0008502C" w:rsidRPr="00777476">
        <w:instrText>ADDIN CSL_CITATION {"citationItems":[{"id":"ITEM-1","itemData":{"DOI":"10.1080/1553118X.2018.1425692","ISSN":"15531198","abstract":"Based on the literature in various strategic communication disciplines, including marketing, advertising, and public relations, this 2 (company-cause fit: congruent vs. incongruent) × 2 (level of transparency: high vs. low) experiment examines message effect on trust, organizational advocacy, and skepticism in order to explore ways to effectively communicate CSR initiatives in consideration of company-cause fit and transparency. Company-cause fit has been incorporated as a strategic tool in marketing and advertising, yet transparency has been primarily discussed in terms of its ethical implications in PR literature. Most significantly, this study suggests a moderating role of transparency on the effect of CSR cause fit, in that partnering with an incongruent cause fit can help build trust with consumers when the CSR message is communicated in a highly transparent manner. Furthermore, this study suggests that transparency is a necessary condition to be strategically implemented in CSR communication to enhance trust with consumers.","author":[{"dropping-particle":"","family":"Kim","given":"Hyosun","non-dropping-particle":"","parse-names":false,"suffix":""},{"dropping-particle":"","family":"Lee","given":"Tae Ho","non-dropping-particle":"","parse-names":false,"suffix":""}],"container-title":"International Journal of Strategic Communication","id":"ITEM-1","issue":"2","issued":{"date-parts":[["2018"]]},"page":"107-124","publisher":"Routledge","title":"Strategic CSR Communication: A Moderating Role of Transparency in Trust Building","type":"article-journal","volume":"12"},"uris":["http://www.mendeley.com/documents/?uuid=bb84203d-a3e4-4a45-ba67-7915126b3d96"]}],"mendeley":{"formattedCitation":"(Kim and Lee, 2018)","plainTextFormattedCitation":"(Kim and Lee, 2018)","previouslyFormattedCitation":"(Kim and Lee, 2018)"},"properties":{"noteIndex":0},"schema":"https://github.com/citation-style-language/schema/raw/master/csl-citation.json"}</w:instrText>
      </w:r>
      <w:r w:rsidR="00DC0469" w:rsidRPr="00777476">
        <w:fldChar w:fldCharType="separate"/>
      </w:r>
      <w:r w:rsidR="00DC0469" w:rsidRPr="00777476">
        <w:rPr>
          <w:noProof/>
        </w:rPr>
        <w:t>(Kim and Lee, 2018)</w:t>
      </w:r>
      <w:r w:rsidR="00DC0469" w:rsidRPr="00777476">
        <w:fldChar w:fldCharType="end"/>
      </w:r>
      <w:r w:rsidR="0008502C" w:rsidRPr="00777476">
        <w:t xml:space="preserve">, in line with the Transparency for Trust initiative </w:t>
      </w:r>
      <w:r w:rsidR="0008502C" w:rsidRPr="00777476">
        <w:fldChar w:fldCharType="begin" w:fldLock="1"/>
      </w:r>
      <w:r w:rsidR="00106E58" w:rsidRPr="00777476">
        <w:instrText>ADDIN CSL_CITATION {"citationItems":[{"id":"ITEM-1","itemData":{"DOI":"10.2196/12390","ISSN":"14388871","PMID":"31045497","abstract":"The overselling of health apps that may provide little benefit and even harm needs the health community’s immediate attention. With little formal regulation, a light-touch approach to consumer protection is now warranted to give customers a modicum of information to help them choose from the vast array of so-called health apps. We suggest 4 guiding principles that should be adopted to provide the consumer with information that can guide their choice at the point of download. We call these the Transparency for Trust (T4T) principles, which are derived from experimental studies, systematic reviews, and reports of patient concerns. The T4T principles are (1) privacy and data security, (2) development characteristics, (3) feasibility data, and (4) benefits. All our questions are in a simple form so that all consumers can understand them. We suggest that app stores should take responsibility for providing this information and store it with any app marketed as a health app. Even the absence of information would provide consumers with some understanding and fuel their choice. This would also provide some commercial impetus for app developers to consider this requested information from the outset.","author":[{"dropping-particle":"","family":"Wykes","given":"Til","non-dropping-particle":"","parse-names":false,"suffix":""},{"dropping-particle":"","family":"Schueller","given":"Stephen","non-dropping-particle":"","parse-names":false,"suffix":""}],"container-title":"Journal of Medical Internet Research","id":"ITEM-1","issue":"5","issued":{"date-parts":[["2019"]]},"title":"Why reviewing apps is not enough: Transparency for trust (T4T) principles of responsible health app marketplaces","type":"article-journal","volume":"21"},"uris":["http://www.mendeley.com/documents/?uuid=bf99d2d1-b25f-4b4e-85de-bf52e0035c90"]}],"mendeley":{"formattedCitation":"(Wykes and Schueller, 2019)","plainTextFormattedCitation":"(Wykes and Schueller, 2019)","previouslyFormattedCitation":"(Wykes and Schueller, 2019)"},"properties":{"noteIndex":0},"schema":"https://github.com/citation-style-language/schema/raw/master/csl-citation.json"}</w:instrText>
      </w:r>
      <w:r w:rsidR="0008502C" w:rsidRPr="00777476">
        <w:fldChar w:fldCharType="separate"/>
      </w:r>
      <w:r w:rsidR="0008502C" w:rsidRPr="00777476">
        <w:rPr>
          <w:noProof/>
        </w:rPr>
        <w:t>(Wykes and Schueller, 2019)</w:t>
      </w:r>
      <w:r w:rsidR="0008502C" w:rsidRPr="00777476">
        <w:fldChar w:fldCharType="end"/>
      </w:r>
      <w:r w:rsidR="00BF705B" w:rsidRPr="00777476">
        <w:t>. Socio-technical models like the Systems Engineering Initiative for Patient Safety</w:t>
      </w:r>
      <w:r w:rsidR="00CE0FE4">
        <w:t xml:space="preserve"> 2.0</w:t>
      </w:r>
      <w:r w:rsidR="00BF705B" w:rsidRPr="00777476">
        <w:t xml:space="preserve"> </w:t>
      </w:r>
      <w:r w:rsidR="00BF705B" w:rsidRPr="00777476">
        <w:fldChar w:fldCharType="begin" w:fldLock="1"/>
      </w:r>
      <w:r w:rsidR="006B7DC7">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patients","type":"article-journal","volume":"56"},"uris":["http://www.mendeley.com/documents/?uuid=4615238b-6f51-4c27-bb37-e1c43ef56b1d"]}],"mendeley":{"formattedCitation":"(Holden &lt;i&gt;et al.&lt;/i&gt;, 2014)"},"properties":{"noteIndex":0},"schema":"https://github.com/citation-style-language/schema/raw/master/csl-citation.json"}</w:instrText>
      </w:r>
      <w:r w:rsidR="00BF705B" w:rsidRPr="00777476">
        <w:fldChar w:fldCharType="separate"/>
      </w:r>
      <w:r w:rsidR="006B7DC7" w:rsidRPr="006B7DC7">
        <w:rPr>
          <w:noProof/>
        </w:rPr>
        <w:t>(Holden</w:t>
      </w:r>
      <w:r w:rsidR="006B7DC7" w:rsidRPr="006B7DC7">
        <w:rPr>
          <w:i/>
          <w:noProof/>
        </w:rPr>
        <w:t xml:space="preserve"> et al</w:t>
      </w:r>
      <w:r w:rsidR="006B7DC7" w:rsidRPr="006B7DC7">
        <w:rPr>
          <w:noProof/>
        </w:rPr>
        <w:t>&gt;, 2014)</w:t>
      </w:r>
      <w:r w:rsidR="00BF705B" w:rsidRPr="00777476">
        <w:fldChar w:fldCharType="end"/>
      </w:r>
      <w:r w:rsidR="00BF705B" w:rsidRPr="00777476">
        <w:t xml:space="preserve"> relate the components of health</w:t>
      </w:r>
      <w:r w:rsidR="005F5CF3" w:rsidRPr="00777476">
        <w:t>care</w:t>
      </w:r>
      <w:r w:rsidR="00BF705B" w:rsidRPr="00777476">
        <w:t xml:space="preserve"> systems, which </w:t>
      </w:r>
      <w:r w:rsidR="005F5CF3" w:rsidRPr="00777476">
        <w:t xml:space="preserve">also </w:t>
      </w:r>
      <w:r w:rsidR="00BF705B" w:rsidRPr="00777476">
        <w:t xml:space="preserve">map to the determinants of trusting relationships with technology </w:t>
      </w:r>
      <w:r w:rsidR="00BF705B" w:rsidRPr="00777476">
        <w:fldChar w:fldCharType="begin" w:fldLock="1"/>
      </w:r>
      <w:r w:rsidR="006B7DC7">
        <w:instrText>ADDIN CSL_CITATION {"citationItems":[{"id":"ITEM-1","itemData":{"ISSN":"24753742","author":[{"dropping-particle":"","family":"Siau","given":"Keng","non-dropping-particle":"","parse-names":false,"suffix":""},{"dropping-particle":"","family":"Wang","given":"Weiyu","non-dropping-particle":"","parse-names":false,"suffix":""}],"container-title":"Cutter business technology journal","id":"ITEM-1","issue":"2","issued":{"date-parts":[["2018"]]},"page":"47-53","title":"Building trust in artificial intelligence, machine learning, and robotics","type":"article-journal","volume":"31"},"uris":["http://www.mendeley.com/documents/?uuid=4aa214e9-6b87-4e6d-8b9b-a091ff7c62c1"]}],"mendeley":{"formattedCitation":"(Siau and Wang, 2018)","manualFormatting":"(cf. Figure 2 in Siau and Wang, 2018)","plainTextFormattedCitation":"(Siau and Wang, 2018)","previouslyFormattedCitation":"(Siau and Wang, 2018)"},"properties":{"noteIndex":0},"schema":"https://github.com/citation-style-language/schema/raw/master/csl-citation.json"}</w:instrText>
      </w:r>
      <w:r w:rsidR="00BF705B" w:rsidRPr="00777476">
        <w:fldChar w:fldCharType="separate"/>
      </w:r>
      <w:r w:rsidR="00BF705B" w:rsidRPr="00777476">
        <w:rPr>
          <w:noProof/>
        </w:rPr>
        <w:t>(</w:t>
      </w:r>
      <w:r w:rsidR="00CE0FE4">
        <w:rPr>
          <w:noProof/>
        </w:rPr>
        <w:t>cf.</w:t>
      </w:r>
      <w:r w:rsidR="00BF705B" w:rsidRPr="00777476">
        <w:rPr>
          <w:noProof/>
        </w:rPr>
        <w:t xml:space="preserve"> Figure 2 in Siau and Wang, 2018)</w:t>
      </w:r>
      <w:r w:rsidR="00BF705B" w:rsidRPr="00777476">
        <w:fldChar w:fldCharType="end"/>
      </w:r>
      <w:r w:rsidR="0008502C" w:rsidRPr="00777476">
        <w:t>.</w:t>
      </w:r>
    </w:p>
    <w:p w14:paraId="029C0BCF" w14:textId="26A7D799" w:rsidR="0041730C" w:rsidRPr="00F25567" w:rsidRDefault="00106E58" w:rsidP="00E0556F">
      <w:r w:rsidRPr="00777476">
        <w:t>Practically, developers and vendors of emerging health information technologies could consider supplier declaration</w:t>
      </w:r>
      <w:r w:rsidR="005F5CF3" w:rsidRPr="00777476">
        <w:t>s</w:t>
      </w:r>
      <w:r w:rsidRPr="00777476">
        <w:t xml:space="preserve"> of conformity to industry and community co-developed ‘FactSheets’ </w:t>
      </w:r>
      <w:r w:rsidRPr="00777476">
        <w:fldChar w:fldCharType="begin" w:fldLock="1"/>
      </w:r>
      <w:r w:rsidR="005F5CF3" w:rsidRPr="00777476">
        <w:instrText>ADDIN CSL_CITATION {"citationItems":[{"id":"ITEM-1","itemData":{"DOI":"10.1147/JRD.2019.2942288","ISSN":"21518556","abstract":"Accuracy is an important concern for suppliers of artificial intelligence (AI) services, but considerations beyond accuracy, such as safety (which includes fairness and explainability), security, and provenance, are also critical elements to engender consumers' trust in a service. Many industries use transparent, standardized, but often not legally required documents called supplier's declarations of conformity (SDoCs) to describe the lineage of a product along with the safety and performance testing it has undergone. SDoCs may be considered multidimensional fact sheets that capture and quantify various aspects of the product and its development to make it worthy of consumers' trust. In this article, inspired by this practice, we propose FactSheets to help increase trust in AI services. We envision such documents to contain purpose, performance, safety, security, and provenance information to be completed by AI service providers for examination by consumers. We suggest a comprehensive set of declaration items tailored to AI in the Appendix of this article.","author":[{"dropping-particle":"","family":"Arnold","given":"M.","non-dropping-particle":"","parse-names":false,"suffix":""},{"dropping-particle":"","family":"Piorkowski","given":"D.","non-dropping-particle":"","parse-names":false,"suffix":""},{"dropping-particle":"","family":"Reimer","given":"D.","non-dropping-particle":"","parse-names":false,"suffix":""},{"dropping-particle":"","family":"Richards","given":"J.","non-dropping-particle":"","parse-names":false,"suffix":""},{"dropping-particle":"","family":"Tsay","given":"J.","non-dropping-particle":"","parse-names":false,"suffix":""},{"dropping-particle":"","family":"Varshney","given":"K. R.","non-dropping-particle":"","parse-names":false,"suffix":""},{"dropping-particle":"","family":"Bellamy","given":"R. K.E.","non-dropping-particle":"","parse-names":false,"suffix":""},{"dropping-particle":"","family":"Hind","given":"M.","non-dropping-particle":"","parse-names":false,"suffix":""},{"dropping-particle":"","family":"Houde","given":"S.","non-dropping-particle":"","parse-names":false,"suffix":""},{"dropping-particle":"","family":"Mehta","given":"S.","non-dropping-particle":"","parse-names":false,"suffix":""},{"dropping-particle":"","family":"Mojsilovic","given":"A.","non-dropping-particle":"","parse-names":false,"suffix":""},{"dropping-particle":"","family":"Nair","given":"R.","non-dropping-particle":"","parse-names":false,"suffix":""},{"dropping-particle":"","family":"Ramamurthy","given":"K. Natesan","non-dropping-particle":"","parse-names":false,"suffix":""},{"dropping-particle":"","family":"Olteanu","given":"A.","non-dropping-particle":"","parse-names":false,"suffix":""}],"container-title":"IBM Journal of Research and Development","id":"ITEM-1","issue":"4-5","issued":{"date-parts":[["2019"]]},"title":"FactSheets: Increasing trust in AI services through supplier's declarations of conformity","type":"article-journal","volume":"63"},"uris":["http://www.mendeley.com/documents/?uuid=1d320ac6-7556-4520-9c7f-c50d51ca8e8b"]}],"mendeley":{"formattedCitation":"(Arnold &lt;i&gt;et al.&lt;/i&gt;, 2019)","plainTextFormattedCitation":"(Arnold et al., 2019)","previouslyFormattedCitation":"(Arnold &lt;i&gt;et al.&lt;/i&gt;, 2019)"},"properties":{"noteIndex":0},"schema":"https://github.com/citation-style-language/schema/raw/master/csl-citation.json"}</w:instrText>
      </w:r>
      <w:r w:rsidRPr="00777476">
        <w:fldChar w:fldCharType="separate"/>
      </w:r>
      <w:r w:rsidRPr="00777476">
        <w:rPr>
          <w:noProof/>
        </w:rPr>
        <w:t xml:space="preserve">(Arnold </w:t>
      </w:r>
      <w:r w:rsidRPr="00777476">
        <w:rPr>
          <w:i/>
          <w:noProof/>
        </w:rPr>
        <w:t>et al.</w:t>
      </w:r>
      <w:r w:rsidRPr="00777476">
        <w:rPr>
          <w:noProof/>
        </w:rPr>
        <w:t>, 2019)</w:t>
      </w:r>
      <w:r w:rsidRPr="00777476">
        <w:fldChar w:fldCharType="end"/>
      </w:r>
      <w:r w:rsidRPr="00777476">
        <w:t>. Such an approach also contributes to proactive, community-led regulation of digital health.</w:t>
      </w:r>
      <w:r w:rsidR="00CE0FE4">
        <w:t xml:space="preserve"> </w:t>
      </w:r>
      <w:r w:rsidR="0041730C" w:rsidRPr="00777476">
        <w:t xml:space="preserve">A socio-technical perspective has the potential to address all three domains of HIT patient safety as proposed by </w:t>
      </w:r>
      <w:r w:rsidR="0041730C" w:rsidRPr="00777476">
        <w:fldChar w:fldCharType="begin" w:fldLock="1"/>
      </w:r>
      <w:r w:rsidR="00117A92" w:rsidRPr="00777476">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 (2016)","plainTextFormattedCitation":"(Singh and Sittig, 2016)","previouslyFormattedCitation":"(Singh and Sittig, 2016)"},"properties":{"noteIndex":0},"schema":"https://github.com/citation-style-language/schema/raw/master/csl-citation.json"}</w:instrText>
      </w:r>
      <w:r w:rsidR="0041730C" w:rsidRPr="00777476">
        <w:fldChar w:fldCharType="separate"/>
      </w:r>
      <w:r w:rsidR="0041730C" w:rsidRPr="00777476">
        <w:rPr>
          <w:noProof/>
        </w:rPr>
        <w:t>Singh and Sittig (2016)</w:t>
      </w:r>
      <w:r w:rsidR="0041730C" w:rsidRPr="00777476">
        <w:fldChar w:fldCharType="end"/>
      </w:r>
      <w:r w:rsidR="0041730C" w:rsidRPr="00777476">
        <w:t xml:space="preserve"> - safe HIT, safe use of HIT, and using HIT to improve safety – which is perhaps unsurprising given that it is explicitly a socio-technical model.</w:t>
      </w:r>
    </w:p>
    <w:p w14:paraId="1E85DB9E" w14:textId="5DA0B0EE" w:rsidR="00E0556F" w:rsidRDefault="00E0556F" w:rsidP="00E0556F"/>
    <w:p w14:paraId="6E65432C" w14:textId="3EFFF183" w:rsidR="007B37B8" w:rsidRPr="00F25567" w:rsidRDefault="007B37B8" w:rsidP="00DE355E">
      <w:pPr>
        <w:pStyle w:val="Heading2"/>
      </w:pPr>
      <w:r w:rsidRPr="00F25567">
        <w:t>Emergent patient-safety implications</w:t>
      </w:r>
    </w:p>
    <w:p w14:paraId="78039F4D" w14:textId="7838BA10" w:rsidR="00E06809" w:rsidRPr="00F25567" w:rsidRDefault="00E0556F" w:rsidP="00670128">
      <w:pPr>
        <w:rPr>
          <w:shd w:val="clear" w:color="auto" w:fill="5B9BD5" w:themeFill="accent1"/>
        </w:rPr>
      </w:pPr>
      <w:r w:rsidRPr="00777476">
        <w:t>Fifthly</w:t>
      </w:r>
      <w:r w:rsidR="00670128" w:rsidRPr="00777476">
        <w:t xml:space="preserve">, although </w:t>
      </w:r>
      <w:r w:rsidR="00E06809" w:rsidRPr="00777476">
        <w:t>health information technologies</w:t>
      </w:r>
      <w:r w:rsidR="00670128" w:rsidRPr="00777476">
        <w:t xml:space="preserve"> are being developed to leverage </w:t>
      </w:r>
      <w:r w:rsidR="00E06809" w:rsidRPr="00777476">
        <w:t>health information systems</w:t>
      </w:r>
      <w:r w:rsidR="00861118" w:rsidRPr="00777476">
        <w:t>, e.g. th</w:t>
      </w:r>
      <w:r w:rsidR="00E06809" w:rsidRPr="00777476">
        <w:t>e Internet of T</w:t>
      </w:r>
      <w:r w:rsidR="00861118" w:rsidRPr="00777476">
        <w:t xml:space="preserve">hings </w:t>
      </w:r>
      <w:r w:rsidR="00861118" w:rsidRPr="00777476">
        <w:rPr>
          <w:rFonts w:cstheme="minorHAnsi"/>
        </w:rPr>
        <w:fldChar w:fldCharType="begin" w:fldLock="1"/>
      </w:r>
      <w:r w:rsidR="00861118" w:rsidRPr="00777476">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00861118" w:rsidRPr="00777476">
        <w:rPr>
          <w:rFonts w:cstheme="minorHAnsi"/>
        </w:rPr>
        <w:fldChar w:fldCharType="separate"/>
      </w:r>
      <w:r w:rsidR="00861118" w:rsidRPr="00777476">
        <w:rPr>
          <w:rFonts w:cstheme="minorHAnsi"/>
          <w:noProof/>
        </w:rPr>
        <w:t>(Wickramasinghe and Bodendorf, 2020)</w:t>
      </w:r>
      <w:r w:rsidR="00861118" w:rsidRPr="00777476">
        <w:rPr>
          <w:rFonts w:cstheme="minorHAnsi"/>
        </w:rPr>
        <w:fldChar w:fldCharType="end"/>
      </w:r>
      <w:r w:rsidR="00670128" w:rsidRPr="00777476">
        <w:t xml:space="preserve">, safety considerations are often focused on the </w:t>
      </w:r>
      <w:r w:rsidR="00E06809" w:rsidRPr="00777476">
        <w:t>technologies</w:t>
      </w:r>
      <w:r w:rsidR="00670128" w:rsidRPr="00777476">
        <w:t xml:space="preserve"> in isolation. This reductionist approach leads to a myopic view of the </w:t>
      </w:r>
      <w:r w:rsidR="00E06809" w:rsidRPr="00777476">
        <w:t>technologies’</w:t>
      </w:r>
      <w:r w:rsidR="00670128" w:rsidRPr="00777476">
        <w:t xml:space="preserve"> effects that does not consider the emergent</w:t>
      </w:r>
      <w:r w:rsidR="00A47A44" w:rsidRPr="00777476">
        <w:t>, patient-safety</w:t>
      </w:r>
      <w:r w:rsidR="00670128" w:rsidRPr="00777476">
        <w:t xml:space="preserve"> </w:t>
      </w:r>
      <w:r w:rsidR="00A47A44" w:rsidRPr="00777476">
        <w:t>implications</w:t>
      </w:r>
      <w:r w:rsidR="00670128" w:rsidRPr="00777476">
        <w:t>.</w:t>
      </w:r>
      <w:r w:rsidR="00117A92" w:rsidRPr="00777476">
        <w:t xml:space="preserve"> Healthcare systems are complex with a diversity of organizational forms, interdependence, and feedback effects </w:t>
      </w:r>
      <w:r w:rsidR="00117A92" w:rsidRPr="00777476">
        <w:fldChar w:fldCharType="begin" w:fldLock="1"/>
      </w:r>
      <w:r w:rsidR="00861118" w:rsidRPr="00777476">
        <w:instrText>ADDIN CSL_CITATION {"citationItems":[{"id":"ITEM-1","itemData":{"author":[{"dropping-particle":"","family":"Begun","given":"James W.","non-dropping-particle":"","parse-names":false,"suffix":""},{"dropping-particle":"","family":"Zimmerman","given":"Brenda","non-dropping-particle":"","parse-names":false,"suffix":""},{"dropping-particle":"","family":"Dooley","given":"Kevin","non-dropping-particle":"","parse-names":false,"suffix":""}],"chapter-number":"9","container-title":"Advances in Health Care Organization Theory","edition":"1st","editor":[{"dropping-particle":"","family":"Mick","given":"S.M.","non-dropping-particle":"","parse-names":false,"suffix":""},{"dropping-particle":"","family":"Wyttenbach","given":"M.","non-dropping-particle":"","parse-names":false,"suffix":""}],"id":"ITEM-1","issued":{"date-parts":[["2003"]]},"page":"253-288","publisher":"Jossey-Bass","publisher-place":"San Francisco, CA","title":"Health Care Organizations as Complex Adaptive Systems","type":"chapter"},"uris":["http://www.mendeley.com/documents/?uuid=82ae3a38-25cc-46ee-9faa-d3f6461be9d3"]}],"mendeley":{"formattedCitation":"(Begun, Zimmerman and Dooley, 2003)","plainTextFormattedCitation":"(Begun, Zimmerman and Dooley, 2003)","previouslyFormattedCitation":"(Begun, Zimmerman and Dooley, 2003)"},"properties":{"noteIndex":0},"schema":"https://github.com/citation-style-language/schema/raw/master/csl-citation.json"}</w:instrText>
      </w:r>
      <w:r w:rsidR="00117A92" w:rsidRPr="00777476">
        <w:rPr>
          <w:vertAlign w:val="superscript"/>
        </w:rPr>
        <w:fldChar w:fldCharType="separate"/>
      </w:r>
      <w:r w:rsidR="00117A92" w:rsidRPr="00777476">
        <w:rPr>
          <w:noProof/>
        </w:rPr>
        <w:t>(Begun, Zimmerman and Dooley, 2003)</w:t>
      </w:r>
      <w:r w:rsidR="00117A92" w:rsidRPr="00777476">
        <w:fldChar w:fldCharType="end"/>
      </w:r>
      <w:r w:rsidR="00117A92" w:rsidRPr="00777476">
        <w:t>.</w:t>
      </w:r>
      <w:r w:rsidR="00861118" w:rsidRPr="00777476">
        <w:t xml:space="preserve"> They are also holarchi</w:t>
      </w:r>
      <w:r w:rsidR="00E06809" w:rsidRPr="00777476">
        <w:t>cal –</w:t>
      </w:r>
      <w:r w:rsidR="00CE0FE4">
        <w:t xml:space="preserve"> </w:t>
      </w:r>
      <w:r w:rsidR="00E06809" w:rsidRPr="00777476">
        <w:t xml:space="preserve">a </w:t>
      </w:r>
      <w:r w:rsidR="00CE0FE4">
        <w:t xml:space="preserve">nested </w:t>
      </w:r>
      <w:r w:rsidR="00E06809" w:rsidRPr="00777476">
        <w:t xml:space="preserve">system of systems – </w:t>
      </w:r>
      <w:r w:rsidR="00861118" w:rsidRPr="00777476">
        <w:t xml:space="preserve">as exemplified by the Heimdall framework of learning health systems </w:t>
      </w:r>
      <w:r w:rsidR="00861118" w:rsidRPr="00777476">
        <w:fldChar w:fldCharType="begin" w:fldLock="1"/>
      </w:r>
      <w:r w:rsidR="00751DD1" w:rsidRPr="00777476">
        <w:instrText>ADDIN CSL_CITATION {"citationItems":[{"id":"ITEM-1","itemData":{"DOI":"http://dx.doi.org/10.14236/jhi.v25i2.996","author":[{"dropping-particle":"","family":"Mclachlan","given":"Scott","non-dropping-particle":"","parse-names":false,"suffix":""},{"dropping-particle":"","family":"Potts","given":"Henry W W","non-dropping-particle":"","parse-names":false,"suffix":""},{"dropping-particle":"","family":"Kudakwashe","given":"Dube","non-dropping-particle":"","parse-names":false,"suffix":""},{"dropping-particle":"","family":"Buchanan","given":"Derek","non-dropping-particle":"","parse-names":false,"suffix":""},{"dropping-particle":"","family":"Lean","given":"Stephen","non-dropping-particle":"","parse-names":false,"suffix":""},{"dropping-particle":"","family":"Johnson","given":"Owen A.","non-dropping-particle":"","parse-names":false,"suffix":""},{"dropping-particle":"","family":"Daley","given":"Bridget","non-dropping-particle":"","parse-names":false,"suffix":""},{"dropping-particle":"","family":"Marsh","given":"William","non-dropping-particle":"","parse-names":false,"suffix":""},{"dropping-particle":"","family":"Fenton","given":"Norman","non-dropping-particle":"","parse-names":false,"suffix":""}],"container-title":"J Innov Health Inform","id":"ITEM-1","issue":"2","issued":{"date-parts":[["2018"]]},"title":"The Heimdall framework for supporting characterisation of learning health systems","type":"article-journal","volume":"25"},"uris":["http://www.mendeley.com/documents/?uuid=af1fd605-5aee-4554-ac12-4cfd5a1c095f"]}],"mendeley":{"formattedCitation":"(Mclachlan &lt;i&gt;et al.&lt;/i&gt;, 2018)","plainTextFormattedCitation":"(Mclachlan et al., 2018)","previouslyFormattedCitation":"(Mclachlan &lt;i&gt;et al.&lt;/i&gt;, 2018)"},"properties":{"noteIndex":0},"schema":"https://github.com/citation-style-language/schema/raw/master/csl-citation.json"}</w:instrText>
      </w:r>
      <w:r w:rsidR="00861118" w:rsidRPr="00777476">
        <w:fldChar w:fldCharType="separate"/>
      </w:r>
      <w:r w:rsidR="00861118" w:rsidRPr="00777476">
        <w:rPr>
          <w:noProof/>
        </w:rPr>
        <w:t xml:space="preserve">(Mclachlan </w:t>
      </w:r>
      <w:r w:rsidR="00861118" w:rsidRPr="00777476">
        <w:rPr>
          <w:i/>
          <w:noProof/>
        </w:rPr>
        <w:t>et al.</w:t>
      </w:r>
      <w:r w:rsidR="00861118" w:rsidRPr="00777476">
        <w:rPr>
          <w:noProof/>
        </w:rPr>
        <w:t>, 2018)</w:t>
      </w:r>
      <w:r w:rsidR="00861118" w:rsidRPr="00777476">
        <w:fldChar w:fldCharType="end"/>
      </w:r>
      <w:r w:rsidR="00253B4B" w:rsidRPr="00777476">
        <w:t xml:space="preserve"> and </w:t>
      </w:r>
      <w:r w:rsidR="005E4F8F" w:rsidRPr="00777476">
        <w:fldChar w:fldCharType="begin" w:fldLock="1"/>
      </w:r>
      <w:r w:rsidR="005E4F8F" w:rsidRPr="00777476">
        <w:instrText>ADDIN CSL_CITATION {"citationItems":[{"id":"ITEM-1","itemData":{"DOI":"10.1080/00140139.2015.1015623","ISSN":"0014-0139","PMID":"25831959","abstract":"UNLABELLED: Traditional efforts to deal with the enormous problem of workplace safety have proved insufficient, as they have tended to neglect the broader sociotechnical environment that surrounds workers. Here, we advocate a sociotechnical systems approach that describes the complex multi-level system factors that contribute to workplace safety. From the literature on sociotechnical systems, complex systems and safety, we develop a sociotechnical model of workplace safety with concentric layers of the work system, socio-organisational context and the external environment. The future challenges that are identified through the model are highlighted. PRACTITIONER SUMMARY: Understanding the environmental, organisational and work system factors that contribute to workplace safety will help to develop more effective and integrated solutions to deal with persistent workplace safety problems. Solutions to improve workplace safety need to recognise the broad sociotechnical system and the respective interactions between the system elements and levels.","author":[{"dropping-particle":"","family":"Carayon","given":"Pascale","non-dropping-particle":"","parse-names":false,"suffix":""},{"dropping-particle":"","family":"Hancock","given":"P","non-dropping-particle":"","parse-names":false,"suffix":""},{"dropping-particle":"","family":"Leveson","given":"Nancy G.","non-dropping-particle":"","parse-names":false,"suffix":""},{"dropping-particle":"","family":"Noy","given":"I","non-dropping-particle":"","parse-names":false,"suffix":""},{"dropping-particle":"","family":"Sznelwar","given":"L","non-dropping-particle":"","parse-names":false,"suffix":""},{"dropping-particle":"","family":"Hootegem","given":"G","non-dropping-particle":"van","parse-names":false,"suffix":""}],"container-title":"Ergonomics","edition":"2015/04/03","id":"ITEM-1","issue":"4","issued":{"date-parts":[["2015"]]},"language":"eng","note":"1366-5847 Carayon, Pascale Hancock, Peter Leveson, Nancy Noy, Ian Sznelwar, Laerte van Hootegem, Geert UL1 TR000427/TR/NCATS NIH HHS/United States Journal Article Review England Ergonomics. 2015;58(4):548-64. doi: 10.1080/00140139.2015.1015623. Epub 2015 Apr 2.","page":"548-564","title":"Advancing a sociotechnical systems approach to workplace safety-developing the conceptual framework","type":"article-journal","volume":"58"},"uris":["http://www.mendeley.com/documents/?uuid=13de0974-40d2-3845-8488-e858c9f15c24"]}],"mendeley":{"formattedCitation":"(Carayon &lt;i&gt;et al.&lt;/i&gt;, 2015)","manualFormatting":"Carayon et al.'s (2015)","plainTextFormattedCitation":"(Carayon et al., 2015)","previouslyFormattedCitation":"(Carayon &lt;i&gt;et al.&lt;/i&gt;, 2015)"},"properties":{"noteIndex":0},"schema":"https://github.com/citation-style-language/schema/raw/master/csl-citation.json"}</w:instrText>
      </w:r>
      <w:r w:rsidR="005E4F8F" w:rsidRPr="00777476">
        <w:fldChar w:fldCharType="separate"/>
      </w:r>
      <w:r w:rsidR="005E4F8F" w:rsidRPr="00777476">
        <w:rPr>
          <w:noProof/>
        </w:rPr>
        <w:t xml:space="preserve">Carayon </w:t>
      </w:r>
      <w:r w:rsidR="005E4F8F" w:rsidRPr="00777476">
        <w:rPr>
          <w:i/>
          <w:noProof/>
        </w:rPr>
        <w:t>et al.</w:t>
      </w:r>
      <w:r w:rsidR="005E4F8F" w:rsidRPr="00777476">
        <w:rPr>
          <w:noProof/>
        </w:rPr>
        <w:t>'s (2015)</w:t>
      </w:r>
      <w:r w:rsidR="005E4F8F" w:rsidRPr="00777476">
        <w:fldChar w:fldCharType="end"/>
      </w:r>
      <w:r w:rsidR="00253B4B" w:rsidRPr="00777476">
        <w:t xml:space="preserve"> model of </w:t>
      </w:r>
      <w:r w:rsidR="005E4F8F" w:rsidRPr="00777476">
        <w:t>workplace safety</w:t>
      </w:r>
      <w:r w:rsidR="00E06809" w:rsidRPr="00777476">
        <w:t>.</w:t>
      </w:r>
    </w:p>
    <w:p w14:paraId="35780A87" w14:textId="4D7A7D24" w:rsidR="00E06809" w:rsidRPr="00F25567" w:rsidRDefault="00A47A44" w:rsidP="00670128">
      <w:r w:rsidRPr="00777476">
        <w:t xml:space="preserve">We recommend a </w:t>
      </w:r>
      <w:r w:rsidR="00CE0FE4">
        <w:t>systemic</w:t>
      </w:r>
      <w:r w:rsidRPr="00777476">
        <w:t xml:space="preserve"> and holarchical conceptualisation of healthcare processes and patient-safety implications to complement the </w:t>
      </w:r>
      <w:r w:rsidR="00B43190" w:rsidRPr="00777476">
        <w:t>complex, holarchical structure of healthcare.</w:t>
      </w:r>
      <w:r w:rsidR="00E06809" w:rsidRPr="00777476">
        <w:t xml:space="preserve"> </w:t>
      </w:r>
      <w:r w:rsidR="001F1127" w:rsidRPr="00777476">
        <w:t xml:space="preserve">To this end, </w:t>
      </w:r>
      <w:r w:rsidR="00751DD1" w:rsidRPr="00777476">
        <w:fldChar w:fldCharType="begin" w:fldLock="1"/>
      </w:r>
      <w:r w:rsidR="00B74905" w:rsidRPr="00777476">
        <w:instrText>ADDIN CSL_CITATION {"citationItems":[{"id":"ITEM-1","itemData":{"DOI":"10.1111/j.1539-6924.2009.01310.x","author":[{"dropping-particle":"","family":"Haimes","given":"Yacov Y.","non-dropping-particle":"","parse-names":false,"suffix":""}],"container-title":"Risk Analysis","id":"ITEM-1","issue":"12","issued":{"date-parts":[["2009"]]},"title":"On the Complex Definition of Risk: A Systems-Based Approach","type":"article-journal","volume":"29"},"uris":["http://www.mendeley.com/documents/?uuid=be91c8a7-d065-46c7-9ead-103322cdddb1"]}],"mendeley":{"formattedCitation":"(Haimes, 2009a)","manualFormatting":"Haimes (2009a)","plainTextFormattedCitation":"(Haimes, 2009a)","previouslyFormattedCitation":"(Haimes, 2009a)"},"properties":{"noteIndex":0},"schema":"https://github.com/citation-style-language/schema/raw/master/csl-citation.json"}</w:instrText>
      </w:r>
      <w:r w:rsidR="00751DD1" w:rsidRPr="00777476">
        <w:fldChar w:fldCharType="separate"/>
      </w:r>
      <w:r w:rsidR="00B74905" w:rsidRPr="00777476">
        <w:rPr>
          <w:noProof/>
        </w:rPr>
        <w:t>Haimes</w:t>
      </w:r>
      <w:r w:rsidR="00751DD1" w:rsidRPr="00777476">
        <w:rPr>
          <w:noProof/>
        </w:rPr>
        <w:t xml:space="preserve"> </w:t>
      </w:r>
      <w:r w:rsidR="00B74905" w:rsidRPr="00777476">
        <w:rPr>
          <w:noProof/>
        </w:rPr>
        <w:t>(</w:t>
      </w:r>
      <w:r w:rsidR="00751DD1" w:rsidRPr="00777476">
        <w:rPr>
          <w:noProof/>
        </w:rPr>
        <w:t>2009a)</w:t>
      </w:r>
      <w:r w:rsidR="00751DD1" w:rsidRPr="00777476">
        <w:fldChar w:fldCharType="end"/>
      </w:r>
      <w:r w:rsidR="00751DD1" w:rsidRPr="00777476">
        <w:t xml:space="preserve"> </w:t>
      </w:r>
      <w:r w:rsidR="00B74905" w:rsidRPr="00777476">
        <w:t>describes a complexity definition of risk, which would be essential to a systems-based discussion of patient safety. Of particular note is a systems-based conceptualisation of resilience as a variable state of a system whose variability is the</w:t>
      </w:r>
      <w:r w:rsidR="001F1127" w:rsidRPr="00777476">
        <w:t xml:space="preserve"> key</w:t>
      </w:r>
      <w:r w:rsidR="00B74905" w:rsidRPr="00777476">
        <w:t xml:space="preserve"> performative and protective feature </w:t>
      </w:r>
      <w:r w:rsidR="00751DD1" w:rsidRPr="00777476">
        <w:fldChar w:fldCharType="begin" w:fldLock="1"/>
      </w:r>
      <w:r w:rsidR="00427ACF" w:rsidRPr="00777476">
        <w:instrText>ADDIN CSL_CITATION {"citationItems":[{"id":"ITEM-1","itemData":{"DOI":"10.1111/j.1539-6924.2009.01216.x","author":[{"dropping-particle":"","family":"Haimes","given":"Yacov Y.","non-dropping-particle":"","parse-names":false,"suffix":""}],"container-title":"Risk Analysis","id":"ITEM-1","issue":"4","issued":{"date-parts":[["2009"]]},"page":"498-501","title":"On the Definition of Resilience in Systems","type":"article-journal","volume":"29"},"uris":["http://www.mendeley.com/documents/?uuid=2af15e7f-ed46-4772-bbde-8e15f46ccbf9"]}],"mendeley":{"formattedCitation":"(Haimes, 2009b)","plainTextFormattedCitation":"(Haimes, 2009b)","previouslyFormattedCitation":"(Haimes, 2009b)"},"properties":{"noteIndex":0},"schema":"https://github.com/citation-style-language/schema/raw/master/csl-citation.json"}</w:instrText>
      </w:r>
      <w:r w:rsidR="00751DD1" w:rsidRPr="00777476">
        <w:fldChar w:fldCharType="separate"/>
      </w:r>
      <w:r w:rsidR="00751DD1" w:rsidRPr="00777476">
        <w:rPr>
          <w:noProof/>
        </w:rPr>
        <w:t>(Haimes, 2009b)</w:t>
      </w:r>
      <w:r w:rsidR="00751DD1" w:rsidRPr="00777476">
        <w:fldChar w:fldCharType="end"/>
      </w:r>
      <w:r w:rsidR="00B74905" w:rsidRPr="00F25567">
        <w:t>.</w:t>
      </w:r>
    </w:p>
    <w:p w14:paraId="19680DAC" w14:textId="5244D3A4" w:rsidR="00751DD1" w:rsidRPr="00F25567" w:rsidRDefault="00427ACF" w:rsidP="00670128">
      <w:r w:rsidRPr="00777476">
        <w:lastRenderedPageBreak/>
        <w:t>Practically, we recommend</w:t>
      </w:r>
      <w:r w:rsidR="001F1127" w:rsidRPr="00777476">
        <w:t xml:space="preserve"> the aforementioned safety cases and gradual approval of medical devices </w:t>
      </w:r>
      <w:r w:rsidRPr="00777476">
        <w:t>as</w:t>
      </w:r>
      <w:r w:rsidR="001F1127" w:rsidRPr="00777476">
        <w:t xml:space="preserve"> appropriate approaches to handle </w:t>
      </w:r>
      <w:r w:rsidRPr="00777476">
        <w:t xml:space="preserve">the </w:t>
      </w:r>
      <w:r w:rsidR="001F1127" w:rsidRPr="00777476">
        <w:t xml:space="preserve">limited capacity to predict the behaviour of </w:t>
      </w:r>
      <w:r w:rsidRPr="00777476">
        <w:t>complex systems</w:t>
      </w:r>
      <w:r w:rsidR="001F1127" w:rsidRPr="00777476">
        <w:t xml:space="preserve"> </w:t>
      </w:r>
      <w:r w:rsidRPr="00777476">
        <w:fldChar w:fldCharType="begin" w:fldLock="1"/>
      </w:r>
      <w:r w:rsidR="00E014A9" w:rsidRPr="00777476">
        <w:instrText>ADDIN CSL_CITATION {"citationItems":[{"id":"ITEM-1","itemData":{"DOI":"10.1119/1.1636492","ISSN":"0002-9505","abstract":"The butterfly effect has become a popular metaphor for sensitive dependence on initial conditions—the hallmark of chaotic behavior. I describe how, where, and when this term was conceived in the 1970s. Surprisingly, the butterfly metaphor was predated by more than 70 years by the grasshopper effect.","author":[{"dropping-particle":"","family":"Hilborn","given":"Robert C.","non-dropping-particle":"","parse-names":false,"suffix":""}],"container-title":"American Journal of Physics","id":"ITEM-1","issue":"4","issued":{"date-parts":[["2004"]]},"page":"425-427","title":"Sea gulls, butterflies, and grasshoppers: A brief history of the butterfly effect in nonlinear dynamics","type":"article-journal","volume":"72"},"uris":["http://www.mendeley.com/documents/?uuid=037df571-98fd-4510-a6a9-a988db73c496"]}],"mendeley":{"formattedCitation":"(Hilborn, 2004)","plainTextFormattedCitation":"(Hilborn, 2004)","previouslyFormattedCitation":"(Hilborn, 2004)"},"properties":{"noteIndex":0},"schema":"https://github.com/citation-style-language/schema/raw/master/csl-citation.json"}</w:instrText>
      </w:r>
      <w:r w:rsidRPr="00777476">
        <w:fldChar w:fldCharType="separate"/>
      </w:r>
      <w:r w:rsidRPr="00777476">
        <w:rPr>
          <w:noProof/>
        </w:rPr>
        <w:t>(Hilborn, 2004)</w:t>
      </w:r>
      <w:r w:rsidRPr="00777476">
        <w:fldChar w:fldCharType="end"/>
      </w:r>
      <w:r w:rsidRPr="00777476">
        <w:t>.</w:t>
      </w:r>
      <w:r w:rsidR="00E7485A" w:rsidRPr="00777476">
        <w:t xml:space="preserve"> Such complexity approaches will also be useful in addressing the question of how these new and emerging challenges will interact with the existing challenges alluded to in Section 1.</w:t>
      </w:r>
    </w:p>
    <w:p w14:paraId="2E53CCD1" w14:textId="77777777" w:rsidR="00117A92" w:rsidRPr="00F25567" w:rsidRDefault="00117A92" w:rsidP="00E0556F"/>
    <w:p w14:paraId="0C383290" w14:textId="1A6734CE" w:rsidR="007B37B8" w:rsidRPr="00F25567" w:rsidRDefault="007B37B8" w:rsidP="00DE355E">
      <w:pPr>
        <w:pStyle w:val="Heading2"/>
      </w:pPr>
      <w:r w:rsidRPr="00F25567">
        <w:t>Solutionism</w:t>
      </w:r>
    </w:p>
    <w:p w14:paraId="0929EA5B" w14:textId="65B36DB4" w:rsidR="00FC5386" w:rsidRPr="00F25567" w:rsidRDefault="00E0556F" w:rsidP="009D3810">
      <w:pPr>
        <w:rPr>
          <w:shd w:val="clear" w:color="auto" w:fill="5B9BD5" w:themeFill="accent1"/>
        </w:rPr>
      </w:pPr>
      <w:r w:rsidRPr="00777476">
        <w:t>Sixthly</w:t>
      </w:r>
      <w:r w:rsidR="00670128" w:rsidRPr="00777476">
        <w:t xml:space="preserve">, and related to the challenge of reductionism, is solutionism, which is an ideology that </w:t>
      </w:r>
      <w:r w:rsidR="00DF5C59" w:rsidRPr="00777476">
        <w:t xml:space="preserve">inappropriately </w:t>
      </w:r>
      <w:r w:rsidR="00670128" w:rsidRPr="00777476">
        <w:t>recasts “</w:t>
      </w:r>
      <w:r w:rsidR="00670128" w:rsidRPr="00777476">
        <w:rPr>
          <w:i/>
        </w:rPr>
        <w:t xml:space="preserve">complex social situations…as neatly defined problems with definite, computable solutions…if only the right </w:t>
      </w:r>
      <w:r w:rsidR="00670128" w:rsidRPr="00777476">
        <w:t>[technologies]</w:t>
      </w:r>
      <w:r w:rsidR="00670128" w:rsidRPr="00777476">
        <w:rPr>
          <w:i/>
        </w:rPr>
        <w:t xml:space="preserve"> are in place”</w:t>
      </w:r>
      <w:r w:rsidR="00670128" w:rsidRPr="00777476">
        <w:t xml:space="preserve"> </w:t>
      </w:r>
      <w:r w:rsidR="00670128" w:rsidRPr="00777476">
        <w:fldChar w:fldCharType="begin" w:fldLock="1"/>
      </w:r>
      <w:r w:rsidR="008E3903" w:rsidRPr="00777476">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rsidR="00670128" w:rsidRPr="00777476">
        <w:fldChar w:fldCharType="separate"/>
      </w:r>
      <w:r w:rsidR="00351A05" w:rsidRPr="00777476">
        <w:rPr>
          <w:noProof/>
        </w:rPr>
        <w:t>(Morozov, 2013)</w:t>
      </w:r>
      <w:r w:rsidR="00670128" w:rsidRPr="00777476">
        <w:fldChar w:fldCharType="end"/>
      </w:r>
      <w:r w:rsidR="00670128" w:rsidRPr="00777476">
        <w:t xml:space="preserve">. Examples include diet apps that inappropriately simplify body composition as merely a function of </w:t>
      </w:r>
      <w:r w:rsidR="00DF5C59" w:rsidRPr="00777476">
        <w:t>calorie</w:t>
      </w:r>
      <w:r w:rsidR="00670128" w:rsidRPr="00777476">
        <w:t xml:space="preserve"> consumption </w:t>
      </w:r>
      <w:r w:rsidR="00670128" w:rsidRPr="00777476">
        <w:fldChar w:fldCharType="begin" w:fldLock="1"/>
      </w:r>
      <w:r w:rsidR="008E3903" w:rsidRPr="00777476">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rsidR="00670128" w:rsidRPr="00777476">
        <w:fldChar w:fldCharType="separate"/>
      </w:r>
      <w:r w:rsidR="00351A05" w:rsidRPr="00777476">
        <w:rPr>
          <w:noProof/>
        </w:rPr>
        <w:t>(Maturo, 2014)</w:t>
      </w:r>
      <w:r w:rsidR="00670128" w:rsidRPr="00777476">
        <w:fldChar w:fldCharType="end"/>
      </w:r>
      <w:r w:rsidR="000147EF" w:rsidRPr="00777476">
        <w:t>,</w:t>
      </w:r>
      <w:r w:rsidR="00DF5C59" w:rsidRPr="00777476">
        <w:t xml:space="preserve"> and </w:t>
      </w:r>
      <w:r w:rsidR="00721E71" w:rsidRPr="00777476">
        <w:t xml:space="preserve">the legal and ethical consequences of </w:t>
      </w:r>
      <w:r w:rsidR="00DF5C59" w:rsidRPr="00777476">
        <w:t>treatments</w:t>
      </w:r>
      <w:r w:rsidR="00732CE8" w:rsidRPr="00777476">
        <w:t xml:space="preserve"> like deep brain stimulation</w:t>
      </w:r>
      <w:r w:rsidR="00DF5C59" w:rsidRPr="00777476">
        <w:t xml:space="preserve"> </w:t>
      </w:r>
      <w:r w:rsidR="00DF5C59" w:rsidRPr="00777476">
        <w:fldChar w:fldCharType="begin" w:fldLock="1"/>
      </w:r>
      <w:r w:rsidR="008E3903" w:rsidRPr="00777476">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rsidRPr="00777476">
        <w:fldChar w:fldCharType="separate"/>
      </w:r>
      <w:r w:rsidR="00351A05" w:rsidRPr="00777476">
        <w:rPr>
          <w:noProof/>
        </w:rPr>
        <w:t>(Gardner and Warren, 2019)</w:t>
      </w:r>
      <w:r w:rsidR="00DF5C59" w:rsidRPr="00777476">
        <w:fldChar w:fldCharType="end"/>
      </w:r>
      <w:r w:rsidR="00DF5C59" w:rsidRPr="00777476">
        <w:t>.</w:t>
      </w:r>
      <w:r w:rsidR="00775EF0" w:rsidRPr="00777476">
        <w:t xml:space="preserve"> The implications for patient safety are that </w:t>
      </w:r>
      <w:r w:rsidR="00953518" w:rsidRPr="00777476">
        <w:t>digital health</w:t>
      </w:r>
      <w:r w:rsidR="000147EF" w:rsidRPr="00777476">
        <w:t xml:space="preserve"> </w:t>
      </w:r>
      <w:r w:rsidR="00775EF0" w:rsidRPr="00777476">
        <w:t xml:space="preserve">interventions </w:t>
      </w:r>
      <w:r w:rsidR="00721E71" w:rsidRPr="00777476">
        <w:t>might be</w:t>
      </w:r>
      <w:r w:rsidR="00775EF0" w:rsidRPr="00777476">
        <w:t xml:space="preserve"> unfit for the true hazards</w:t>
      </w:r>
      <w:r w:rsidR="00721E71" w:rsidRPr="00777476">
        <w:t xml:space="preserve"> that they present because of distraction by techno-optimism or technology push</w:t>
      </w:r>
      <w:r w:rsidR="00775EF0" w:rsidRPr="00777476">
        <w:t>.</w:t>
      </w:r>
      <w:r w:rsidR="00C575CA" w:rsidRPr="00777476">
        <w:t xml:space="preserve"> </w:t>
      </w:r>
      <w:r w:rsidR="00FC5386" w:rsidRPr="00777476">
        <w:t xml:space="preserve">Techno-optimism might arise from differences of perceived risk or perceived capacity for control </w:t>
      </w:r>
      <w:r w:rsidR="00FC5386" w:rsidRPr="00777476">
        <w:fldChar w:fldCharType="begin" w:fldLock="1"/>
      </w:r>
      <w:r w:rsidR="00FC5386" w:rsidRPr="00777476">
        <w:instrText>ADDIN CSL_CITATION {"citationItems":[{"id":"ITEM-1","itemData":{"author":[{"dropping-particle":"","family":"Harris","given":"Peter","non-dropping-particle":"","parse-names":false,"suffix":""},{"dropping-particle":"","family":"Middleton","given":"Wendy","non-dropping-particle":"","parse-names":false,"suffix":""}],"container-title":"British Journal of Social Psychology","id":"ITEM-1","issued":{"date-parts":[["1994"]]},"page":"369-386","title":"The illusion of control and optimism about health: On being less at risk but no more in control than others","type":"article-journal","volume":"33"},"uris":["http://www.mendeley.com/documents/?uuid=a8aa9cc4-d6df-41da-949a-677c4c482cdd"]}],"mendeley":{"formattedCitation":"(Harris and Middleton, 1994)","plainTextFormattedCitation":"(Harris and Middleton, 1994)","previouslyFormattedCitation":"(Harris and Middleton, 1994)"},"properties":{"noteIndex":0},"schema":"https://github.com/citation-style-language/schema/raw/master/csl-citation.json"}</w:instrText>
      </w:r>
      <w:r w:rsidR="00FC5386" w:rsidRPr="00777476">
        <w:fldChar w:fldCharType="separate"/>
      </w:r>
      <w:r w:rsidR="00FC5386" w:rsidRPr="00777476">
        <w:rPr>
          <w:noProof/>
        </w:rPr>
        <w:t>(Harris and Middleton, 1994)</w:t>
      </w:r>
      <w:r w:rsidR="00FC5386" w:rsidRPr="00777476">
        <w:fldChar w:fldCharType="end"/>
      </w:r>
      <w:r w:rsidR="00FC5386" w:rsidRPr="00777476">
        <w:t xml:space="preserve">, which relate to existing problems of inequality technical education and access to digital health, respectively </w:t>
      </w:r>
      <w:r w:rsidR="00FC5386" w:rsidRPr="00777476">
        <w:fldChar w:fldCharType="begin" w:fldLock="1"/>
      </w:r>
      <w:r w:rsidR="005D4872" w:rsidRPr="00777476">
        <w:instrText>ADDIN CSL_CITATION {"citationItems":[{"id":"ITEM-1","itemData":{"DOI":"10.1177/0340035219845013","ISSN":"17452651","abstract":"For those who are connected digitally, the digital health revolution is an enormous opportunity for patient empowerment. However, half the world’s population are not online. Those who are least likely to be online are exactly those who experience the greatest burden of ill health. As information about health and illness is increasingly (and often exclusively) available in digital form, we face a new public health challenge – digital health inequality. Libraries are ideally placed to reach these population groups who may be hardest to reach. The IFLA (2017) Statement on Digital Literacy recognises that with libraries’ mission to help all their users access and apply the information they need for personal and community development, digital inclusion is an important part of the practice of librarianship. Successful interventions to improve digital inclusion involve targeting connecting, and transforming lives. This article focuses on initiatives to combat digital exclusion in England and Wales.","author":[{"dropping-particle":"","family":"Gann","given":"Bob","non-dropping-particle":"","parse-names":false,"suffix":""}],"container-title":"IFLA Journal","id":"ITEM-1","issue":"3","issued":{"date-parts":[["2019"]]},"page":"187-198","title":"Transforming lives: Combating digital health inequality","type":"article-journal","volume":"45"},"uris":["http://www.mendeley.com/documents/?uuid=fc38fa0b-8512-4ffb-8636-0ba3089962e3"]}],"mendeley":{"formattedCitation":"(Gann, 2019)","plainTextFormattedCitation":"(Gann, 2019)","previouslyFormattedCitation":"(Gann, 2019)"},"properties":{"noteIndex":0},"schema":"https://github.com/citation-style-language/schema/raw/master/csl-citation.json"}</w:instrText>
      </w:r>
      <w:r w:rsidR="00FC5386" w:rsidRPr="00777476">
        <w:fldChar w:fldCharType="separate"/>
      </w:r>
      <w:r w:rsidR="00FC5386" w:rsidRPr="00777476">
        <w:rPr>
          <w:noProof/>
        </w:rPr>
        <w:t>(Gann, 2019)</w:t>
      </w:r>
      <w:r w:rsidR="00FC5386" w:rsidRPr="00777476">
        <w:fldChar w:fldCharType="end"/>
      </w:r>
      <w:r w:rsidR="00FC5386" w:rsidRPr="00777476">
        <w:t>.</w:t>
      </w:r>
    </w:p>
    <w:p w14:paraId="46560A8E" w14:textId="51790E0C" w:rsidR="007B2B92" w:rsidRDefault="00775EF0" w:rsidP="009D3810">
      <w:r w:rsidRPr="00777476">
        <w:t>In addition to earlier recommendations of adopting socio-technical perspective and a systems approach to conceptualising risk, solutionism can be addresse</w:t>
      </w:r>
      <w:r w:rsidR="009D3810" w:rsidRPr="00777476">
        <w:t>d</w:t>
      </w:r>
      <w:r w:rsidRPr="00777476">
        <w:t xml:space="preserve"> by adopting a system</w:t>
      </w:r>
      <w:r w:rsidR="00CE0FE4">
        <w:t>ic</w:t>
      </w:r>
      <w:r w:rsidRPr="00777476">
        <w:t xml:space="preserve"> approach to patient safety.</w:t>
      </w:r>
      <w:r w:rsidR="007B2B92" w:rsidRPr="00777476">
        <w:t xml:space="preserve"> </w:t>
      </w:r>
      <w:r w:rsidR="007B2B92" w:rsidRPr="00777476">
        <w:fldChar w:fldCharType="begin" w:fldLock="1"/>
      </w:r>
      <w:r w:rsidR="009D3810" w:rsidRPr="00777476">
        <w:instrText>ADDIN CSL_CITATION {"citationItems":[{"id":"ITEM-1","itemData":{"ISSN":"02705214","abstract":"Despite the introduction of technology in medicine, chal- lenges related to patient safety and quality health care delivery still abound. The economic and personal costs associated with these challenges are enormous. To address these challenges, APL, Johns Hopkins Medicine, and the Whiting School of Engineering's Systems Institute have teamed to couple systems engineering principles and best practices with clinical expertise to develop innovative approaches to the socio-technical dynamics involved in health care. This work focuses on understanding the interactions among people (clinicians, patients, families, and other stakeholders), processes (institutional, regulatory, professional ethics, etc.), and technology (medical devices and instrumentation) in the health care domain to formulate a systems approach to innovations that lead to improved patient outcomes. APL and Johns Hopkins Medicine are collaborating on improvements at the device level, specifically medication infusion pumps that represent significant patient safety challenges, as well as at the unit level in the intensive care unit.","author":[{"dropping-particle":"","family":"Ravitz","given":"Alan D.","non-dropping-particle":"","parse-names":false,"suffix":""},{"dropping-particle":"","family":"Sapirstein","given":"Adam","non-dropping-particle":"","parse-names":false,"suffix":""},{"dropping-particle":"","family":"Pham","given":"Julius C.","non-dropping-particle":"","parse-names":false,"suffix":""},{"dropping-particle":"","family":"Doyle","given":"Peter A.","non-dropping-particle":"","parse-names":false,"suffix":""}],"container-title":"Johns Hopkins APL Technical Digest (Applied Physics Laboratory)","id":"ITEM-1","issue":"4","issued":{"date-parts":[["2013"]]},"page":"354-365","title":"Systems approach and systems engineering applied to health care: Improving patient safety and health care delivery","type":"article-journal","volume":"31"},"uris":["http://www.mendeley.com/documents/?uuid=20338070-7ab9-4f20-b073-147222818f9e"]}],"mendeley":{"formattedCitation":"(Ravitz &lt;i&gt;et al.&lt;/i&gt;, 2013)","manualFormatting":"Ravitz et al. (2013)","plainTextFormattedCitation":"(Ravitz et al., 2013)","previouslyFormattedCitation":"(Ravitz &lt;i&gt;et al.&lt;/i&gt;, 2013)"},"properties":{"noteIndex":0},"schema":"https://github.com/citation-style-language/schema/raw/master/csl-citation.json"}</w:instrText>
      </w:r>
      <w:r w:rsidR="007B2B92" w:rsidRPr="00777476">
        <w:fldChar w:fldCharType="separate"/>
      </w:r>
      <w:r w:rsidR="007B2B92" w:rsidRPr="00777476">
        <w:rPr>
          <w:noProof/>
        </w:rPr>
        <w:t>Ravit</w:t>
      </w:r>
      <w:r w:rsidR="007B2B92" w:rsidRPr="00777476">
        <w:rPr>
          <w:i/>
          <w:noProof/>
        </w:rPr>
        <w:t>z et al</w:t>
      </w:r>
      <w:r w:rsidR="007B2B92" w:rsidRPr="00777476">
        <w:rPr>
          <w:noProof/>
        </w:rPr>
        <w:t>. (2013)</w:t>
      </w:r>
      <w:r w:rsidR="007B2B92" w:rsidRPr="00777476">
        <w:fldChar w:fldCharType="end"/>
      </w:r>
      <w:r w:rsidR="007B2B92" w:rsidRPr="00777476">
        <w:t xml:space="preserve"> describe such an approach</w:t>
      </w:r>
      <w:r w:rsidR="009D3810" w:rsidRPr="00777476">
        <w:t xml:space="preserve"> with a case study on medication infusion pumps </w:t>
      </w:r>
      <w:r w:rsidR="007B2B92" w:rsidRPr="00777476">
        <w:t>and the Systems Engineering Initi</w:t>
      </w:r>
      <w:r w:rsidR="00CE0FE4">
        <w:t>ative for Patient Safety 2.0 model</w:t>
      </w:r>
      <w:r w:rsidR="007B2B92" w:rsidRPr="00777476">
        <w:t xml:space="preserve"> </w:t>
      </w:r>
      <w:r w:rsidR="009D3810" w:rsidRPr="00777476">
        <w:t xml:space="preserve">provides a framework for understanding the structures, processes and outcomes in healthcare, more generally </w:t>
      </w:r>
      <w:r w:rsidR="009D3810" w:rsidRPr="00777476">
        <w:fldChar w:fldCharType="begin" w:fldLock="1"/>
      </w:r>
      <w:r w:rsidR="008D06DB" w:rsidRPr="00777476">
        <w:instrText>ADDIN CSL_CITATION {"citationItems":[{"id":"ITEM-1","itemData":{"DOI":"10.1080/00140139.2013.838643.SEIPS","ISBN":"1608263142","author":[{"dropping-particle":"","family":"Holden","given":"Richard J.","non-dropping-particle":"","parse-names":false,"suffix":""},{"dropping-particle":"","family":"Carayon","given":"Pascale","non-dropping-particle":"","parse-names":false,"suffix":""},{"dropping-particle":"","family":"Gurses","given":"Ayse P.","non-dropping-particle":"","parse-names":false,"suffix":""},{"dropping-particle":"","family":"Hoonakker","given":"Peter L. T.","non-dropping-particle":"","parse-names":false,"suffix":""},{"dropping-particle":"","family":"Hundt","given":"Ann Schoofs","non-dropping-particle":"","parse-names":false,"suffix":""},{"dropping-particle":"","family":"Ozok","given":"A. Ant","non-dropping-particle":"","parse-names":false,"suffix":""},{"dropping-particle":"","family":"Rivera-rodriguez","given":"A. Joy","non-dropping-particle":"","parse-names":false,"suffix":""}],"container-title":"Ergonomics","id":"ITEM-1","issue":"11","issued":{"date-parts":[["2014"]]},"page":"1-30","title":"SEIPS 2.0: A human factors framework for studying and improving the work of healthcare professionals and patients","type":"article-journal","volume":"56"},"uris":["http://www.mendeley.com/documents/?uuid=4615238b-6f51-4c27-bb37-e1c43ef56b1d"]}],"mendeley":{"formattedCitation":"(Holden &lt;i&gt;et al.&lt;/i&gt;, 2014)","plainTextFormattedCitation":"(Holden et al., 2014)","previouslyFormattedCitation":"(Holden &lt;i&gt;et al.&lt;/i&gt;, 2014)"},"properties":{"noteIndex":0},"schema":"https://github.com/citation-style-language/schema/raw/master/csl-citation.json"}</w:instrText>
      </w:r>
      <w:r w:rsidR="009D3810" w:rsidRPr="00777476">
        <w:fldChar w:fldCharType="separate"/>
      </w:r>
      <w:r w:rsidR="009D3810" w:rsidRPr="00777476">
        <w:rPr>
          <w:noProof/>
        </w:rPr>
        <w:t xml:space="preserve">(Holden </w:t>
      </w:r>
      <w:r w:rsidR="009D3810" w:rsidRPr="00777476">
        <w:rPr>
          <w:i/>
          <w:noProof/>
        </w:rPr>
        <w:t>et al.</w:t>
      </w:r>
      <w:r w:rsidR="009D3810" w:rsidRPr="00777476">
        <w:rPr>
          <w:noProof/>
        </w:rPr>
        <w:t>, 2014)</w:t>
      </w:r>
      <w:r w:rsidR="009D3810" w:rsidRPr="00777476">
        <w:fldChar w:fldCharType="end"/>
      </w:r>
      <w:r w:rsidR="009D3810" w:rsidRPr="00777476">
        <w:t>.</w:t>
      </w:r>
      <w:r w:rsidR="000147EF" w:rsidRPr="00777476">
        <w:t xml:space="preserve"> These approaches can help to sensitise developers and users of </w:t>
      </w:r>
      <w:r w:rsidR="00CE0FE4">
        <w:t xml:space="preserve">digital health </w:t>
      </w:r>
      <w:r w:rsidR="000147EF" w:rsidRPr="00777476">
        <w:t>to the relationships within healthcare systems that might facilitate unintended consequences.</w:t>
      </w:r>
    </w:p>
    <w:p w14:paraId="2AE485E2" w14:textId="29675279" w:rsidR="008267F0" w:rsidRDefault="008267F0" w:rsidP="00D14F7E"/>
    <w:p w14:paraId="28D2A2E8" w14:textId="54832174" w:rsidR="0055697B" w:rsidRPr="0055697B" w:rsidRDefault="0055697B" w:rsidP="0055697B">
      <w:pPr>
        <w:sectPr w:rsidR="0055697B" w:rsidRPr="0055697B">
          <w:footerReference w:type="even" r:id="rId13"/>
          <w:footerReference w:type="default" r:id="rId14"/>
          <w:pgSz w:w="11906" w:h="16838"/>
          <w:pgMar w:top="1440" w:right="1440" w:bottom="1440" w:left="1440" w:header="708" w:footer="708" w:gutter="0"/>
          <w:cols w:space="708"/>
          <w:docGrid w:linePitch="360"/>
        </w:sectPr>
      </w:pPr>
    </w:p>
    <w:tbl>
      <w:tblPr>
        <w:tblW w:w="14658" w:type="dxa"/>
        <w:tblLayout w:type="fixed"/>
        <w:tblLook w:val="04A0" w:firstRow="1" w:lastRow="0" w:firstColumn="1" w:lastColumn="0" w:noHBand="0" w:noVBand="1"/>
      </w:tblPr>
      <w:tblGrid>
        <w:gridCol w:w="318"/>
        <w:gridCol w:w="3901"/>
        <w:gridCol w:w="3347"/>
        <w:gridCol w:w="4420"/>
        <w:gridCol w:w="911"/>
        <w:gridCol w:w="851"/>
        <w:gridCol w:w="910"/>
      </w:tblGrid>
      <w:tr w:rsidR="008267F0" w:rsidRPr="00E43A2F" w14:paraId="2AD5A2A1" w14:textId="77777777" w:rsidTr="00582A93">
        <w:trPr>
          <w:trHeight w:val="284"/>
        </w:trPr>
        <w:tc>
          <w:tcPr>
            <w:tcW w:w="14658" w:type="dxa"/>
            <w:gridSpan w:val="7"/>
            <w:tcBorders>
              <w:bottom w:val="single" w:sz="4" w:space="0" w:color="auto"/>
            </w:tcBorders>
          </w:tcPr>
          <w:p w14:paraId="7FE5B820" w14:textId="314A309A" w:rsidR="008267F0" w:rsidRPr="00E43A2F" w:rsidRDefault="008267F0" w:rsidP="00F25567">
            <w:pPr>
              <w:spacing w:after="0" w:line="240" w:lineRule="auto"/>
              <w:rPr>
                <w:rFonts w:eastAsia="Times New Roman" w:cstheme="minorHAnsi"/>
                <w:bCs/>
                <w:sz w:val="20"/>
                <w:szCs w:val="20"/>
                <w:lang w:eastAsia="en-GB"/>
              </w:rPr>
            </w:pPr>
            <w:r w:rsidRPr="00E43A2F">
              <w:rPr>
                <w:rFonts w:eastAsia="Times New Roman" w:cstheme="minorHAnsi"/>
                <w:b/>
                <w:bCs/>
                <w:sz w:val="20"/>
                <w:szCs w:val="20"/>
                <w:lang w:eastAsia="en-GB"/>
              </w:rPr>
              <w:lastRenderedPageBreak/>
              <w:t xml:space="preserve">Table </w:t>
            </w:r>
            <w:r w:rsidRPr="008267F0">
              <w:rPr>
                <w:rFonts w:eastAsia="Times New Roman" w:cstheme="minorHAnsi"/>
                <w:b/>
                <w:bCs/>
                <w:sz w:val="20"/>
                <w:szCs w:val="20"/>
                <w:highlight w:val="yellow"/>
                <w:lang w:eastAsia="en-GB"/>
              </w:rPr>
              <w:t>xC.I.R.</w:t>
            </w:r>
            <w:r>
              <w:rPr>
                <w:rFonts w:eastAsia="Times New Roman" w:cstheme="minorHAnsi"/>
                <w:b/>
                <w:bCs/>
                <w:sz w:val="20"/>
                <w:szCs w:val="20"/>
                <w:highlight w:val="yellow"/>
                <w:lang w:eastAsia="en-GB"/>
              </w:rPr>
              <w:t>v1</w:t>
            </w:r>
            <w:r w:rsidRPr="008267F0">
              <w:rPr>
                <w:rFonts w:eastAsia="Times New Roman" w:cstheme="minorHAnsi"/>
                <w:b/>
                <w:bCs/>
                <w:sz w:val="20"/>
                <w:szCs w:val="20"/>
                <w:highlight w:val="yellow"/>
                <w:lang w:eastAsia="en-GB"/>
              </w:rPr>
              <w:t>x</w:t>
            </w:r>
            <w:r w:rsidRPr="00E43A2F">
              <w:rPr>
                <w:rFonts w:eastAsia="Times New Roman" w:cstheme="minorHAnsi"/>
                <w:bCs/>
                <w:sz w:val="20"/>
                <w:szCs w:val="20"/>
                <w:lang w:eastAsia="en-GB"/>
              </w:rPr>
              <w:t xml:space="preserve"> Summary of recommendations to address safety concerns posed by the challenges of </w:t>
            </w:r>
            <w:r w:rsidR="0033179C">
              <w:rPr>
                <w:rFonts w:eastAsia="Times New Roman" w:cstheme="minorHAnsi"/>
                <w:bCs/>
                <w:sz w:val="20"/>
                <w:szCs w:val="20"/>
                <w:lang w:eastAsia="en-GB"/>
              </w:rPr>
              <w:t>e</w:t>
            </w:r>
            <w:r w:rsidRPr="00E43A2F">
              <w:rPr>
                <w:rFonts w:eastAsia="Times New Roman" w:cstheme="minorHAnsi"/>
                <w:bCs/>
                <w:sz w:val="20"/>
                <w:szCs w:val="20"/>
                <w:lang w:eastAsia="en-GB"/>
              </w:rPr>
              <w:t xml:space="preserve">merging </w:t>
            </w:r>
            <w:r w:rsidR="0033179C">
              <w:rPr>
                <w:rFonts w:eastAsia="Times New Roman" w:cstheme="minorHAnsi"/>
                <w:bCs/>
                <w:sz w:val="20"/>
                <w:szCs w:val="20"/>
                <w:lang w:eastAsia="en-GB"/>
              </w:rPr>
              <w:t xml:space="preserve">digital </w:t>
            </w:r>
            <w:r w:rsidRPr="00E43A2F">
              <w:rPr>
                <w:rFonts w:eastAsia="Times New Roman" w:cstheme="minorHAnsi"/>
                <w:bCs/>
                <w:sz w:val="20"/>
                <w:szCs w:val="20"/>
                <w:lang w:eastAsia="en-GB"/>
              </w:rPr>
              <w:t>health. Recommend</w:t>
            </w:r>
            <w:r w:rsidR="00156F5E">
              <w:rPr>
                <w:rFonts w:eastAsia="Times New Roman" w:cstheme="minorHAnsi"/>
                <w:bCs/>
                <w:sz w:val="20"/>
                <w:szCs w:val="20"/>
                <w:lang w:eastAsia="en-GB"/>
              </w:rPr>
              <w:t>ations are tagged as theory development</w:t>
            </w:r>
            <w:r w:rsidRPr="00E43A2F">
              <w:rPr>
                <w:rFonts w:eastAsia="Times New Roman" w:cstheme="minorHAnsi"/>
                <w:bCs/>
                <w:sz w:val="20"/>
                <w:szCs w:val="20"/>
                <w:lang w:eastAsia="en-GB"/>
              </w:rPr>
              <w:t>, T, and practical</w:t>
            </w:r>
            <w:r w:rsidR="00156F5E">
              <w:rPr>
                <w:rFonts w:eastAsia="Times New Roman" w:cstheme="minorHAnsi"/>
                <w:bCs/>
                <w:sz w:val="20"/>
                <w:szCs w:val="20"/>
                <w:lang w:eastAsia="en-GB"/>
              </w:rPr>
              <w:t xml:space="preserve"> application</w:t>
            </w:r>
            <w:r w:rsidRPr="00E43A2F">
              <w:rPr>
                <w:rFonts w:eastAsia="Times New Roman" w:cstheme="minorHAnsi"/>
                <w:bCs/>
                <w:sz w:val="20"/>
                <w:szCs w:val="20"/>
                <w:lang w:eastAsia="en-GB"/>
              </w:rPr>
              <w:t>, P, in line with the foundational aim of the workshop series.</w:t>
            </w:r>
            <w:r w:rsidR="0033179C">
              <w:rPr>
                <w:rFonts w:eastAsia="Times New Roman" w:cstheme="minorHAnsi"/>
                <w:bCs/>
                <w:sz w:val="20"/>
                <w:szCs w:val="20"/>
                <w:lang w:eastAsia="en-GB"/>
              </w:rPr>
              <w:t xml:space="preserve"> </w:t>
            </w:r>
            <w:r w:rsidR="00F25567">
              <w:rPr>
                <w:rFonts w:eastAsia="Times New Roman" w:cstheme="minorHAnsi"/>
                <w:bCs/>
                <w:sz w:val="20"/>
                <w:szCs w:val="20"/>
                <w:lang w:eastAsia="en-GB"/>
              </w:rPr>
              <w:t xml:space="preserve">The rightmost columns are the domains of safety for HIT, </w:t>
            </w:r>
            <w:r w:rsidR="0033179C">
              <w:rPr>
                <w:rFonts w:eastAsia="Times New Roman" w:cstheme="minorHAnsi"/>
                <w:bCs/>
                <w:sz w:val="20"/>
                <w:szCs w:val="20"/>
                <w:lang w:eastAsia="en-GB"/>
              </w:rPr>
              <w:t xml:space="preserve">Health Information Technology, as per </w:t>
            </w:r>
            <w:r w:rsidR="0033179C">
              <w:rPr>
                <w:rFonts w:eastAsia="Times New Roman" w:cstheme="minorHAnsi"/>
                <w:bCs/>
                <w:sz w:val="20"/>
                <w:szCs w:val="20"/>
                <w:lang w:eastAsia="en-GB"/>
              </w:rPr>
              <w:fldChar w:fldCharType="begin" w:fldLock="1"/>
            </w:r>
            <w:r w:rsidR="0075274E">
              <w:rPr>
                <w:rFonts w:eastAsia="Times New Roman" w:cstheme="minorHAnsi"/>
                <w:bCs/>
                <w:sz w:val="20"/>
                <w:szCs w:val="20"/>
                <w:lang w:eastAsia="en-GB"/>
              </w:rPr>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33179C">
              <w:rPr>
                <w:rFonts w:eastAsia="Times New Roman" w:cstheme="minorHAnsi"/>
                <w:bCs/>
                <w:sz w:val="20"/>
                <w:szCs w:val="20"/>
                <w:lang w:eastAsia="en-GB"/>
              </w:rPr>
              <w:fldChar w:fldCharType="separate"/>
            </w:r>
            <w:r w:rsidR="0033179C" w:rsidRPr="0033179C">
              <w:rPr>
                <w:rFonts w:eastAsia="Times New Roman" w:cstheme="minorHAnsi"/>
                <w:bCs/>
                <w:noProof/>
                <w:sz w:val="20"/>
                <w:szCs w:val="20"/>
                <w:lang w:eastAsia="en-GB"/>
              </w:rPr>
              <w:t>Singh and Sittig</w:t>
            </w:r>
            <w:r w:rsidR="0033179C">
              <w:rPr>
                <w:rFonts w:eastAsia="Times New Roman" w:cstheme="minorHAnsi"/>
                <w:bCs/>
                <w:noProof/>
                <w:sz w:val="20"/>
                <w:szCs w:val="20"/>
                <w:lang w:eastAsia="en-GB"/>
              </w:rPr>
              <w:t>'s</w:t>
            </w:r>
            <w:r w:rsidR="0033179C" w:rsidRPr="0033179C">
              <w:rPr>
                <w:rFonts w:eastAsia="Times New Roman" w:cstheme="minorHAnsi"/>
                <w:bCs/>
                <w:noProof/>
                <w:sz w:val="20"/>
                <w:szCs w:val="20"/>
                <w:lang w:eastAsia="en-GB"/>
              </w:rPr>
              <w:t xml:space="preserve"> </w:t>
            </w:r>
            <w:r w:rsidR="0033179C">
              <w:rPr>
                <w:rFonts w:eastAsia="Times New Roman" w:cstheme="minorHAnsi"/>
                <w:bCs/>
                <w:noProof/>
                <w:sz w:val="20"/>
                <w:szCs w:val="20"/>
                <w:lang w:eastAsia="en-GB"/>
              </w:rPr>
              <w:t>(</w:t>
            </w:r>
            <w:r w:rsidR="0033179C" w:rsidRPr="0033179C">
              <w:rPr>
                <w:rFonts w:eastAsia="Times New Roman" w:cstheme="minorHAnsi"/>
                <w:bCs/>
                <w:noProof/>
                <w:sz w:val="20"/>
                <w:szCs w:val="20"/>
                <w:lang w:eastAsia="en-GB"/>
              </w:rPr>
              <w:t>2016)</w:t>
            </w:r>
            <w:r w:rsidR="0033179C">
              <w:rPr>
                <w:rFonts w:eastAsia="Times New Roman" w:cstheme="minorHAnsi"/>
                <w:bCs/>
                <w:sz w:val="20"/>
                <w:szCs w:val="20"/>
                <w:lang w:eastAsia="en-GB"/>
              </w:rPr>
              <w:fldChar w:fldCharType="end"/>
            </w:r>
            <w:r w:rsidR="0033179C" w:rsidRPr="0033179C">
              <w:rPr>
                <w:rFonts w:eastAsia="Times New Roman" w:cstheme="minorHAnsi"/>
                <w:bCs/>
                <w:sz w:val="18"/>
                <w:szCs w:val="20"/>
                <w:lang w:eastAsia="en-GB"/>
              </w:rPr>
              <w:t xml:space="preserve"> </w:t>
            </w:r>
            <w:r w:rsidR="0033179C" w:rsidRPr="0033179C">
              <w:rPr>
                <w:sz w:val="20"/>
              </w:rPr>
              <w:t>Health Information Technology Safety Measurement Framework</w:t>
            </w:r>
            <w:r w:rsidR="0033179C">
              <w:rPr>
                <w:sz w:val="20"/>
              </w:rPr>
              <w:t>.</w:t>
            </w:r>
          </w:p>
        </w:tc>
      </w:tr>
      <w:tr w:rsidR="008267F0" w:rsidRPr="00E43A2F" w14:paraId="6CBDA1A8" w14:textId="77777777" w:rsidTr="00582A93">
        <w:trPr>
          <w:trHeight w:val="500"/>
        </w:trPr>
        <w:tc>
          <w:tcPr>
            <w:tcW w:w="318" w:type="dxa"/>
            <w:tcBorders>
              <w:bottom w:val="single" w:sz="4" w:space="0" w:color="auto"/>
            </w:tcBorders>
          </w:tcPr>
          <w:p w14:paraId="60CCCFD4" w14:textId="77777777" w:rsidR="008267F0" w:rsidRPr="00E43A2F" w:rsidRDefault="008267F0" w:rsidP="00582A93">
            <w:pPr>
              <w:spacing w:after="120" w:line="240" w:lineRule="auto"/>
              <w:rPr>
                <w:rFonts w:eastAsia="Times New Roman" w:cstheme="minorHAnsi"/>
                <w:b/>
                <w:bCs/>
                <w:sz w:val="20"/>
                <w:szCs w:val="20"/>
                <w:lang w:eastAsia="en-GB"/>
              </w:rPr>
            </w:pPr>
          </w:p>
        </w:tc>
        <w:tc>
          <w:tcPr>
            <w:tcW w:w="3901" w:type="dxa"/>
            <w:tcBorders>
              <w:bottom w:val="single" w:sz="4" w:space="0" w:color="auto"/>
            </w:tcBorders>
            <w:shd w:val="clear" w:color="auto" w:fill="auto"/>
            <w:vAlign w:val="bottom"/>
            <w:hideMark/>
          </w:tcPr>
          <w:p w14:paraId="2C4DF3F3" w14:textId="77777777" w:rsidR="008267F0" w:rsidRPr="00E43A2F" w:rsidRDefault="008267F0" w:rsidP="00582A93">
            <w:pPr>
              <w:spacing w:after="120" w:line="240" w:lineRule="auto"/>
              <w:rPr>
                <w:rFonts w:eastAsia="Times New Roman" w:cstheme="minorHAnsi"/>
                <w:b/>
                <w:bCs/>
                <w:sz w:val="20"/>
                <w:szCs w:val="20"/>
                <w:lang w:eastAsia="en-GB"/>
              </w:rPr>
            </w:pPr>
            <w:r w:rsidRPr="00E43A2F">
              <w:rPr>
                <w:rFonts w:eastAsia="Times New Roman" w:cstheme="minorHAnsi"/>
                <w:b/>
                <w:bCs/>
                <w:sz w:val="20"/>
                <w:szCs w:val="20"/>
                <w:lang w:eastAsia="en-GB"/>
              </w:rPr>
              <w:t>Challenges</w:t>
            </w:r>
          </w:p>
        </w:tc>
        <w:tc>
          <w:tcPr>
            <w:tcW w:w="3347" w:type="dxa"/>
            <w:tcBorders>
              <w:bottom w:val="single" w:sz="4" w:space="0" w:color="auto"/>
            </w:tcBorders>
            <w:shd w:val="clear" w:color="auto" w:fill="auto"/>
            <w:vAlign w:val="bottom"/>
            <w:hideMark/>
          </w:tcPr>
          <w:p w14:paraId="45947563" w14:textId="77777777" w:rsidR="008267F0" w:rsidRPr="00E43A2F" w:rsidRDefault="008267F0" w:rsidP="00582A93">
            <w:pPr>
              <w:spacing w:after="120" w:line="240" w:lineRule="auto"/>
              <w:rPr>
                <w:rFonts w:eastAsia="Times New Roman" w:cstheme="minorHAnsi"/>
                <w:b/>
                <w:bCs/>
                <w:sz w:val="20"/>
                <w:szCs w:val="20"/>
                <w:lang w:eastAsia="en-GB"/>
              </w:rPr>
            </w:pPr>
            <w:r w:rsidRPr="00E43A2F">
              <w:rPr>
                <w:rFonts w:eastAsia="Times New Roman" w:cstheme="minorHAnsi"/>
                <w:b/>
                <w:bCs/>
                <w:sz w:val="20"/>
                <w:szCs w:val="20"/>
                <w:lang w:eastAsia="en-GB"/>
              </w:rPr>
              <w:t>Implications for patient safety</w:t>
            </w:r>
          </w:p>
        </w:tc>
        <w:tc>
          <w:tcPr>
            <w:tcW w:w="4420" w:type="dxa"/>
            <w:tcBorders>
              <w:bottom w:val="single" w:sz="4" w:space="0" w:color="auto"/>
            </w:tcBorders>
            <w:shd w:val="clear" w:color="auto" w:fill="auto"/>
            <w:noWrap/>
            <w:vAlign w:val="bottom"/>
            <w:hideMark/>
          </w:tcPr>
          <w:p w14:paraId="6B683513" w14:textId="77777777" w:rsidR="008267F0" w:rsidRPr="00E43A2F" w:rsidRDefault="008267F0" w:rsidP="00582A93">
            <w:pPr>
              <w:spacing w:after="120" w:line="240" w:lineRule="auto"/>
              <w:rPr>
                <w:rFonts w:eastAsia="Times New Roman" w:cstheme="minorHAnsi"/>
                <w:b/>
                <w:bCs/>
                <w:sz w:val="20"/>
                <w:szCs w:val="20"/>
                <w:lang w:eastAsia="en-GB"/>
              </w:rPr>
            </w:pPr>
            <w:r w:rsidRPr="00E43A2F">
              <w:rPr>
                <w:rFonts w:eastAsia="Times New Roman" w:cstheme="minorHAnsi"/>
                <w:b/>
                <w:bCs/>
                <w:sz w:val="20"/>
                <w:szCs w:val="20"/>
                <w:lang w:eastAsia="en-GB"/>
              </w:rPr>
              <w:t>Recommendations</w:t>
            </w:r>
          </w:p>
        </w:tc>
        <w:tc>
          <w:tcPr>
            <w:tcW w:w="911" w:type="dxa"/>
            <w:tcBorders>
              <w:bottom w:val="single" w:sz="4" w:space="0" w:color="auto"/>
            </w:tcBorders>
            <w:shd w:val="clear" w:color="auto" w:fill="auto"/>
            <w:vAlign w:val="center"/>
            <w:hideMark/>
          </w:tcPr>
          <w:p w14:paraId="17C8F924" w14:textId="77777777" w:rsidR="008267F0" w:rsidRPr="00E43A2F" w:rsidRDefault="008267F0" w:rsidP="00582A93">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Safe</w:t>
            </w:r>
          </w:p>
          <w:p w14:paraId="140A8876" w14:textId="77777777" w:rsidR="008267F0" w:rsidRPr="00E43A2F" w:rsidRDefault="008267F0" w:rsidP="00582A93">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HIT</w:t>
            </w:r>
          </w:p>
        </w:tc>
        <w:tc>
          <w:tcPr>
            <w:tcW w:w="851" w:type="dxa"/>
            <w:tcBorders>
              <w:bottom w:val="single" w:sz="4" w:space="0" w:color="auto"/>
            </w:tcBorders>
            <w:shd w:val="clear" w:color="auto" w:fill="auto"/>
            <w:vAlign w:val="center"/>
            <w:hideMark/>
          </w:tcPr>
          <w:p w14:paraId="7321DB0D" w14:textId="77777777" w:rsidR="008267F0" w:rsidRPr="00E43A2F" w:rsidRDefault="008267F0" w:rsidP="00582A93">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Safe use of HIT</w:t>
            </w:r>
          </w:p>
        </w:tc>
        <w:tc>
          <w:tcPr>
            <w:tcW w:w="910" w:type="dxa"/>
            <w:tcBorders>
              <w:bottom w:val="single" w:sz="4" w:space="0" w:color="auto"/>
            </w:tcBorders>
            <w:shd w:val="clear" w:color="auto" w:fill="auto"/>
            <w:vAlign w:val="center"/>
            <w:hideMark/>
          </w:tcPr>
          <w:p w14:paraId="74DD66CC" w14:textId="77777777" w:rsidR="008267F0" w:rsidRPr="00E43A2F" w:rsidRDefault="008267F0" w:rsidP="00582A93">
            <w:pPr>
              <w:spacing w:after="0" w:line="240" w:lineRule="auto"/>
              <w:jc w:val="center"/>
              <w:rPr>
                <w:rFonts w:eastAsia="Times New Roman" w:cstheme="minorHAnsi"/>
                <w:b/>
                <w:bCs/>
                <w:sz w:val="20"/>
                <w:szCs w:val="20"/>
                <w:lang w:eastAsia="en-GB"/>
              </w:rPr>
            </w:pPr>
            <w:r w:rsidRPr="00E43A2F">
              <w:rPr>
                <w:rFonts w:eastAsia="Times New Roman" w:cstheme="minorHAnsi"/>
                <w:b/>
                <w:bCs/>
                <w:sz w:val="20"/>
                <w:szCs w:val="20"/>
                <w:lang w:eastAsia="en-GB"/>
              </w:rPr>
              <w:t>HIT to</w:t>
            </w:r>
            <w:r w:rsidRPr="00E43A2F">
              <w:rPr>
                <w:rFonts w:eastAsia="Times New Roman" w:cstheme="minorHAnsi"/>
                <w:b/>
                <w:bCs/>
                <w:sz w:val="20"/>
                <w:szCs w:val="20"/>
                <w:lang w:eastAsia="en-GB"/>
              </w:rPr>
              <w:br/>
              <w:t>improve safety</w:t>
            </w:r>
          </w:p>
        </w:tc>
      </w:tr>
      <w:tr w:rsidR="008267F0" w:rsidRPr="00E43A2F" w14:paraId="390CAC2D" w14:textId="77777777" w:rsidTr="00582A93">
        <w:trPr>
          <w:trHeight w:val="750"/>
        </w:trPr>
        <w:tc>
          <w:tcPr>
            <w:tcW w:w="318" w:type="dxa"/>
            <w:tcBorders>
              <w:top w:val="single" w:sz="4" w:space="0" w:color="auto"/>
            </w:tcBorders>
            <w:shd w:val="clear" w:color="auto" w:fill="DEEAF6" w:themeFill="accent1" w:themeFillTint="33"/>
          </w:tcPr>
          <w:p w14:paraId="41EFAC7B"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1</w:t>
            </w:r>
          </w:p>
        </w:tc>
        <w:tc>
          <w:tcPr>
            <w:tcW w:w="3901" w:type="dxa"/>
            <w:tcBorders>
              <w:top w:val="single" w:sz="4" w:space="0" w:color="auto"/>
            </w:tcBorders>
            <w:shd w:val="clear" w:color="auto" w:fill="DEEAF6" w:themeFill="accent1" w:themeFillTint="33"/>
            <w:hideMark/>
          </w:tcPr>
          <w:p w14:paraId="22B8CDAA"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Difficult to conceptualise threats to patient safety from non-physical innovations.</w:t>
            </w:r>
          </w:p>
        </w:tc>
        <w:tc>
          <w:tcPr>
            <w:tcW w:w="3347" w:type="dxa"/>
            <w:tcBorders>
              <w:top w:val="single" w:sz="4" w:space="0" w:color="auto"/>
            </w:tcBorders>
            <w:shd w:val="clear" w:color="auto" w:fill="DEEAF6" w:themeFill="accent1" w:themeFillTint="33"/>
            <w:hideMark/>
          </w:tcPr>
          <w:p w14:paraId="26B6CA93"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Inadequate consideration of threats to patient safety.</w:t>
            </w:r>
          </w:p>
        </w:tc>
        <w:tc>
          <w:tcPr>
            <w:tcW w:w="4420" w:type="dxa"/>
            <w:tcBorders>
              <w:top w:val="single" w:sz="4" w:space="0" w:color="auto"/>
            </w:tcBorders>
            <w:shd w:val="clear" w:color="auto" w:fill="DEEAF6" w:themeFill="accent1" w:themeFillTint="33"/>
            <w:hideMark/>
          </w:tcPr>
          <w:p w14:paraId="4D863EBF"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Systems approach to conceptualising risk</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Safety cases</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Socio-technical perspective</w:t>
            </w:r>
            <w:r w:rsidRPr="00E43A2F">
              <w:rPr>
                <w:rFonts w:eastAsia="Times New Roman" w:cstheme="minorHAnsi"/>
                <w:sz w:val="20"/>
                <w:szCs w:val="20"/>
                <w:vertAlign w:val="superscript"/>
                <w:lang w:eastAsia="en-GB"/>
              </w:rPr>
              <w:t>T</w:t>
            </w:r>
          </w:p>
        </w:tc>
        <w:tc>
          <w:tcPr>
            <w:tcW w:w="911" w:type="dxa"/>
            <w:tcBorders>
              <w:top w:val="single" w:sz="4" w:space="0" w:color="auto"/>
            </w:tcBorders>
            <w:shd w:val="clear" w:color="auto" w:fill="DEEAF6" w:themeFill="accent1" w:themeFillTint="33"/>
            <w:vAlign w:val="center"/>
            <w:hideMark/>
          </w:tcPr>
          <w:p w14:paraId="3221FAF5"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tcBorders>
              <w:top w:val="single" w:sz="4" w:space="0" w:color="auto"/>
            </w:tcBorders>
            <w:shd w:val="clear" w:color="auto" w:fill="DEEAF6" w:themeFill="accent1" w:themeFillTint="33"/>
            <w:vAlign w:val="center"/>
            <w:hideMark/>
          </w:tcPr>
          <w:p w14:paraId="5CA54D1D"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tcBorders>
              <w:top w:val="single" w:sz="4" w:space="0" w:color="auto"/>
            </w:tcBorders>
            <w:shd w:val="clear" w:color="auto" w:fill="DEEAF6" w:themeFill="accent1" w:themeFillTint="33"/>
            <w:vAlign w:val="center"/>
            <w:hideMark/>
          </w:tcPr>
          <w:p w14:paraId="4C8C2FA5"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r w:rsidR="008267F0" w:rsidRPr="00E43A2F" w14:paraId="0963E986" w14:textId="77777777" w:rsidTr="00582A93">
        <w:trPr>
          <w:trHeight w:val="1250"/>
        </w:trPr>
        <w:tc>
          <w:tcPr>
            <w:tcW w:w="318" w:type="dxa"/>
          </w:tcPr>
          <w:p w14:paraId="36360F04"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2</w:t>
            </w:r>
          </w:p>
        </w:tc>
        <w:tc>
          <w:tcPr>
            <w:tcW w:w="3901" w:type="dxa"/>
            <w:shd w:val="clear" w:color="auto" w:fill="auto"/>
            <w:hideMark/>
          </w:tcPr>
          <w:p w14:paraId="52EAF008"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Unclear how to sensibly integrate and interpret new and voluminous data streams.</w:t>
            </w:r>
          </w:p>
        </w:tc>
        <w:tc>
          <w:tcPr>
            <w:tcW w:w="3347" w:type="dxa"/>
            <w:shd w:val="clear" w:color="auto" w:fill="auto"/>
            <w:hideMark/>
          </w:tcPr>
          <w:p w14:paraId="1A074C1C"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Missed opportunities to use data; Inappropriate use of data; Biased use of data.</w:t>
            </w:r>
          </w:p>
        </w:tc>
        <w:tc>
          <w:tcPr>
            <w:tcW w:w="4420" w:type="dxa"/>
            <w:shd w:val="clear" w:color="auto" w:fill="auto"/>
            <w:hideMark/>
          </w:tcPr>
          <w:p w14:paraId="24FF828C"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Dynamic and causal modelling continuously surveilled for performance</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Middleware for interoperability</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Standards for linkage and exchange of healthcare data</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Automated anomaly detection</w:t>
            </w:r>
            <w:r w:rsidRPr="00E43A2F">
              <w:rPr>
                <w:rFonts w:eastAsia="Times New Roman" w:cstheme="minorHAnsi"/>
                <w:sz w:val="20"/>
                <w:szCs w:val="20"/>
                <w:vertAlign w:val="superscript"/>
                <w:lang w:eastAsia="en-GB"/>
              </w:rPr>
              <w:t>P</w:t>
            </w:r>
          </w:p>
        </w:tc>
        <w:tc>
          <w:tcPr>
            <w:tcW w:w="911" w:type="dxa"/>
            <w:shd w:val="clear" w:color="auto" w:fill="auto"/>
            <w:vAlign w:val="center"/>
            <w:hideMark/>
          </w:tcPr>
          <w:p w14:paraId="79400D6C"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auto"/>
            <w:vAlign w:val="center"/>
            <w:hideMark/>
          </w:tcPr>
          <w:p w14:paraId="294FDCE6"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shd w:val="clear" w:color="auto" w:fill="auto"/>
            <w:vAlign w:val="center"/>
            <w:hideMark/>
          </w:tcPr>
          <w:p w14:paraId="77DA3659"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r>
      <w:tr w:rsidR="008267F0" w:rsidRPr="00E43A2F" w14:paraId="4984324E" w14:textId="77777777" w:rsidTr="00582A93">
        <w:trPr>
          <w:trHeight w:val="500"/>
        </w:trPr>
        <w:tc>
          <w:tcPr>
            <w:tcW w:w="318" w:type="dxa"/>
            <w:shd w:val="clear" w:color="auto" w:fill="DEEAF6" w:themeFill="accent1" w:themeFillTint="33"/>
          </w:tcPr>
          <w:p w14:paraId="59027073"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3</w:t>
            </w:r>
          </w:p>
        </w:tc>
        <w:tc>
          <w:tcPr>
            <w:tcW w:w="3901" w:type="dxa"/>
            <w:shd w:val="clear" w:color="auto" w:fill="DEEAF6" w:themeFill="accent1" w:themeFillTint="33"/>
            <w:hideMark/>
          </w:tcPr>
          <w:p w14:paraId="4DA0E383"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Reactive regulatory- and standards-based approaches to safety.</w:t>
            </w:r>
          </w:p>
        </w:tc>
        <w:tc>
          <w:tcPr>
            <w:tcW w:w="3347" w:type="dxa"/>
            <w:shd w:val="clear" w:color="auto" w:fill="DEEAF6" w:themeFill="accent1" w:themeFillTint="33"/>
            <w:hideMark/>
          </w:tcPr>
          <w:p w14:paraId="3044FC78"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Avoidable harm is experienced before mitigations are put in place.</w:t>
            </w:r>
          </w:p>
        </w:tc>
        <w:tc>
          <w:tcPr>
            <w:tcW w:w="4420" w:type="dxa"/>
            <w:shd w:val="clear" w:color="auto" w:fill="DEEAF6" w:themeFill="accent1" w:themeFillTint="33"/>
            <w:hideMark/>
          </w:tcPr>
          <w:p w14:paraId="6196664D"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Gradual approval of medical devices</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Systems approach to conceptualising risk</w:t>
            </w:r>
            <w:r w:rsidRPr="00E43A2F">
              <w:rPr>
                <w:rFonts w:eastAsia="Times New Roman" w:cstheme="minorHAnsi"/>
                <w:sz w:val="20"/>
                <w:szCs w:val="20"/>
                <w:vertAlign w:val="superscript"/>
                <w:lang w:eastAsia="en-GB"/>
              </w:rPr>
              <w:t>T</w:t>
            </w:r>
          </w:p>
        </w:tc>
        <w:tc>
          <w:tcPr>
            <w:tcW w:w="911" w:type="dxa"/>
            <w:shd w:val="clear" w:color="auto" w:fill="DEEAF6" w:themeFill="accent1" w:themeFillTint="33"/>
            <w:vAlign w:val="center"/>
            <w:hideMark/>
          </w:tcPr>
          <w:p w14:paraId="61DF8897"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DEEAF6" w:themeFill="accent1" w:themeFillTint="33"/>
            <w:vAlign w:val="center"/>
            <w:hideMark/>
          </w:tcPr>
          <w:p w14:paraId="5787E2EB"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c>
          <w:tcPr>
            <w:tcW w:w="910" w:type="dxa"/>
            <w:shd w:val="clear" w:color="auto" w:fill="DEEAF6" w:themeFill="accent1" w:themeFillTint="33"/>
            <w:vAlign w:val="center"/>
            <w:hideMark/>
          </w:tcPr>
          <w:p w14:paraId="131937F3"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r w:rsidR="008267F0" w:rsidRPr="00E43A2F" w14:paraId="1DA4CCAE" w14:textId="77777777" w:rsidTr="00582A93">
        <w:trPr>
          <w:trHeight w:val="500"/>
        </w:trPr>
        <w:tc>
          <w:tcPr>
            <w:tcW w:w="318" w:type="dxa"/>
          </w:tcPr>
          <w:p w14:paraId="6F8AA9AF"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4</w:t>
            </w:r>
          </w:p>
        </w:tc>
        <w:tc>
          <w:tcPr>
            <w:tcW w:w="3901" w:type="dxa"/>
            <w:shd w:val="clear" w:color="auto" w:fill="auto"/>
            <w:hideMark/>
          </w:tcPr>
          <w:p w14:paraId="359C8620"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Difficult to build and maintain trust in health information systems that are obscure and complex.</w:t>
            </w:r>
          </w:p>
        </w:tc>
        <w:tc>
          <w:tcPr>
            <w:tcW w:w="3347" w:type="dxa"/>
            <w:shd w:val="clear" w:color="auto" w:fill="auto"/>
            <w:hideMark/>
          </w:tcPr>
          <w:p w14:paraId="50D254AA"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Misinformation and disinformation threaten patient safety.</w:t>
            </w:r>
          </w:p>
        </w:tc>
        <w:tc>
          <w:tcPr>
            <w:tcW w:w="4420" w:type="dxa"/>
            <w:shd w:val="clear" w:color="auto" w:fill="auto"/>
            <w:hideMark/>
          </w:tcPr>
          <w:p w14:paraId="3006CBD6" w14:textId="6F4CD526"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Socio-technical perspective</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xml:space="preserve">; </w:t>
            </w:r>
            <w:r w:rsidR="00CE0FE4">
              <w:rPr>
                <w:rFonts w:eastAsia="Times New Roman" w:cstheme="minorHAnsi"/>
                <w:sz w:val="20"/>
                <w:szCs w:val="20"/>
                <w:lang w:eastAsia="en-GB"/>
              </w:rPr>
              <w:t>FactSheets</w:t>
            </w:r>
            <w:r w:rsidR="00CE0FE4" w:rsidRPr="00CE0FE4">
              <w:rPr>
                <w:rFonts w:eastAsia="Times New Roman" w:cstheme="minorHAnsi"/>
                <w:sz w:val="20"/>
                <w:szCs w:val="20"/>
                <w:vertAlign w:val="superscript"/>
                <w:lang w:eastAsia="en-GB"/>
              </w:rPr>
              <w:t>P</w:t>
            </w:r>
          </w:p>
        </w:tc>
        <w:tc>
          <w:tcPr>
            <w:tcW w:w="911" w:type="dxa"/>
            <w:shd w:val="clear" w:color="auto" w:fill="auto"/>
            <w:vAlign w:val="center"/>
            <w:hideMark/>
          </w:tcPr>
          <w:p w14:paraId="0FC68E90"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auto"/>
            <w:vAlign w:val="center"/>
            <w:hideMark/>
          </w:tcPr>
          <w:p w14:paraId="4F57D82B"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shd w:val="clear" w:color="auto" w:fill="auto"/>
            <w:vAlign w:val="center"/>
            <w:hideMark/>
          </w:tcPr>
          <w:p w14:paraId="780CC9C0"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r>
      <w:tr w:rsidR="008267F0" w:rsidRPr="00E43A2F" w14:paraId="6D7EB11D" w14:textId="77777777" w:rsidTr="00582A93">
        <w:trPr>
          <w:trHeight w:val="500"/>
        </w:trPr>
        <w:tc>
          <w:tcPr>
            <w:tcW w:w="318" w:type="dxa"/>
            <w:shd w:val="clear" w:color="auto" w:fill="DEEAF6" w:themeFill="accent1" w:themeFillTint="33"/>
          </w:tcPr>
          <w:p w14:paraId="564CE17D"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5</w:t>
            </w:r>
          </w:p>
        </w:tc>
        <w:tc>
          <w:tcPr>
            <w:tcW w:w="3901" w:type="dxa"/>
            <w:shd w:val="clear" w:color="auto" w:fill="DEEAF6" w:themeFill="accent1" w:themeFillTint="33"/>
            <w:hideMark/>
          </w:tcPr>
          <w:p w14:paraId="5E734DAD"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Emergent patient-safety consequences in health information systems.</w:t>
            </w:r>
          </w:p>
        </w:tc>
        <w:tc>
          <w:tcPr>
            <w:tcW w:w="3347" w:type="dxa"/>
            <w:shd w:val="clear" w:color="auto" w:fill="DEEAF6" w:themeFill="accent1" w:themeFillTint="33"/>
            <w:hideMark/>
          </w:tcPr>
          <w:p w14:paraId="0877DAD0"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Hazards cannot be completely foreseen.</w:t>
            </w:r>
          </w:p>
        </w:tc>
        <w:tc>
          <w:tcPr>
            <w:tcW w:w="4420" w:type="dxa"/>
            <w:shd w:val="clear" w:color="auto" w:fill="DEEAF6" w:themeFill="accent1" w:themeFillTint="33"/>
            <w:hideMark/>
          </w:tcPr>
          <w:p w14:paraId="791225CA"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Systems approach to conceptualising risk</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Systems approach to patient safety</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Safety cases</w:t>
            </w:r>
            <w:r w:rsidRPr="00E43A2F">
              <w:rPr>
                <w:rFonts w:eastAsia="Times New Roman" w:cstheme="minorHAnsi"/>
                <w:sz w:val="20"/>
                <w:szCs w:val="20"/>
                <w:vertAlign w:val="superscript"/>
                <w:lang w:eastAsia="en-GB"/>
              </w:rPr>
              <w:t>P</w:t>
            </w:r>
            <w:r w:rsidRPr="00E43A2F">
              <w:rPr>
                <w:rFonts w:eastAsia="Times New Roman" w:cstheme="minorHAnsi"/>
                <w:sz w:val="20"/>
                <w:szCs w:val="20"/>
                <w:lang w:eastAsia="en-GB"/>
              </w:rPr>
              <w:t>; Socio-technical perspective</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Gradual approval of medical devices</w:t>
            </w:r>
            <w:r w:rsidRPr="00E43A2F">
              <w:rPr>
                <w:rFonts w:eastAsia="Times New Roman" w:cstheme="minorHAnsi"/>
                <w:sz w:val="20"/>
                <w:szCs w:val="20"/>
                <w:vertAlign w:val="superscript"/>
                <w:lang w:eastAsia="en-GB"/>
              </w:rPr>
              <w:t>P</w:t>
            </w:r>
          </w:p>
        </w:tc>
        <w:tc>
          <w:tcPr>
            <w:tcW w:w="911" w:type="dxa"/>
            <w:shd w:val="clear" w:color="auto" w:fill="DEEAF6" w:themeFill="accent1" w:themeFillTint="33"/>
            <w:vAlign w:val="center"/>
            <w:hideMark/>
          </w:tcPr>
          <w:p w14:paraId="4840BA7B"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shd w:val="clear" w:color="auto" w:fill="DEEAF6" w:themeFill="accent1" w:themeFillTint="33"/>
            <w:vAlign w:val="center"/>
            <w:hideMark/>
          </w:tcPr>
          <w:p w14:paraId="763EE383"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910" w:type="dxa"/>
            <w:shd w:val="clear" w:color="auto" w:fill="DEEAF6" w:themeFill="accent1" w:themeFillTint="33"/>
            <w:vAlign w:val="center"/>
            <w:hideMark/>
          </w:tcPr>
          <w:p w14:paraId="65AB08D5"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r w:rsidR="008267F0" w:rsidRPr="00E43A2F" w14:paraId="3599F08A" w14:textId="77777777" w:rsidTr="00582A93">
        <w:trPr>
          <w:trHeight w:val="500"/>
        </w:trPr>
        <w:tc>
          <w:tcPr>
            <w:tcW w:w="318" w:type="dxa"/>
            <w:tcBorders>
              <w:bottom w:val="single" w:sz="4" w:space="0" w:color="auto"/>
            </w:tcBorders>
            <w:shd w:val="clear" w:color="auto" w:fill="auto"/>
          </w:tcPr>
          <w:p w14:paraId="305D884B"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6</w:t>
            </w:r>
          </w:p>
        </w:tc>
        <w:tc>
          <w:tcPr>
            <w:tcW w:w="3901" w:type="dxa"/>
            <w:tcBorders>
              <w:bottom w:val="single" w:sz="4" w:space="0" w:color="auto"/>
            </w:tcBorders>
            <w:shd w:val="clear" w:color="auto" w:fill="auto"/>
            <w:hideMark/>
          </w:tcPr>
          <w:p w14:paraId="0F42684F"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Solutionism inappropriately simplifies problems and predicaments.</w:t>
            </w:r>
          </w:p>
        </w:tc>
        <w:tc>
          <w:tcPr>
            <w:tcW w:w="3347" w:type="dxa"/>
            <w:tcBorders>
              <w:bottom w:val="single" w:sz="4" w:space="0" w:color="auto"/>
            </w:tcBorders>
            <w:shd w:val="clear" w:color="auto" w:fill="auto"/>
            <w:hideMark/>
          </w:tcPr>
          <w:p w14:paraId="01A867FC"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Unfit interventions and assurances are suggested.</w:t>
            </w:r>
          </w:p>
        </w:tc>
        <w:tc>
          <w:tcPr>
            <w:tcW w:w="4420" w:type="dxa"/>
            <w:tcBorders>
              <w:bottom w:val="single" w:sz="4" w:space="0" w:color="auto"/>
            </w:tcBorders>
            <w:shd w:val="clear" w:color="auto" w:fill="auto"/>
            <w:hideMark/>
          </w:tcPr>
          <w:p w14:paraId="34A9D463" w14:textId="77777777" w:rsidR="008267F0" w:rsidRPr="00E43A2F" w:rsidRDefault="008267F0" w:rsidP="00582A93">
            <w:pPr>
              <w:spacing w:after="120" w:line="240" w:lineRule="auto"/>
              <w:rPr>
                <w:rFonts w:eastAsia="Times New Roman" w:cstheme="minorHAnsi"/>
                <w:sz w:val="20"/>
                <w:szCs w:val="20"/>
                <w:lang w:eastAsia="en-GB"/>
              </w:rPr>
            </w:pPr>
            <w:r w:rsidRPr="00E43A2F">
              <w:rPr>
                <w:rFonts w:eastAsia="Times New Roman" w:cstheme="minorHAnsi"/>
                <w:sz w:val="20"/>
                <w:szCs w:val="20"/>
                <w:lang w:eastAsia="en-GB"/>
              </w:rPr>
              <w:t>Socio-technical perspective</w:t>
            </w:r>
            <w:r w:rsidRPr="00E43A2F">
              <w:rPr>
                <w:rFonts w:eastAsia="Times New Roman" w:cstheme="minorHAnsi"/>
                <w:sz w:val="20"/>
                <w:szCs w:val="20"/>
                <w:vertAlign w:val="superscript"/>
                <w:lang w:eastAsia="en-GB"/>
              </w:rPr>
              <w:t>T</w:t>
            </w:r>
            <w:r w:rsidRPr="00E43A2F">
              <w:rPr>
                <w:rFonts w:eastAsia="Times New Roman" w:cstheme="minorHAnsi"/>
                <w:sz w:val="20"/>
                <w:szCs w:val="20"/>
                <w:lang w:eastAsia="en-GB"/>
              </w:rPr>
              <w:t>; Systems approach to conceptualising risk</w:t>
            </w:r>
            <w:r w:rsidRPr="00E43A2F">
              <w:rPr>
                <w:rFonts w:eastAsia="Times New Roman" w:cstheme="minorHAnsi"/>
                <w:sz w:val="20"/>
                <w:szCs w:val="20"/>
                <w:vertAlign w:val="superscript"/>
                <w:lang w:eastAsia="en-GB"/>
              </w:rPr>
              <w:t>T</w:t>
            </w:r>
          </w:p>
        </w:tc>
        <w:tc>
          <w:tcPr>
            <w:tcW w:w="911" w:type="dxa"/>
            <w:tcBorders>
              <w:bottom w:val="single" w:sz="4" w:space="0" w:color="auto"/>
            </w:tcBorders>
            <w:shd w:val="clear" w:color="auto" w:fill="auto"/>
            <w:vAlign w:val="center"/>
            <w:hideMark/>
          </w:tcPr>
          <w:p w14:paraId="7245A963"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x</w:t>
            </w:r>
          </w:p>
        </w:tc>
        <w:tc>
          <w:tcPr>
            <w:tcW w:w="851" w:type="dxa"/>
            <w:tcBorders>
              <w:bottom w:val="single" w:sz="4" w:space="0" w:color="auto"/>
            </w:tcBorders>
            <w:shd w:val="clear" w:color="auto" w:fill="auto"/>
            <w:vAlign w:val="center"/>
            <w:hideMark/>
          </w:tcPr>
          <w:p w14:paraId="758034FC"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c>
          <w:tcPr>
            <w:tcW w:w="910" w:type="dxa"/>
            <w:tcBorders>
              <w:bottom w:val="single" w:sz="4" w:space="0" w:color="auto"/>
            </w:tcBorders>
            <w:shd w:val="clear" w:color="auto" w:fill="auto"/>
            <w:vAlign w:val="center"/>
            <w:hideMark/>
          </w:tcPr>
          <w:p w14:paraId="527D8D13" w14:textId="77777777" w:rsidR="008267F0" w:rsidRPr="00E43A2F" w:rsidRDefault="008267F0" w:rsidP="00582A93">
            <w:pPr>
              <w:spacing w:after="120" w:line="240" w:lineRule="auto"/>
              <w:jc w:val="center"/>
              <w:rPr>
                <w:rFonts w:eastAsia="Times New Roman" w:cstheme="minorHAnsi"/>
                <w:sz w:val="20"/>
                <w:szCs w:val="20"/>
                <w:lang w:eastAsia="en-GB"/>
              </w:rPr>
            </w:pPr>
            <w:r w:rsidRPr="00E43A2F">
              <w:rPr>
                <w:rFonts w:eastAsia="Times New Roman" w:cstheme="minorHAnsi"/>
                <w:sz w:val="20"/>
                <w:szCs w:val="20"/>
                <w:lang w:eastAsia="en-GB"/>
              </w:rPr>
              <w:t>-</w:t>
            </w:r>
          </w:p>
        </w:tc>
      </w:tr>
    </w:tbl>
    <w:p w14:paraId="4FEDB554" w14:textId="77777777" w:rsidR="008267F0" w:rsidRDefault="008267F0" w:rsidP="00D14F7E">
      <w:pPr>
        <w:sectPr w:rsidR="008267F0" w:rsidSect="008267F0">
          <w:pgSz w:w="16838" w:h="11906" w:orient="landscape"/>
          <w:pgMar w:top="1440" w:right="1440" w:bottom="1440" w:left="1440" w:header="708" w:footer="708" w:gutter="0"/>
          <w:cols w:space="708"/>
          <w:docGrid w:linePitch="360"/>
        </w:sectPr>
      </w:pPr>
    </w:p>
    <w:p w14:paraId="0DCFDB1E" w14:textId="6391155E" w:rsidR="007B37B8" w:rsidRDefault="007B37B8" w:rsidP="00D14F7E"/>
    <w:p w14:paraId="31864611" w14:textId="12705ABB" w:rsidR="00004E11" w:rsidRDefault="00004E11" w:rsidP="00B05D6C"/>
    <w:p w14:paraId="1C12E183" w14:textId="77777777" w:rsidR="00EC546B" w:rsidRDefault="00EC546B" w:rsidP="006D4CAF"/>
    <w:p w14:paraId="4E6C1F67" w14:textId="14C5E7EE" w:rsidR="006D4CAF" w:rsidRDefault="006D4CAF" w:rsidP="00F700A2">
      <w:pPr>
        <w:pStyle w:val="Heading1"/>
      </w:pPr>
      <w:r>
        <w:t>Conclusion</w:t>
      </w:r>
    </w:p>
    <w:p w14:paraId="091F891B" w14:textId="6928B99D" w:rsidR="009D0DA8" w:rsidRDefault="00123BD5" w:rsidP="00E27DC6">
      <w:r>
        <w:t xml:space="preserve">To the authors’ knowledge, this is the first paper in the field of Patient Safety Informatics that has provided a definition and explored its rationale. </w:t>
      </w:r>
      <w:r w:rsidR="00BF48F2">
        <w:t xml:space="preserve">The intention of this article was to begin the process of developing the theoretical and practical foundations of </w:t>
      </w:r>
      <w:r>
        <w:t>Patient S</w:t>
      </w:r>
      <w:r w:rsidR="00BF48F2">
        <w:t xml:space="preserve">afety </w:t>
      </w:r>
      <w:r>
        <w:t>I</w:t>
      </w:r>
      <w:r w:rsidR="00BF48F2">
        <w:t xml:space="preserve">nformatics, </w:t>
      </w:r>
      <w:r w:rsidR="000C18C4">
        <w:t xml:space="preserve">answering calls for </w:t>
      </w:r>
      <w:r w:rsidR="00E014A9">
        <w:t xml:space="preserve">practical progress in safety science </w:t>
      </w:r>
      <w:r w:rsidR="00E014A9">
        <w:fldChar w:fldCharType="begin" w:fldLock="1"/>
      </w:r>
      <w:r w:rsidR="00E014A9">
        <w:instrText>ADDIN CSL_CITATION {"citationItems":[{"id":"ITEM-1","itemData":{"DOI":"10.1016/j.ssci.2020.104654","ISSN":"18791042","abstract":"In the field of safety science, we have stopped competing empirically. The theorists fight each other with keynotes and editorials, the empiricists tinker within the boundaries of existing theory, and the practitioners use neither theory nor evidence to determine their activities. As a result, safety science is advancing very slowly, despite a high and increasing volume of research activity and publication. The journal Safety Science alone has published over a thousand articles in the past five years and has rejected over five thousand. Some of those articles were the capstones of PhD projects. Some were the outputs of publicly or industry-funded research. Most represented hundreds of hours of intellectual labour, and substantial emotional commitment. Taken together, this is a massive program of work that has had a marginal impact on moving existing theory or improving safety practice. Whilst it is tempting to believe that this is just the normal grunt-work of science – small steps, dead ends, and occasional breakthroughs – a close examination of the work being produced makes clear that the unproductive effort is not necessary swarf from the machine-work of making knowledge, but waste caused by poorly directed or poorly designed research. Such squandering of energy, talent and resources makes us furious. This paper, targeted at the Special Issue on the Future of Safety Science, is a proposal for how we should frame our empirical contributions so that safety science (and the journal Safety Science) has a positive future. For a field of research to move forward, each new project or paper must strive to change what has come before – adding, synthesising, testing, tearing down or making anew. Not every piece of work will be successful in creating lasting change – but every piece of work must genuinely try to advance current theory. The paper frames and justifies a set of commitments by the authors in order to find a brighter future for safety science and invites readers to share those commitments.","author":[{"dropping-particle":"","family":"Rae","given":"Andrew","non-dropping-particle":"","parse-names":false,"suffix":""},{"dropping-particle":"","family":"Provan","given":"David","non-dropping-particle":"","parse-names":false,"suffix":""},{"dropping-particle":"","family":"Aboelssaad","given":"Hossam","non-dropping-particle":"","parse-names":false,"suffix":""},{"dropping-particle":"","family":"Alexander","given":"Rob","non-dropping-particle":"","parse-names":false,"suffix":""}],"container-title":"Safety Science","id":"ITEM-1","issue":"June","issued":{"date-parts":[["2020"]]},"title":"A manifesto for Reality-based Safety Science","type":"article-journal","volume":"126"},"uris":["http://www.mendeley.com/documents/?uuid=99972d8d-196d-4a3a-b777-5ccd4da08d63"]}],"mendeley":{"formattedCitation":"(Rae &lt;i&gt;et al.&lt;/i&gt;, 2020)","plainTextFormattedCitation":"(Rae et al., 2020)","previouslyFormattedCitation":"(Rae &lt;i&gt;et al.&lt;/i&gt;, 2020)"},"properties":{"noteIndex":0},"schema":"https://github.com/citation-style-language/schema/raw/master/csl-citation.json"}</w:instrText>
      </w:r>
      <w:r w:rsidR="00E014A9">
        <w:fldChar w:fldCharType="separate"/>
      </w:r>
      <w:r w:rsidR="00E014A9" w:rsidRPr="00E014A9">
        <w:rPr>
          <w:noProof/>
        </w:rPr>
        <w:t xml:space="preserve">(Rae </w:t>
      </w:r>
      <w:r w:rsidR="00E014A9" w:rsidRPr="00E014A9">
        <w:rPr>
          <w:i/>
          <w:noProof/>
        </w:rPr>
        <w:t>et al.</w:t>
      </w:r>
      <w:r w:rsidR="00E014A9" w:rsidRPr="00E014A9">
        <w:rPr>
          <w:noProof/>
        </w:rPr>
        <w:t>, 2020)</w:t>
      </w:r>
      <w:r w:rsidR="00E014A9">
        <w:fldChar w:fldCharType="end"/>
      </w:r>
      <w:r w:rsidR="00E014A9">
        <w:t xml:space="preserve"> and </w:t>
      </w:r>
      <w:r w:rsidR="00BF48F2">
        <w:t xml:space="preserve">a unifying theory </w:t>
      </w:r>
      <w:r w:rsidR="00BF48F2">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rsidR="00BF48F2">
        <w:fldChar w:fldCharType="separate"/>
      </w:r>
      <w:r w:rsidR="00351A05" w:rsidRPr="00351A05">
        <w:rPr>
          <w:noProof/>
        </w:rPr>
        <w:t xml:space="preserve">(Swuste </w:t>
      </w:r>
      <w:r w:rsidR="00351A05" w:rsidRPr="00351A05">
        <w:rPr>
          <w:i/>
          <w:noProof/>
        </w:rPr>
        <w:t>et al.</w:t>
      </w:r>
      <w:r w:rsidR="00351A05" w:rsidRPr="00351A05">
        <w:rPr>
          <w:noProof/>
        </w:rPr>
        <w:t>, 2020)</w:t>
      </w:r>
      <w:r w:rsidR="00BF48F2">
        <w:fldChar w:fldCharType="end"/>
      </w:r>
      <w:r w:rsidR="004345C6">
        <w:t xml:space="preserve">. We presented six challenges posed by new and emerging </w:t>
      </w:r>
      <w:r>
        <w:t>digital health</w:t>
      </w:r>
      <w:r w:rsidR="004345C6">
        <w:t>, described the implications for pa</w:t>
      </w:r>
      <w:r w:rsidR="000C18C4">
        <w:t>tient safety, and recommended</w:t>
      </w:r>
      <w:r w:rsidR="004E2BCB">
        <w:t xml:space="preserve"> theoretical and practical mitigations</w:t>
      </w:r>
      <w:r w:rsidR="004345C6">
        <w:t>. These challenges, implications and recommendations were gathered at a workshop of health informatics researchers</w:t>
      </w:r>
      <w:r w:rsidR="004345C6" w:rsidRPr="00AA44BF">
        <w:t xml:space="preserve"> </w:t>
      </w:r>
      <w:r w:rsidR="004345C6">
        <w:t>focused on exploring the theoretica</w:t>
      </w:r>
      <w:r>
        <w:t xml:space="preserve">l and practical foundations of </w:t>
      </w:r>
      <w:bookmarkStart w:id="10" w:name="_GoBack"/>
      <w:bookmarkEnd w:id="10"/>
      <w:r>
        <w:t>Patient S</w:t>
      </w:r>
      <w:r w:rsidR="004345C6">
        <w:t xml:space="preserve">afety </w:t>
      </w:r>
      <w:r>
        <w:t>I</w:t>
      </w:r>
      <w:r w:rsidR="004345C6">
        <w:t>nformatics.</w:t>
      </w:r>
      <w:r w:rsidR="004E2BCB">
        <w:t xml:space="preserve"> </w:t>
      </w:r>
      <w:r w:rsidR="00A2296F">
        <w:t xml:space="preserve">Subsequent workshops in our </w:t>
      </w:r>
      <w:r w:rsidR="000C18C4">
        <w:t xml:space="preserve">series </w:t>
      </w:r>
      <w:r w:rsidR="00A2296F">
        <w:t>will address t</w:t>
      </w:r>
      <w:r w:rsidR="00A2296F" w:rsidRPr="00A2296F">
        <w:t>he implications of contemporary safety theory for digital innovation</w:t>
      </w:r>
      <w:r w:rsidR="00A2296F">
        <w:t>, socio</w:t>
      </w:r>
      <w:r>
        <w:t>-</w:t>
      </w:r>
      <w:r w:rsidR="00A2296F">
        <w:t xml:space="preserve">technical evaluation of digital </w:t>
      </w:r>
      <w:r>
        <w:t>health</w:t>
      </w:r>
      <w:r w:rsidR="00A2296F">
        <w:t xml:space="preserve">, and digital </w:t>
      </w:r>
      <w:r>
        <w:t xml:space="preserve">health interventions </w:t>
      </w:r>
      <w:r w:rsidR="00A2296F">
        <w:t xml:space="preserve">designed to improve patient safety </w:t>
      </w:r>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r w:rsidR="00A2296F">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5D1AD768" w:rsidR="000B2D7E" w:rsidRDefault="000B2D7E" w:rsidP="00F700A2">
      <w:pPr>
        <w:pStyle w:val="Heading1"/>
      </w:pPr>
      <w:r>
        <w:t>References</w:t>
      </w:r>
    </w:p>
    <w:p w14:paraId="37E9A95F" w14:textId="5C291CB7" w:rsidR="006B7DC7" w:rsidRPr="006B7DC7" w:rsidRDefault="006B7DC7" w:rsidP="006B7DC7">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Pr="006B7DC7">
        <w:rPr>
          <w:rFonts w:ascii="Calibri" w:hAnsi="Calibri" w:cs="Calibri"/>
          <w:noProof/>
          <w:szCs w:val="24"/>
        </w:rPr>
        <w:t xml:space="preserve">Aceto, G., Persico, V. and Pescapé, A. (2020) ‘Industry 4.0 and Health: Internet of Things, Big Data, and Cloud Computing’, </w:t>
      </w:r>
      <w:r w:rsidRPr="006B7DC7">
        <w:rPr>
          <w:rFonts w:ascii="Calibri" w:hAnsi="Calibri" w:cs="Calibri"/>
          <w:i/>
          <w:iCs/>
          <w:noProof/>
          <w:szCs w:val="24"/>
        </w:rPr>
        <w:t>Journal of Industrial Information Integration</w:t>
      </w:r>
      <w:r w:rsidRPr="006B7DC7">
        <w:rPr>
          <w:rFonts w:ascii="Calibri" w:hAnsi="Calibri" w:cs="Calibri"/>
          <w:noProof/>
          <w:szCs w:val="24"/>
        </w:rPr>
        <w:t>. Elsevier, 18, p. 100129. doi: 10.1016/j.jii.2020.100129.</w:t>
      </w:r>
    </w:p>
    <w:p w14:paraId="1A137C2D"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Alaszewski, A. (2003) ‘Risk, trust and health’, </w:t>
      </w:r>
      <w:r w:rsidRPr="006B7DC7">
        <w:rPr>
          <w:rFonts w:ascii="Calibri" w:hAnsi="Calibri" w:cs="Calibri"/>
          <w:i/>
          <w:iCs/>
          <w:noProof/>
          <w:szCs w:val="24"/>
        </w:rPr>
        <w:t>Health, Risk and Society</w:t>
      </w:r>
      <w:r w:rsidRPr="006B7DC7">
        <w:rPr>
          <w:rFonts w:ascii="Calibri" w:hAnsi="Calibri" w:cs="Calibri"/>
          <w:noProof/>
          <w:szCs w:val="24"/>
        </w:rPr>
        <w:t>, 5(3), pp. 235–239. doi: 10.1080/13698570310001606941.</w:t>
      </w:r>
    </w:p>
    <w:p w14:paraId="788F9BF1"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Arnold, M. </w:t>
      </w:r>
      <w:r w:rsidRPr="006B7DC7">
        <w:rPr>
          <w:rFonts w:ascii="Calibri" w:hAnsi="Calibri" w:cs="Calibri"/>
          <w:i/>
          <w:iCs/>
          <w:noProof/>
          <w:szCs w:val="24"/>
        </w:rPr>
        <w:t>et al.</w:t>
      </w:r>
      <w:r w:rsidRPr="006B7DC7">
        <w:rPr>
          <w:rFonts w:ascii="Calibri" w:hAnsi="Calibri" w:cs="Calibri"/>
          <w:noProof/>
          <w:szCs w:val="24"/>
        </w:rPr>
        <w:t xml:space="preserve"> (2019) ‘FactSheets: Increasing trust in AI services through supplier’s declarations of conformity’, </w:t>
      </w:r>
      <w:r w:rsidRPr="006B7DC7">
        <w:rPr>
          <w:rFonts w:ascii="Calibri" w:hAnsi="Calibri" w:cs="Calibri"/>
          <w:i/>
          <w:iCs/>
          <w:noProof/>
          <w:szCs w:val="24"/>
        </w:rPr>
        <w:t>IBM Journal of Research and Development</w:t>
      </w:r>
      <w:r w:rsidRPr="006B7DC7">
        <w:rPr>
          <w:rFonts w:ascii="Calibri" w:hAnsi="Calibri" w:cs="Calibri"/>
          <w:noProof/>
          <w:szCs w:val="24"/>
        </w:rPr>
        <w:t>, 63(4–5). doi: 10.1147/JRD.2019.2942288.</w:t>
      </w:r>
    </w:p>
    <w:p w14:paraId="385E6556"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Bakken, S., Cimino, J. J. and Hripcsak, G. (2004) ‘Promoting patient safety and enabling evidence-based practice through informatics.’, </w:t>
      </w:r>
      <w:r w:rsidRPr="006B7DC7">
        <w:rPr>
          <w:rFonts w:ascii="Calibri" w:hAnsi="Calibri" w:cs="Calibri"/>
          <w:i/>
          <w:iCs/>
          <w:noProof/>
          <w:szCs w:val="24"/>
        </w:rPr>
        <w:t>Medical care</w:t>
      </w:r>
      <w:r w:rsidRPr="006B7DC7">
        <w:rPr>
          <w:rFonts w:ascii="Calibri" w:hAnsi="Calibri" w:cs="Calibri"/>
          <w:noProof/>
          <w:szCs w:val="24"/>
        </w:rPr>
        <w:t>, 42(2 Suppl), pp. 49–56. doi: 10.1097/01.mlr.0000109125.00113.f4.</w:t>
      </w:r>
    </w:p>
    <w:p w14:paraId="18626697"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Banerjee, A. (2019) ‘Digital health interventions and inequalities: The case for a new paradigm’, </w:t>
      </w:r>
      <w:r w:rsidRPr="006B7DC7">
        <w:rPr>
          <w:rFonts w:ascii="Calibri" w:hAnsi="Calibri" w:cs="Calibri"/>
          <w:i/>
          <w:iCs/>
          <w:noProof/>
          <w:szCs w:val="24"/>
        </w:rPr>
        <w:t>BMJ Evidence-Based Medicine</w:t>
      </w:r>
      <w:r w:rsidRPr="006B7DC7">
        <w:rPr>
          <w:rFonts w:ascii="Calibri" w:hAnsi="Calibri" w:cs="Calibri"/>
          <w:noProof/>
          <w:szCs w:val="24"/>
        </w:rPr>
        <w:t>, 2, pp. 2–5. doi: 10.1136/bmjebm-2019-111282.</w:t>
      </w:r>
    </w:p>
    <w:p w14:paraId="12067A3D"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Beam, A. L. and Kohane, I. S. (2018) ‘Big Data and Machine Learning in Health Care’, </w:t>
      </w:r>
      <w:r w:rsidRPr="006B7DC7">
        <w:rPr>
          <w:rFonts w:ascii="Calibri" w:hAnsi="Calibri" w:cs="Calibri"/>
          <w:i/>
          <w:iCs/>
          <w:noProof/>
          <w:szCs w:val="24"/>
        </w:rPr>
        <w:t>JAMA</w:t>
      </w:r>
      <w:r w:rsidRPr="006B7DC7">
        <w:rPr>
          <w:rFonts w:ascii="Calibri" w:hAnsi="Calibri" w:cs="Calibri"/>
          <w:noProof/>
          <w:szCs w:val="24"/>
        </w:rPr>
        <w:t>, 319(13), pp. 1317–1318. doi: 10.1001/jama.2017.18391.</w:t>
      </w:r>
    </w:p>
    <w:p w14:paraId="1D8C1F4C"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Begun, J. W., Zimmerman, B. and Dooley, K. (2003) ‘Health Care Organizations as Complex Adaptive Systems’, in Mick, S. M. and Wyttenbach, M. (eds) </w:t>
      </w:r>
      <w:r w:rsidRPr="006B7DC7">
        <w:rPr>
          <w:rFonts w:ascii="Calibri" w:hAnsi="Calibri" w:cs="Calibri"/>
          <w:i/>
          <w:iCs/>
          <w:noProof/>
          <w:szCs w:val="24"/>
        </w:rPr>
        <w:t>Advances in Health Care Organization Theory</w:t>
      </w:r>
      <w:r w:rsidRPr="006B7DC7">
        <w:rPr>
          <w:rFonts w:ascii="Calibri" w:hAnsi="Calibri" w:cs="Calibri"/>
          <w:noProof/>
          <w:szCs w:val="24"/>
        </w:rPr>
        <w:t>. 1st edn. San Francisco, CA: Jossey-Bass, pp. 253–288.</w:t>
      </w:r>
    </w:p>
    <w:p w14:paraId="239975BC"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Benbya, H. </w:t>
      </w:r>
      <w:r w:rsidRPr="006B7DC7">
        <w:rPr>
          <w:rFonts w:ascii="Calibri" w:hAnsi="Calibri" w:cs="Calibri"/>
          <w:i/>
          <w:iCs/>
          <w:noProof/>
          <w:szCs w:val="24"/>
        </w:rPr>
        <w:t>et al.</w:t>
      </w:r>
      <w:r w:rsidRPr="006B7DC7">
        <w:rPr>
          <w:rFonts w:ascii="Calibri" w:hAnsi="Calibri" w:cs="Calibri"/>
          <w:noProof/>
          <w:szCs w:val="24"/>
        </w:rPr>
        <w:t xml:space="preserve"> (2020) ‘Complexity and Information Systems Research in the Emerging Digital World’, </w:t>
      </w:r>
      <w:r w:rsidRPr="006B7DC7">
        <w:rPr>
          <w:rFonts w:ascii="Calibri" w:hAnsi="Calibri" w:cs="Calibri"/>
          <w:i/>
          <w:iCs/>
          <w:noProof/>
          <w:szCs w:val="24"/>
        </w:rPr>
        <w:t>Management Information Systems Quarterly</w:t>
      </w:r>
      <w:r w:rsidRPr="006B7DC7">
        <w:rPr>
          <w:rFonts w:ascii="Calibri" w:hAnsi="Calibri" w:cs="Calibri"/>
          <w:noProof/>
          <w:szCs w:val="24"/>
        </w:rPr>
        <w:t>, 44(1), p. 1.</w:t>
      </w:r>
    </w:p>
    <w:p w14:paraId="51467FF1"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Bishop, P. and Bloomfield, R. (2000) ‘A Methodology for Safety Case Development’, </w:t>
      </w:r>
      <w:r w:rsidRPr="006B7DC7">
        <w:rPr>
          <w:rFonts w:ascii="Calibri" w:hAnsi="Calibri" w:cs="Calibri"/>
          <w:i/>
          <w:iCs/>
          <w:noProof/>
          <w:szCs w:val="24"/>
        </w:rPr>
        <w:t>Safety and Reliability</w:t>
      </w:r>
      <w:r w:rsidRPr="006B7DC7">
        <w:rPr>
          <w:rFonts w:ascii="Calibri" w:hAnsi="Calibri" w:cs="Calibri"/>
          <w:noProof/>
          <w:szCs w:val="24"/>
        </w:rPr>
        <w:t>, 20(1), pp. 34–42. doi: 10.1080/09617353.2000.11690698.</w:t>
      </w:r>
    </w:p>
    <w:p w14:paraId="18A727CE"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Calnan, M. and Rowe, R. (2006) ‘Researching trust relations in health care: Conceptual and methodological challenges – an introduction’, </w:t>
      </w:r>
      <w:r w:rsidRPr="006B7DC7">
        <w:rPr>
          <w:rFonts w:ascii="Calibri" w:hAnsi="Calibri" w:cs="Calibri"/>
          <w:i/>
          <w:iCs/>
          <w:noProof/>
          <w:szCs w:val="24"/>
        </w:rPr>
        <w:t>Journal of Health Organization and Management</w:t>
      </w:r>
      <w:r w:rsidRPr="006B7DC7">
        <w:rPr>
          <w:rFonts w:ascii="Calibri" w:hAnsi="Calibri" w:cs="Calibri"/>
          <w:noProof/>
          <w:szCs w:val="24"/>
        </w:rPr>
        <w:t>, 20(5), pp. 349–358. doi: 10.1108/14777260610701759.</w:t>
      </w:r>
    </w:p>
    <w:p w14:paraId="5FAEC8D9"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Carayon, P. </w:t>
      </w:r>
      <w:r w:rsidRPr="006B7DC7">
        <w:rPr>
          <w:rFonts w:ascii="Calibri" w:hAnsi="Calibri" w:cs="Calibri"/>
          <w:i/>
          <w:iCs/>
          <w:noProof/>
          <w:szCs w:val="24"/>
        </w:rPr>
        <w:t>et al.</w:t>
      </w:r>
      <w:r w:rsidRPr="006B7DC7">
        <w:rPr>
          <w:rFonts w:ascii="Calibri" w:hAnsi="Calibri" w:cs="Calibri"/>
          <w:noProof/>
          <w:szCs w:val="24"/>
        </w:rPr>
        <w:t xml:space="preserve"> (2015) ‘Advancing a sociotechnical systems approach to workplace safety-developing the conceptual framework’, </w:t>
      </w:r>
      <w:r w:rsidRPr="006B7DC7">
        <w:rPr>
          <w:rFonts w:ascii="Calibri" w:hAnsi="Calibri" w:cs="Calibri"/>
          <w:i/>
          <w:iCs/>
          <w:noProof/>
          <w:szCs w:val="24"/>
        </w:rPr>
        <w:t>Ergonomics</w:t>
      </w:r>
      <w:r w:rsidRPr="006B7DC7">
        <w:rPr>
          <w:rFonts w:ascii="Calibri" w:hAnsi="Calibri" w:cs="Calibri"/>
          <w:noProof/>
          <w:szCs w:val="24"/>
        </w:rPr>
        <w:t>. 2015/04/03, 58(4), pp. 548–564. doi: 10.1080/00140139.2015.1015623.</w:t>
      </w:r>
    </w:p>
    <w:p w14:paraId="4F5C23D1"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Challen, R. </w:t>
      </w:r>
      <w:r w:rsidRPr="006B7DC7">
        <w:rPr>
          <w:rFonts w:ascii="Calibri" w:hAnsi="Calibri" w:cs="Calibri"/>
          <w:i/>
          <w:iCs/>
          <w:noProof/>
          <w:szCs w:val="24"/>
        </w:rPr>
        <w:t>et al.</w:t>
      </w:r>
      <w:r w:rsidRPr="006B7DC7">
        <w:rPr>
          <w:rFonts w:ascii="Calibri" w:hAnsi="Calibri" w:cs="Calibri"/>
          <w:noProof/>
          <w:szCs w:val="24"/>
        </w:rPr>
        <w:t xml:space="preserve"> (2019) ‘Artificial intelligence, bias and clinical safety’, </w:t>
      </w:r>
      <w:r w:rsidRPr="006B7DC7">
        <w:rPr>
          <w:rFonts w:ascii="Calibri" w:hAnsi="Calibri" w:cs="Calibri"/>
          <w:i/>
          <w:iCs/>
          <w:noProof/>
          <w:szCs w:val="24"/>
        </w:rPr>
        <w:t>BMJ Quality and Safety</w:t>
      </w:r>
      <w:r w:rsidRPr="006B7DC7">
        <w:rPr>
          <w:rFonts w:ascii="Calibri" w:hAnsi="Calibri" w:cs="Calibri"/>
          <w:noProof/>
          <w:szCs w:val="24"/>
        </w:rPr>
        <w:t>, 28(3), pp. 231–237. doi: 10.1136/bmjqs-2018-008370.</w:t>
      </w:r>
    </w:p>
    <w:p w14:paraId="1CD6F3DA"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Classen, D. (2003) ‘Medication Safety: Moving from illusion to reality’, </w:t>
      </w:r>
      <w:r w:rsidRPr="006B7DC7">
        <w:rPr>
          <w:rFonts w:ascii="Calibri" w:hAnsi="Calibri" w:cs="Calibri"/>
          <w:i/>
          <w:iCs/>
          <w:noProof/>
          <w:szCs w:val="24"/>
        </w:rPr>
        <w:t>JAMA</w:t>
      </w:r>
      <w:r w:rsidRPr="006B7DC7">
        <w:rPr>
          <w:rFonts w:ascii="Calibri" w:hAnsi="Calibri" w:cs="Calibri"/>
          <w:noProof/>
          <w:szCs w:val="24"/>
        </w:rPr>
        <w:t>, 289(9), pp. 1154–1156.</w:t>
      </w:r>
    </w:p>
    <w:p w14:paraId="7D55AD63"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Cook, R. and Rasmussen, J. (2005) ‘“Going solid”: A model of system dynamics and consequences for patient safety’, </w:t>
      </w:r>
      <w:r w:rsidRPr="006B7DC7">
        <w:rPr>
          <w:rFonts w:ascii="Calibri" w:hAnsi="Calibri" w:cs="Calibri"/>
          <w:i/>
          <w:iCs/>
          <w:noProof/>
          <w:szCs w:val="24"/>
        </w:rPr>
        <w:t>Quality and Safety in Health Care</w:t>
      </w:r>
      <w:r w:rsidRPr="006B7DC7">
        <w:rPr>
          <w:rFonts w:ascii="Calibri" w:hAnsi="Calibri" w:cs="Calibri"/>
          <w:noProof/>
          <w:szCs w:val="24"/>
        </w:rPr>
        <w:t>, 14(2), pp. 130–134. doi: 10.1136/qshc.2003.009530.</w:t>
      </w:r>
    </w:p>
    <w:p w14:paraId="5AE99BD6"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Denney, E., Pai, G. and Habli, I. (2015) ‘Dynamic Safety Cases for Through-Life Safety Assurance’, </w:t>
      </w:r>
      <w:r w:rsidRPr="006B7DC7">
        <w:rPr>
          <w:rFonts w:ascii="Calibri" w:hAnsi="Calibri" w:cs="Calibri"/>
          <w:i/>
          <w:iCs/>
          <w:noProof/>
          <w:szCs w:val="24"/>
        </w:rPr>
        <w:t>Proceedings - International Conference on Software Engineering</w:t>
      </w:r>
      <w:r w:rsidRPr="006B7DC7">
        <w:rPr>
          <w:rFonts w:ascii="Calibri" w:hAnsi="Calibri" w:cs="Calibri"/>
          <w:noProof/>
          <w:szCs w:val="24"/>
        </w:rPr>
        <w:t>. IEEE, 2(2), pp. 587–590. doi: 10.1109/ICSE.2015.199.</w:t>
      </w:r>
    </w:p>
    <w:p w14:paraId="4F0C37BC"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Despotou, G. </w:t>
      </w:r>
      <w:r w:rsidRPr="006B7DC7">
        <w:rPr>
          <w:rFonts w:ascii="Calibri" w:hAnsi="Calibri" w:cs="Calibri"/>
          <w:i/>
          <w:iCs/>
          <w:noProof/>
          <w:szCs w:val="24"/>
        </w:rPr>
        <w:t>et al.</w:t>
      </w:r>
      <w:r w:rsidRPr="006B7DC7">
        <w:rPr>
          <w:rFonts w:ascii="Calibri" w:hAnsi="Calibri" w:cs="Calibri"/>
          <w:noProof/>
          <w:szCs w:val="24"/>
        </w:rPr>
        <w:t xml:space="preserve"> (2012) ‘Introducing safety cases for health IT’, </w:t>
      </w:r>
      <w:r w:rsidRPr="006B7DC7">
        <w:rPr>
          <w:rFonts w:ascii="Calibri" w:hAnsi="Calibri" w:cs="Calibri"/>
          <w:i/>
          <w:iCs/>
          <w:noProof/>
          <w:szCs w:val="24"/>
        </w:rPr>
        <w:t>2012 4th International Workshop on Software Engineering in Health Care, SEHC 2012 - Proceedings</w:t>
      </w:r>
      <w:r w:rsidRPr="006B7DC7">
        <w:rPr>
          <w:rFonts w:ascii="Calibri" w:hAnsi="Calibri" w:cs="Calibri"/>
          <w:noProof/>
          <w:szCs w:val="24"/>
        </w:rPr>
        <w:t>, pp. 44–50. doi: 10.1109/SEHC.2012.6227010.</w:t>
      </w:r>
    </w:p>
    <w:p w14:paraId="22C2FCB8"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Díaz, M., Martín, C. and Rubio, B. (2016) ‘State-of-the-art, challenges, and open issues in the integration of Internet of things and cloud computing’, </w:t>
      </w:r>
      <w:r w:rsidRPr="006B7DC7">
        <w:rPr>
          <w:rFonts w:ascii="Calibri" w:hAnsi="Calibri" w:cs="Calibri"/>
          <w:i/>
          <w:iCs/>
          <w:noProof/>
          <w:szCs w:val="24"/>
        </w:rPr>
        <w:t>Journal of Network and Computer Applications</w:t>
      </w:r>
      <w:r w:rsidRPr="006B7DC7">
        <w:rPr>
          <w:rFonts w:ascii="Calibri" w:hAnsi="Calibri" w:cs="Calibri"/>
          <w:noProof/>
          <w:szCs w:val="24"/>
        </w:rPr>
        <w:t>. Elsevier, 67, pp. 99–117. doi: 10.1016/j.jnca.2016.01.010.</w:t>
      </w:r>
    </w:p>
    <w:p w14:paraId="2D65D505"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Farahani, B. </w:t>
      </w:r>
      <w:r w:rsidRPr="006B7DC7">
        <w:rPr>
          <w:rFonts w:ascii="Calibri" w:hAnsi="Calibri" w:cs="Calibri"/>
          <w:i/>
          <w:iCs/>
          <w:noProof/>
          <w:szCs w:val="24"/>
        </w:rPr>
        <w:t>et al.</w:t>
      </w:r>
      <w:r w:rsidRPr="006B7DC7">
        <w:rPr>
          <w:rFonts w:ascii="Calibri" w:hAnsi="Calibri" w:cs="Calibri"/>
          <w:noProof/>
          <w:szCs w:val="24"/>
        </w:rPr>
        <w:t xml:space="preserve"> (2018) ‘Towards fog-driven IoT eHealth: Promises and challenges of IoT in medicine and healthcare’, </w:t>
      </w:r>
      <w:r w:rsidRPr="006B7DC7">
        <w:rPr>
          <w:rFonts w:ascii="Calibri" w:hAnsi="Calibri" w:cs="Calibri"/>
          <w:i/>
          <w:iCs/>
          <w:noProof/>
          <w:szCs w:val="24"/>
        </w:rPr>
        <w:t>Future Generation Computer Systems</w:t>
      </w:r>
      <w:r w:rsidRPr="006B7DC7">
        <w:rPr>
          <w:rFonts w:ascii="Calibri" w:hAnsi="Calibri" w:cs="Calibri"/>
          <w:noProof/>
          <w:szCs w:val="24"/>
        </w:rPr>
        <w:t>, 78, pp. 659–676. doi: 10.1016/j.future.2017.04.036.</w:t>
      </w:r>
    </w:p>
    <w:p w14:paraId="36A9E0CE"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Flood, M. and Habli, I. (2011) ‘Multi-view safety cases’, </w:t>
      </w:r>
      <w:r w:rsidRPr="006B7DC7">
        <w:rPr>
          <w:rFonts w:ascii="Calibri" w:hAnsi="Calibri" w:cs="Calibri"/>
          <w:i/>
          <w:iCs/>
          <w:noProof/>
          <w:szCs w:val="24"/>
        </w:rPr>
        <w:t>IET Conference Publications</w:t>
      </w:r>
      <w:r w:rsidRPr="006B7DC7">
        <w:rPr>
          <w:rFonts w:ascii="Calibri" w:hAnsi="Calibri" w:cs="Calibri"/>
          <w:noProof/>
          <w:szCs w:val="24"/>
        </w:rPr>
        <w:t>, 2011(578 CP), pp. 1–6. doi: 10.1049/cp.2011.0260.</w:t>
      </w:r>
    </w:p>
    <w:p w14:paraId="2E221D5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Gammack, J., Hobbs, V. and Pigott, D. (2011) </w:t>
      </w:r>
      <w:r w:rsidRPr="006B7DC7">
        <w:rPr>
          <w:rFonts w:ascii="Calibri" w:hAnsi="Calibri" w:cs="Calibri"/>
          <w:i/>
          <w:iCs/>
          <w:noProof/>
          <w:szCs w:val="24"/>
        </w:rPr>
        <w:t>The Book of Informatics</w:t>
      </w:r>
      <w:r w:rsidRPr="006B7DC7">
        <w:rPr>
          <w:rFonts w:ascii="Calibri" w:hAnsi="Calibri" w:cs="Calibri"/>
          <w:noProof/>
          <w:szCs w:val="24"/>
        </w:rPr>
        <w:t>. Cengage Learning.</w:t>
      </w:r>
    </w:p>
    <w:p w14:paraId="6DCBAE80"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Gann, B. (2019) ‘Transforming lives: Combating digital health inequality’, </w:t>
      </w:r>
      <w:r w:rsidRPr="006B7DC7">
        <w:rPr>
          <w:rFonts w:ascii="Calibri" w:hAnsi="Calibri" w:cs="Calibri"/>
          <w:i/>
          <w:iCs/>
          <w:noProof/>
          <w:szCs w:val="24"/>
        </w:rPr>
        <w:t>IFLA Journal</w:t>
      </w:r>
      <w:r w:rsidRPr="006B7DC7">
        <w:rPr>
          <w:rFonts w:ascii="Calibri" w:hAnsi="Calibri" w:cs="Calibri"/>
          <w:noProof/>
          <w:szCs w:val="24"/>
        </w:rPr>
        <w:t>, 45(3), pp. 187–198. doi: 10.1177/0340035219845013.</w:t>
      </w:r>
    </w:p>
    <w:p w14:paraId="39F24AED"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Gardner, J. and Warren, N. (2019) ‘Learning from deep brain stimulation: the fallacy of techno-solutionism and the need for “regimes of care”’, </w:t>
      </w:r>
      <w:r w:rsidRPr="006B7DC7">
        <w:rPr>
          <w:rFonts w:ascii="Calibri" w:hAnsi="Calibri" w:cs="Calibri"/>
          <w:i/>
          <w:iCs/>
          <w:noProof/>
          <w:szCs w:val="24"/>
        </w:rPr>
        <w:t>Medicine, Health Care and Philosophy</w:t>
      </w:r>
      <w:r w:rsidRPr="006B7DC7">
        <w:rPr>
          <w:rFonts w:ascii="Calibri" w:hAnsi="Calibri" w:cs="Calibri"/>
          <w:noProof/>
          <w:szCs w:val="24"/>
        </w:rPr>
        <w:t>. Springer Netherlands, 22(3), pp. 363–374. doi: 10.1007/s11019-018-9858-6.</w:t>
      </w:r>
    </w:p>
    <w:p w14:paraId="1F314BA1"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Glikson, E. and Woolley, A. W. (2020) ‘Human Trust in Artificial Intelligence: Review of Empirical Research’, </w:t>
      </w:r>
      <w:r w:rsidRPr="006B7DC7">
        <w:rPr>
          <w:rFonts w:ascii="Calibri" w:hAnsi="Calibri" w:cs="Calibri"/>
          <w:i/>
          <w:iCs/>
          <w:noProof/>
          <w:szCs w:val="24"/>
        </w:rPr>
        <w:t>Academy of Management Annals</w:t>
      </w:r>
      <w:r w:rsidRPr="006B7DC7">
        <w:rPr>
          <w:rFonts w:ascii="Calibri" w:hAnsi="Calibri" w:cs="Calibri"/>
          <w:noProof/>
          <w:szCs w:val="24"/>
        </w:rPr>
        <w:t>. doi: 10.5465/annals.2018.0057.</w:t>
      </w:r>
    </w:p>
    <w:p w14:paraId="412F17AF"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Gómez-González, E. </w:t>
      </w:r>
      <w:r w:rsidRPr="006B7DC7">
        <w:rPr>
          <w:rFonts w:ascii="Calibri" w:hAnsi="Calibri" w:cs="Calibri"/>
          <w:i/>
          <w:iCs/>
          <w:noProof/>
          <w:szCs w:val="24"/>
        </w:rPr>
        <w:t>et al.</w:t>
      </w:r>
      <w:r w:rsidRPr="006B7DC7">
        <w:rPr>
          <w:rFonts w:ascii="Calibri" w:hAnsi="Calibri" w:cs="Calibri"/>
          <w:noProof/>
          <w:szCs w:val="24"/>
        </w:rPr>
        <w:t xml:space="preserve"> (2020) ‘Artificial intelligence in medicine and healthcare: a review and classification of current and near-future applications and their ethical and social Impact’, </w:t>
      </w:r>
      <w:r w:rsidRPr="006B7DC7">
        <w:rPr>
          <w:rFonts w:ascii="Calibri" w:hAnsi="Calibri" w:cs="Calibri"/>
          <w:i/>
          <w:iCs/>
          <w:noProof/>
          <w:szCs w:val="24"/>
        </w:rPr>
        <w:t>arXiv</w:t>
      </w:r>
      <w:r w:rsidRPr="006B7DC7">
        <w:rPr>
          <w:rFonts w:ascii="Calibri" w:hAnsi="Calibri" w:cs="Calibri"/>
          <w:noProof/>
          <w:szCs w:val="24"/>
        </w:rPr>
        <w:t>. Available at: http://arxiv.org/abs/2001.09778.</w:t>
      </w:r>
    </w:p>
    <w:p w14:paraId="46AC7741"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Habli, I. </w:t>
      </w:r>
      <w:r w:rsidRPr="006B7DC7">
        <w:rPr>
          <w:rFonts w:ascii="Calibri" w:hAnsi="Calibri" w:cs="Calibri"/>
          <w:i/>
          <w:iCs/>
          <w:noProof/>
          <w:szCs w:val="24"/>
        </w:rPr>
        <w:t>et al.</w:t>
      </w:r>
      <w:r w:rsidRPr="006B7DC7">
        <w:rPr>
          <w:rFonts w:ascii="Calibri" w:hAnsi="Calibri" w:cs="Calibri"/>
          <w:noProof/>
          <w:szCs w:val="24"/>
        </w:rPr>
        <w:t xml:space="preserve"> (2018) ‘What is the safety case for health IT? A study of assurance practices in England’, </w:t>
      </w:r>
      <w:r w:rsidRPr="006B7DC7">
        <w:rPr>
          <w:rFonts w:ascii="Calibri" w:hAnsi="Calibri" w:cs="Calibri"/>
          <w:i/>
          <w:iCs/>
          <w:noProof/>
          <w:szCs w:val="24"/>
        </w:rPr>
        <w:t>Safety Science</w:t>
      </w:r>
      <w:r w:rsidRPr="006B7DC7">
        <w:rPr>
          <w:rFonts w:ascii="Calibri" w:hAnsi="Calibri" w:cs="Calibri"/>
          <w:noProof/>
          <w:szCs w:val="24"/>
        </w:rPr>
        <w:t>. Elsevier, 110, pp. 324–335. doi: 10.1016/j.ssci.2018.09.001.</w:t>
      </w:r>
    </w:p>
    <w:p w14:paraId="6167DAEB"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Haimes, Y. Y. (2009a) ‘On the Complex Definition of Risk: A Systems-Based Approach’, </w:t>
      </w:r>
      <w:r w:rsidRPr="006B7DC7">
        <w:rPr>
          <w:rFonts w:ascii="Calibri" w:hAnsi="Calibri" w:cs="Calibri"/>
          <w:i/>
          <w:iCs/>
          <w:noProof/>
          <w:szCs w:val="24"/>
        </w:rPr>
        <w:t>Risk Analysis</w:t>
      </w:r>
      <w:r w:rsidRPr="006B7DC7">
        <w:rPr>
          <w:rFonts w:ascii="Calibri" w:hAnsi="Calibri" w:cs="Calibri"/>
          <w:noProof/>
          <w:szCs w:val="24"/>
        </w:rPr>
        <w:t>, 29(12). doi: 10.1111/j.1539-6924.2009.01310.x.</w:t>
      </w:r>
    </w:p>
    <w:p w14:paraId="68464F3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Haimes, Y. Y. (2009b) ‘On the Definition of Resilience in Systems’, </w:t>
      </w:r>
      <w:r w:rsidRPr="006B7DC7">
        <w:rPr>
          <w:rFonts w:ascii="Calibri" w:hAnsi="Calibri" w:cs="Calibri"/>
          <w:i/>
          <w:iCs/>
          <w:noProof/>
          <w:szCs w:val="24"/>
        </w:rPr>
        <w:t>Risk Analysis</w:t>
      </w:r>
      <w:r w:rsidRPr="006B7DC7">
        <w:rPr>
          <w:rFonts w:ascii="Calibri" w:hAnsi="Calibri" w:cs="Calibri"/>
          <w:noProof/>
          <w:szCs w:val="24"/>
        </w:rPr>
        <w:t>, 29(4), pp. 498–501. doi: 10.1111/j.1539-6924.2009.01216.x.</w:t>
      </w:r>
    </w:p>
    <w:p w14:paraId="6C592B98"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Hansen, D. P., Pang, C. and Maeder, A. (2007) ‘HDI: Integrating health data and tools’, </w:t>
      </w:r>
      <w:r w:rsidRPr="006B7DC7">
        <w:rPr>
          <w:rFonts w:ascii="Calibri" w:hAnsi="Calibri" w:cs="Calibri"/>
          <w:i/>
          <w:iCs/>
          <w:noProof/>
          <w:szCs w:val="24"/>
        </w:rPr>
        <w:t>Soft Computing</w:t>
      </w:r>
      <w:r w:rsidRPr="006B7DC7">
        <w:rPr>
          <w:rFonts w:ascii="Calibri" w:hAnsi="Calibri" w:cs="Calibri"/>
          <w:noProof/>
          <w:szCs w:val="24"/>
        </w:rPr>
        <w:t>, 11(4), pp. 361–367. doi: 10.1007/s00500-006-0090-6.</w:t>
      </w:r>
    </w:p>
    <w:p w14:paraId="33EA5EC8"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Harris, P. and Middleton, W. (1994) ‘The illusion of control and optimism about health: On being less at risk but no more in control than others’, </w:t>
      </w:r>
      <w:r w:rsidRPr="006B7DC7">
        <w:rPr>
          <w:rFonts w:ascii="Calibri" w:hAnsi="Calibri" w:cs="Calibri"/>
          <w:i/>
          <w:iCs/>
          <w:noProof/>
          <w:szCs w:val="24"/>
        </w:rPr>
        <w:t>British Journal of Social Psychology</w:t>
      </w:r>
      <w:r w:rsidRPr="006B7DC7">
        <w:rPr>
          <w:rFonts w:ascii="Calibri" w:hAnsi="Calibri" w:cs="Calibri"/>
          <w:noProof/>
          <w:szCs w:val="24"/>
        </w:rPr>
        <w:t>, 33, pp. 369–386.</w:t>
      </w:r>
    </w:p>
    <w:p w14:paraId="4142DC2C"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Heeks, R. (2006) ‘Health information systems: Failure, success and improvisation’, </w:t>
      </w:r>
      <w:r w:rsidRPr="006B7DC7">
        <w:rPr>
          <w:rFonts w:ascii="Calibri" w:hAnsi="Calibri" w:cs="Calibri"/>
          <w:i/>
          <w:iCs/>
          <w:noProof/>
          <w:szCs w:val="24"/>
        </w:rPr>
        <w:t>International Journal of Medical Informatics</w:t>
      </w:r>
      <w:r w:rsidRPr="006B7DC7">
        <w:rPr>
          <w:rFonts w:ascii="Calibri" w:hAnsi="Calibri" w:cs="Calibri"/>
          <w:noProof/>
          <w:szCs w:val="24"/>
        </w:rPr>
        <w:t>, 75(2), pp. 125–137. doi: 10.1016/j.ijmedinf.2005.07.024.</w:t>
      </w:r>
    </w:p>
    <w:p w14:paraId="3D0562B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Hilborn, R. C. (2004) ‘Sea gulls, butterflies, and grasshoppers: A brief history of the butterfly effect in nonlinear dynamics’, </w:t>
      </w:r>
      <w:r w:rsidRPr="006B7DC7">
        <w:rPr>
          <w:rFonts w:ascii="Calibri" w:hAnsi="Calibri" w:cs="Calibri"/>
          <w:i/>
          <w:iCs/>
          <w:noProof/>
          <w:szCs w:val="24"/>
        </w:rPr>
        <w:t>American Journal of Physics</w:t>
      </w:r>
      <w:r w:rsidRPr="006B7DC7">
        <w:rPr>
          <w:rFonts w:ascii="Calibri" w:hAnsi="Calibri" w:cs="Calibri"/>
          <w:noProof/>
          <w:szCs w:val="24"/>
        </w:rPr>
        <w:t>, 72(4), pp. 425–427. doi: 10.1119/1.1636492.</w:t>
      </w:r>
    </w:p>
    <w:p w14:paraId="12A810EC"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Hirst, A. </w:t>
      </w:r>
      <w:r w:rsidRPr="006B7DC7">
        <w:rPr>
          <w:rFonts w:ascii="Calibri" w:hAnsi="Calibri" w:cs="Calibri"/>
          <w:i/>
          <w:iCs/>
          <w:noProof/>
          <w:szCs w:val="24"/>
        </w:rPr>
        <w:t>et al.</w:t>
      </w:r>
      <w:r w:rsidRPr="006B7DC7">
        <w:rPr>
          <w:rFonts w:ascii="Calibri" w:hAnsi="Calibri" w:cs="Calibri"/>
          <w:noProof/>
          <w:szCs w:val="24"/>
        </w:rPr>
        <w:t xml:space="preserve"> (2019) ‘No Surgical Innovation Without Evaluation: Evolution and Further Development of the IDEAL Framework and Recommendations’, </w:t>
      </w:r>
      <w:r w:rsidRPr="006B7DC7">
        <w:rPr>
          <w:rFonts w:ascii="Calibri" w:hAnsi="Calibri" w:cs="Calibri"/>
          <w:i/>
          <w:iCs/>
          <w:noProof/>
          <w:szCs w:val="24"/>
        </w:rPr>
        <w:t>Annals of surgery</w:t>
      </w:r>
      <w:r w:rsidRPr="006B7DC7">
        <w:rPr>
          <w:rFonts w:ascii="Calibri" w:hAnsi="Calibri" w:cs="Calibri"/>
          <w:noProof/>
          <w:szCs w:val="24"/>
        </w:rPr>
        <w:t>, 269(2), pp. 211–220. doi: 10.1097/SLA.0000000000002794.</w:t>
      </w:r>
    </w:p>
    <w:p w14:paraId="549DE16F"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Holden, R. J. </w:t>
      </w:r>
      <w:r w:rsidRPr="006B7DC7">
        <w:rPr>
          <w:rFonts w:ascii="Calibri" w:hAnsi="Calibri" w:cs="Calibri"/>
          <w:i/>
          <w:iCs/>
          <w:noProof/>
          <w:szCs w:val="24"/>
        </w:rPr>
        <w:t>et al.</w:t>
      </w:r>
      <w:r w:rsidRPr="006B7DC7">
        <w:rPr>
          <w:rFonts w:ascii="Calibri" w:hAnsi="Calibri" w:cs="Calibri"/>
          <w:noProof/>
          <w:szCs w:val="24"/>
        </w:rPr>
        <w:t xml:space="preserve"> (2014) ‘SEIPS 2.0: A human factors framework for studying and improving the work of healthcare professionals and patients’, </w:t>
      </w:r>
      <w:r w:rsidRPr="006B7DC7">
        <w:rPr>
          <w:rFonts w:ascii="Calibri" w:hAnsi="Calibri" w:cs="Calibri"/>
          <w:i/>
          <w:iCs/>
          <w:noProof/>
          <w:szCs w:val="24"/>
        </w:rPr>
        <w:t>Ergonomics</w:t>
      </w:r>
      <w:r w:rsidRPr="006B7DC7">
        <w:rPr>
          <w:rFonts w:ascii="Calibri" w:hAnsi="Calibri" w:cs="Calibri"/>
          <w:noProof/>
          <w:szCs w:val="24"/>
        </w:rPr>
        <w:t>, 56(11), pp. 1–30. doi: 10.1080/00140139.2013.838643.SEIPS.</w:t>
      </w:r>
    </w:p>
    <w:p w14:paraId="47DE45E7"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Houta, S., Ameler, T. and Surges, R. (2019) ‘Use of HL7 FHIR to structure data in epilepsy self-management applications’, </w:t>
      </w:r>
      <w:r w:rsidRPr="006B7DC7">
        <w:rPr>
          <w:rFonts w:ascii="Calibri" w:hAnsi="Calibri" w:cs="Calibri"/>
          <w:i/>
          <w:iCs/>
          <w:noProof/>
          <w:szCs w:val="24"/>
        </w:rPr>
        <w:t>2019 International Conference on Wireless and Mobile Computing, Networking and Communications (WiMob)</w:t>
      </w:r>
      <w:r w:rsidRPr="006B7DC7">
        <w:rPr>
          <w:rFonts w:ascii="Calibri" w:hAnsi="Calibri" w:cs="Calibri"/>
          <w:noProof/>
          <w:szCs w:val="24"/>
        </w:rPr>
        <w:t>. IEEE, pp. 111–115.</w:t>
      </w:r>
    </w:p>
    <w:p w14:paraId="352C7BF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Huang, L. </w:t>
      </w:r>
      <w:r w:rsidRPr="006B7DC7">
        <w:rPr>
          <w:rFonts w:ascii="Calibri" w:hAnsi="Calibri" w:cs="Calibri"/>
          <w:i/>
          <w:iCs/>
          <w:noProof/>
          <w:szCs w:val="24"/>
        </w:rPr>
        <w:t>et al.</w:t>
      </w:r>
      <w:r w:rsidRPr="006B7DC7">
        <w:rPr>
          <w:rFonts w:ascii="Calibri" w:hAnsi="Calibri" w:cs="Calibri"/>
          <w:noProof/>
          <w:szCs w:val="24"/>
        </w:rPr>
        <w:t xml:space="preserve"> (2017) ‘A New Paradigm for Accident Investigation and Analysis in the Era of Big Data’, </w:t>
      </w:r>
      <w:r w:rsidRPr="006B7DC7">
        <w:rPr>
          <w:rFonts w:ascii="Calibri" w:hAnsi="Calibri" w:cs="Calibri"/>
          <w:i/>
          <w:iCs/>
          <w:noProof/>
          <w:szCs w:val="24"/>
        </w:rPr>
        <w:t>Process Safety Progress</w:t>
      </w:r>
      <w:r w:rsidRPr="006B7DC7">
        <w:rPr>
          <w:rFonts w:ascii="Calibri" w:hAnsi="Calibri" w:cs="Calibri"/>
          <w:noProof/>
          <w:szCs w:val="24"/>
        </w:rPr>
        <w:t>, 37(1), pp. 42–48. doi: 10.1002/prs.11898.</w:t>
      </w:r>
    </w:p>
    <w:p w14:paraId="069BC244"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IMIA WG7 (2018) </w:t>
      </w:r>
      <w:r w:rsidRPr="006B7DC7">
        <w:rPr>
          <w:rFonts w:ascii="Calibri" w:hAnsi="Calibri" w:cs="Calibri"/>
          <w:i/>
          <w:iCs/>
          <w:noProof/>
          <w:szCs w:val="24"/>
        </w:rPr>
        <w:t>WG7 - IMIA Working Group on Health Informatics for Patient Safety</w:t>
      </w:r>
      <w:r w:rsidRPr="006B7DC7">
        <w:rPr>
          <w:rFonts w:ascii="Calibri" w:hAnsi="Calibri" w:cs="Calibri"/>
          <w:noProof/>
          <w:szCs w:val="24"/>
        </w:rPr>
        <w:t>.</w:t>
      </w:r>
    </w:p>
    <w:p w14:paraId="20786BE5"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Jenkins, D. A. </w:t>
      </w:r>
      <w:r w:rsidRPr="006B7DC7">
        <w:rPr>
          <w:rFonts w:ascii="Calibri" w:hAnsi="Calibri" w:cs="Calibri"/>
          <w:i/>
          <w:iCs/>
          <w:noProof/>
          <w:szCs w:val="24"/>
        </w:rPr>
        <w:t>et al.</w:t>
      </w:r>
      <w:r w:rsidRPr="006B7DC7">
        <w:rPr>
          <w:rFonts w:ascii="Calibri" w:hAnsi="Calibri" w:cs="Calibri"/>
          <w:noProof/>
          <w:szCs w:val="24"/>
        </w:rPr>
        <w:t xml:space="preserve"> (2018) ‘Dynamic models to predict health outcomes: current status and methodological challenges’, </w:t>
      </w:r>
      <w:r w:rsidRPr="006B7DC7">
        <w:rPr>
          <w:rFonts w:ascii="Calibri" w:hAnsi="Calibri" w:cs="Calibri"/>
          <w:i/>
          <w:iCs/>
          <w:noProof/>
          <w:szCs w:val="24"/>
        </w:rPr>
        <w:t>Diagnostic and Prognostic Research</w:t>
      </w:r>
      <w:r w:rsidRPr="006B7DC7">
        <w:rPr>
          <w:rFonts w:ascii="Calibri" w:hAnsi="Calibri" w:cs="Calibri"/>
          <w:noProof/>
          <w:szCs w:val="24"/>
        </w:rPr>
        <w:t>. Diagnostic and Prognostic Research, 2(1), pp. 1–9. doi: 10.1186/s41512-018-0045-2.</w:t>
      </w:r>
    </w:p>
    <w:p w14:paraId="46CFE4B7"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Johnson, O. (2019) ‘General System Theory and the Use of Process Mining to Improve Care Pathways’, in Scott, P., de Keizer, N. F., and Georgiou, A. (eds) </w:t>
      </w:r>
      <w:r w:rsidRPr="006B7DC7">
        <w:rPr>
          <w:rFonts w:ascii="Calibri" w:hAnsi="Calibri" w:cs="Calibri"/>
          <w:i/>
          <w:iCs/>
          <w:noProof/>
          <w:szCs w:val="24"/>
        </w:rPr>
        <w:t>Applied Interdisciplinary Theory in Health Informatics: A Knowledge Base for Practitioners</w:t>
      </w:r>
      <w:r w:rsidRPr="006B7DC7">
        <w:rPr>
          <w:rFonts w:ascii="Calibri" w:hAnsi="Calibri" w:cs="Calibri"/>
          <w:noProof/>
          <w:szCs w:val="24"/>
        </w:rPr>
        <w:t>. IOS Press, pp. 11–22. doi: 10.3233/SHTI1263.</w:t>
      </w:r>
    </w:p>
    <w:p w14:paraId="308626FC"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Johnson, O. A. </w:t>
      </w:r>
      <w:r w:rsidRPr="006B7DC7">
        <w:rPr>
          <w:rFonts w:ascii="Calibri" w:hAnsi="Calibri" w:cs="Calibri"/>
          <w:i/>
          <w:iCs/>
          <w:noProof/>
          <w:szCs w:val="24"/>
        </w:rPr>
        <w:t>et al.</w:t>
      </w:r>
      <w:r w:rsidRPr="006B7DC7">
        <w:rPr>
          <w:rFonts w:ascii="Calibri" w:hAnsi="Calibri" w:cs="Calibri"/>
          <w:noProof/>
          <w:szCs w:val="24"/>
        </w:rPr>
        <w:t xml:space="preserve"> (2020) </w:t>
      </w:r>
      <w:r w:rsidRPr="006B7DC7">
        <w:rPr>
          <w:rFonts w:ascii="Calibri" w:hAnsi="Calibri" w:cs="Calibri"/>
          <w:i/>
          <w:iCs/>
          <w:noProof/>
          <w:szCs w:val="24"/>
        </w:rPr>
        <w:t>Theoretical and practical foundations of Safety Informatics: Workshop programme proposal</w:t>
      </w:r>
      <w:r w:rsidRPr="006B7DC7">
        <w:rPr>
          <w:rFonts w:ascii="Calibri" w:hAnsi="Calibri" w:cs="Calibri"/>
          <w:noProof/>
          <w:szCs w:val="24"/>
        </w:rPr>
        <w:t>. Available at: https://github.com/ciaranmci/TheoryDevWrkshop1 (Accessed: 14 May 2020).</w:t>
      </w:r>
    </w:p>
    <w:p w14:paraId="2592579B"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Kim, H. and Lee, T. H. (2018) ‘Strategic CSR Communication: A Moderating Role of Transparency in Trust Building’, </w:t>
      </w:r>
      <w:r w:rsidRPr="006B7DC7">
        <w:rPr>
          <w:rFonts w:ascii="Calibri" w:hAnsi="Calibri" w:cs="Calibri"/>
          <w:i/>
          <w:iCs/>
          <w:noProof/>
          <w:szCs w:val="24"/>
        </w:rPr>
        <w:t>International Journal of Strategic Communication</w:t>
      </w:r>
      <w:r w:rsidRPr="006B7DC7">
        <w:rPr>
          <w:rFonts w:ascii="Calibri" w:hAnsi="Calibri" w:cs="Calibri"/>
          <w:noProof/>
          <w:szCs w:val="24"/>
        </w:rPr>
        <w:t>. Routledge, 12(2), pp. 107–124. doi: 10.1080/1553118X.2018.1425692.</w:t>
      </w:r>
    </w:p>
    <w:p w14:paraId="7A37A8C7"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Kostkova, P. (2015) ‘Grand challenges in digital health’, </w:t>
      </w:r>
      <w:r w:rsidRPr="006B7DC7">
        <w:rPr>
          <w:rFonts w:ascii="Calibri" w:hAnsi="Calibri" w:cs="Calibri"/>
          <w:i/>
          <w:iCs/>
          <w:noProof/>
          <w:szCs w:val="24"/>
        </w:rPr>
        <w:t>Frontiers in Public Health</w:t>
      </w:r>
      <w:r w:rsidRPr="006B7DC7">
        <w:rPr>
          <w:rFonts w:ascii="Calibri" w:hAnsi="Calibri" w:cs="Calibri"/>
          <w:noProof/>
          <w:szCs w:val="24"/>
        </w:rPr>
        <w:t>, 3(134), pp. 1–5. doi: 10.3389/fpubh.2015.00134.</w:t>
      </w:r>
    </w:p>
    <w:p w14:paraId="4452C178"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Leveson, N. G. (1986) ‘Software Safety: Why, What, and How’, </w:t>
      </w:r>
      <w:r w:rsidRPr="006B7DC7">
        <w:rPr>
          <w:rFonts w:ascii="Calibri" w:hAnsi="Calibri" w:cs="Calibri"/>
          <w:i/>
          <w:iCs/>
          <w:noProof/>
          <w:szCs w:val="24"/>
        </w:rPr>
        <w:t>Computing Surveys</w:t>
      </w:r>
      <w:r w:rsidRPr="006B7DC7">
        <w:rPr>
          <w:rFonts w:ascii="Calibri" w:hAnsi="Calibri" w:cs="Calibri"/>
          <w:noProof/>
          <w:szCs w:val="24"/>
        </w:rPr>
        <w:t>, 18(2).</w:t>
      </w:r>
    </w:p>
    <w:p w14:paraId="35D4F714"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Lupton, D. (2017) </w:t>
      </w:r>
      <w:r w:rsidRPr="006B7DC7">
        <w:rPr>
          <w:rFonts w:ascii="Calibri" w:hAnsi="Calibri" w:cs="Calibri"/>
          <w:i/>
          <w:iCs/>
          <w:noProof/>
          <w:szCs w:val="24"/>
        </w:rPr>
        <w:t>Digital Health: Critical and Cross-Disciplinary Perspectives</w:t>
      </w:r>
      <w:r w:rsidRPr="006B7DC7">
        <w:rPr>
          <w:rFonts w:ascii="Calibri" w:hAnsi="Calibri" w:cs="Calibri"/>
          <w:noProof/>
          <w:szCs w:val="24"/>
        </w:rPr>
        <w:t>. Edited by K. Chamberlain and A. Lyons. Routledge. Available at: https://books.google.co.uk/books?hl=en&amp;lr=&amp;id=09srDwAAQBAJ&amp;oi=fnd&amp;pg=PT8&amp;dq=Novel+challenges+of+new+and+emerging+digital+health+technologies&amp;ots=5dgCyGehlJ&amp;sig=OTsQkQj_iHtz5W12G_z5aSUt8F4&amp;redir_esc=y#v=onepage&amp;q&amp;f=false.</w:t>
      </w:r>
    </w:p>
    <w:p w14:paraId="461795FA"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Macrae, C. (2019) ‘Governing the safety of artificial intelligence in healthcare’, </w:t>
      </w:r>
      <w:r w:rsidRPr="006B7DC7">
        <w:rPr>
          <w:rFonts w:ascii="Calibri" w:hAnsi="Calibri" w:cs="Calibri"/>
          <w:i/>
          <w:iCs/>
          <w:noProof/>
          <w:szCs w:val="24"/>
        </w:rPr>
        <w:t>BMJ Qual Saf</w:t>
      </w:r>
      <w:r w:rsidRPr="006B7DC7">
        <w:rPr>
          <w:rFonts w:ascii="Calibri" w:hAnsi="Calibri" w:cs="Calibri"/>
          <w:noProof/>
          <w:szCs w:val="24"/>
        </w:rPr>
        <w:t>, 28, pp. 495–498. doi: 10.1136/bmjqs-2019-009484.</w:t>
      </w:r>
    </w:p>
    <w:p w14:paraId="11E17E40"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Markus, M. L. (2004) ‘Technochange management: Using IT to drive organizational change’, </w:t>
      </w:r>
      <w:r w:rsidRPr="006B7DC7">
        <w:rPr>
          <w:rFonts w:ascii="Calibri" w:hAnsi="Calibri" w:cs="Calibri"/>
          <w:i/>
          <w:iCs/>
          <w:noProof/>
          <w:szCs w:val="24"/>
        </w:rPr>
        <w:t>Journal of Information Technology</w:t>
      </w:r>
      <w:r w:rsidRPr="006B7DC7">
        <w:rPr>
          <w:rFonts w:ascii="Calibri" w:hAnsi="Calibri" w:cs="Calibri"/>
          <w:noProof/>
          <w:szCs w:val="24"/>
        </w:rPr>
        <w:t>, 19(1), pp. 4–20. doi: 10.1057/palgrave.jit.2000002.</w:t>
      </w:r>
    </w:p>
    <w:p w14:paraId="12B51C58"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Maturo, A. (2014) ‘Fatism, self-monitoring and the pursuit of healthiness in the time of technological solutionism’, </w:t>
      </w:r>
      <w:r w:rsidRPr="006B7DC7">
        <w:rPr>
          <w:rFonts w:ascii="Calibri" w:hAnsi="Calibri" w:cs="Calibri"/>
          <w:i/>
          <w:iCs/>
          <w:noProof/>
          <w:szCs w:val="24"/>
        </w:rPr>
        <w:t>Italian Sociological Review</w:t>
      </w:r>
      <w:r w:rsidRPr="006B7DC7">
        <w:rPr>
          <w:rFonts w:ascii="Calibri" w:hAnsi="Calibri" w:cs="Calibri"/>
          <w:noProof/>
          <w:szCs w:val="24"/>
        </w:rPr>
        <w:t>, 4(2), pp. 157–171. doi: 10.13136/isr.v4i2.80.</w:t>
      </w:r>
    </w:p>
    <w:p w14:paraId="490D0D3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McAuley, A. (2014) ‘Digital health interventions: Widening access or widening inequalities?’, </w:t>
      </w:r>
      <w:r w:rsidRPr="006B7DC7">
        <w:rPr>
          <w:rFonts w:ascii="Calibri" w:hAnsi="Calibri" w:cs="Calibri"/>
          <w:i/>
          <w:iCs/>
          <w:noProof/>
          <w:szCs w:val="24"/>
        </w:rPr>
        <w:t>Public Health</w:t>
      </w:r>
      <w:r w:rsidRPr="006B7DC7">
        <w:rPr>
          <w:rFonts w:ascii="Calibri" w:hAnsi="Calibri" w:cs="Calibri"/>
          <w:noProof/>
          <w:szCs w:val="24"/>
        </w:rPr>
        <w:t>. The Royal Society for Public Health, 128(12), pp. 1118–1120. doi: 10.1016/j.puhe.2014.10.008.</w:t>
      </w:r>
    </w:p>
    <w:p w14:paraId="14C01DF8"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Mclachlan, S. </w:t>
      </w:r>
      <w:r w:rsidRPr="006B7DC7">
        <w:rPr>
          <w:rFonts w:ascii="Calibri" w:hAnsi="Calibri" w:cs="Calibri"/>
          <w:i/>
          <w:iCs/>
          <w:noProof/>
          <w:szCs w:val="24"/>
        </w:rPr>
        <w:t>et al.</w:t>
      </w:r>
      <w:r w:rsidRPr="006B7DC7">
        <w:rPr>
          <w:rFonts w:ascii="Calibri" w:hAnsi="Calibri" w:cs="Calibri"/>
          <w:noProof/>
          <w:szCs w:val="24"/>
        </w:rPr>
        <w:t xml:space="preserve"> (2018) ‘The Heimdall framework for supporting characterisation of learning health systems’, </w:t>
      </w:r>
      <w:r w:rsidRPr="006B7DC7">
        <w:rPr>
          <w:rFonts w:ascii="Calibri" w:hAnsi="Calibri" w:cs="Calibri"/>
          <w:i/>
          <w:iCs/>
          <w:noProof/>
          <w:szCs w:val="24"/>
        </w:rPr>
        <w:t>J Innov Health Inform</w:t>
      </w:r>
      <w:r w:rsidRPr="006B7DC7">
        <w:rPr>
          <w:rFonts w:ascii="Calibri" w:hAnsi="Calibri" w:cs="Calibri"/>
          <w:noProof/>
          <w:szCs w:val="24"/>
        </w:rPr>
        <w:t>, 25(2). doi: http://dx.doi.org/10.14236/jhi.v25i2.996.</w:t>
      </w:r>
    </w:p>
    <w:p w14:paraId="294A6EAA"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Mechanic, D. and Schlesinger, M. (1996) ‘The impact of managed care on patients’ trust in medical care and their physicians’, </w:t>
      </w:r>
      <w:r w:rsidRPr="006B7DC7">
        <w:rPr>
          <w:rFonts w:ascii="Calibri" w:hAnsi="Calibri" w:cs="Calibri"/>
          <w:i/>
          <w:iCs/>
          <w:noProof/>
          <w:szCs w:val="24"/>
        </w:rPr>
        <w:t>JAMA</w:t>
      </w:r>
      <w:r w:rsidRPr="006B7DC7">
        <w:rPr>
          <w:rFonts w:ascii="Calibri" w:hAnsi="Calibri" w:cs="Calibri"/>
          <w:noProof/>
          <w:szCs w:val="24"/>
        </w:rPr>
        <w:t>, 275(21), pp. 1693–1697. doi: 10.1001/jama.1996.03530450083048.</w:t>
      </w:r>
    </w:p>
    <w:p w14:paraId="278432BF"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Morozov, E. (2013) </w:t>
      </w:r>
      <w:r w:rsidRPr="006B7DC7">
        <w:rPr>
          <w:rFonts w:ascii="Calibri" w:hAnsi="Calibri" w:cs="Calibri"/>
          <w:i/>
          <w:iCs/>
          <w:noProof/>
          <w:szCs w:val="24"/>
        </w:rPr>
        <w:t>To Save Everything, Click Here: The Folly of Technological Solutionism</w:t>
      </w:r>
      <w:r w:rsidRPr="006B7DC7">
        <w:rPr>
          <w:rFonts w:ascii="Calibri" w:hAnsi="Calibri" w:cs="Calibri"/>
          <w:noProof/>
          <w:szCs w:val="24"/>
        </w:rPr>
        <w:t>. New York: PublicAffairs.</w:t>
      </w:r>
    </w:p>
    <w:p w14:paraId="159B8BB4"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Oelze, I., Neeser, K. and Müller, E. (2019) ‘PP31 Medical Device Regulation : What Is New?’, </w:t>
      </w:r>
      <w:r w:rsidRPr="006B7DC7">
        <w:rPr>
          <w:rFonts w:ascii="Calibri" w:hAnsi="Calibri" w:cs="Calibri"/>
          <w:i/>
          <w:iCs/>
          <w:noProof/>
          <w:szCs w:val="24"/>
        </w:rPr>
        <w:t>International Journal of Technology Assessment in Health Care</w:t>
      </w:r>
      <w:r w:rsidRPr="006B7DC7">
        <w:rPr>
          <w:rFonts w:ascii="Calibri" w:hAnsi="Calibri" w:cs="Calibri"/>
          <w:noProof/>
          <w:szCs w:val="24"/>
        </w:rPr>
        <w:t>, 35(S1), pp. 42–43. doi: 10.1017/S0266462319001958.</w:t>
      </w:r>
    </w:p>
    <w:p w14:paraId="0B4B225B"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Onik, M. F. A., Fielt, E. and Gable, G. G. (2017) ‘Complex Adaptive Systems Theory in Information Systems Research - A Systematic Literature Review’, in Ling, S. C., Bahri, S., and Finnegan, P. (eds) </w:t>
      </w:r>
      <w:r w:rsidRPr="006B7DC7">
        <w:rPr>
          <w:rFonts w:ascii="Calibri" w:hAnsi="Calibri" w:cs="Calibri"/>
          <w:i/>
          <w:iCs/>
          <w:noProof/>
          <w:szCs w:val="24"/>
        </w:rPr>
        <w:t>Pacific Asia Conference on Information Systems (PACIS)</w:t>
      </w:r>
      <w:r w:rsidRPr="006B7DC7">
        <w:rPr>
          <w:rFonts w:ascii="Calibri" w:hAnsi="Calibri" w:cs="Calibri"/>
          <w:noProof/>
          <w:szCs w:val="24"/>
        </w:rPr>
        <w:t>, pp. 1–14. Available at: https://eprints.qut.edu.au/111589/1/pacis - 2017 - Complex Adaptive Systems Theory in Information Systems Research - A Systematic Literature Review.pdf.</w:t>
      </w:r>
    </w:p>
    <w:p w14:paraId="5C71A5BE"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Paxton, N. C. and Branca, D. L. (2020) ‘Managing the Risks of Emerging IoT Devices’, in Wickramasinghe, N. and Bodendorf, F. (eds) </w:t>
      </w:r>
      <w:r w:rsidRPr="006B7DC7">
        <w:rPr>
          <w:rFonts w:ascii="Calibri" w:hAnsi="Calibri" w:cs="Calibri"/>
          <w:i/>
          <w:iCs/>
          <w:noProof/>
          <w:szCs w:val="24"/>
        </w:rPr>
        <w:t>Delivering Superior Health and Wellness Management with IoT and Analytics</w:t>
      </w:r>
      <w:r w:rsidRPr="006B7DC7">
        <w:rPr>
          <w:rFonts w:ascii="Calibri" w:hAnsi="Calibri" w:cs="Calibri"/>
          <w:noProof/>
          <w:szCs w:val="24"/>
        </w:rPr>
        <w:t>. Springer, pp. 447–467. doi: 10.1007/978-3-030-17347-0_22.</w:t>
      </w:r>
    </w:p>
    <w:p w14:paraId="0EF05C11"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Pilotto, A., Boi, R. and Petermans, J. (2018) ‘Technology in geriatrics’, </w:t>
      </w:r>
      <w:r w:rsidRPr="006B7DC7">
        <w:rPr>
          <w:rFonts w:ascii="Calibri" w:hAnsi="Calibri" w:cs="Calibri"/>
          <w:i/>
          <w:iCs/>
          <w:noProof/>
          <w:szCs w:val="24"/>
        </w:rPr>
        <w:t>Age and Ageing</w:t>
      </w:r>
      <w:r w:rsidRPr="006B7DC7">
        <w:rPr>
          <w:rFonts w:ascii="Calibri" w:hAnsi="Calibri" w:cs="Calibri"/>
          <w:noProof/>
          <w:szCs w:val="24"/>
        </w:rPr>
        <w:t>, 47(6), pp. 771–774. doi: 10.1093/ageing/afy026.</w:t>
      </w:r>
    </w:p>
    <w:p w14:paraId="3608BD30"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Plsek, P. E. and Greenhalgh, T. (2001) ‘The challenge of complexity in health care’, </w:t>
      </w:r>
      <w:r w:rsidRPr="006B7DC7">
        <w:rPr>
          <w:rFonts w:ascii="Calibri" w:hAnsi="Calibri" w:cs="Calibri"/>
          <w:i/>
          <w:iCs/>
          <w:noProof/>
          <w:szCs w:val="24"/>
        </w:rPr>
        <w:t>BMJ (Clinical research ed.)</w:t>
      </w:r>
      <w:r w:rsidRPr="006B7DC7">
        <w:rPr>
          <w:rFonts w:ascii="Calibri" w:hAnsi="Calibri" w:cs="Calibri"/>
          <w:noProof/>
          <w:szCs w:val="24"/>
        </w:rPr>
        <w:t>, 323(7313), pp. 625–8. Available at: https://www.ncbi.nlm.nih.gov/pmc/articles/PMC1121189/pdf/625.pdf%0Ahttp://www.ncbi.nlm.nih.gov/pubmed/11557716.</w:t>
      </w:r>
    </w:p>
    <w:p w14:paraId="084E9915"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Rae, A. </w:t>
      </w:r>
      <w:r w:rsidRPr="006B7DC7">
        <w:rPr>
          <w:rFonts w:ascii="Calibri" w:hAnsi="Calibri" w:cs="Calibri"/>
          <w:i/>
          <w:iCs/>
          <w:noProof/>
          <w:szCs w:val="24"/>
        </w:rPr>
        <w:t>et al.</w:t>
      </w:r>
      <w:r w:rsidRPr="006B7DC7">
        <w:rPr>
          <w:rFonts w:ascii="Calibri" w:hAnsi="Calibri" w:cs="Calibri"/>
          <w:noProof/>
          <w:szCs w:val="24"/>
        </w:rPr>
        <w:t xml:space="preserve"> (2020) ‘A manifesto for Reality-based Safety Science’, </w:t>
      </w:r>
      <w:r w:rsidRPr="006B7DC7">
        <w:rPr>
          <w:rFonts w:ascii="Calibri" w:hAnsi="Calibri" w:cs="Calibri"/>
          <w:i/>
          <w:iCs/>
          <w:noProof/>
          <w:szCs w:val="24"/>
        </w:rPr>
        <w:t>Safety Science</w:t>
      </w:r>
      <w:r w:rsidRPr="006B7DC7">
        <w:rPr>
          <w:rFonts w:ascii="Calibri" w:hAnsi="Calibri" w:cs="Calibri"/>
          <w:noProof/>
          <w:szCs w:val="24"/>
        </w:rPr>
        <w:t>, 126(June). doi: 10.1016/j.ssci.2020.104654.</w:t>
      </w:r>
    </w:p>
    <w:p w14:paraId="4A536869"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Ranjan, R. </w:t>
      </w:r>
      <w:r w:rsidRPr="006B7DC7">
        <w:rPr>
          <w:rFonts w:ascii="Calibri" w:hAnsi="Calibri" w:cs="Calibri"/>
          <w:i/>
          <w:iCs/>
          <w:noProof/>
          <w:szCs w:val="24"/>
        </w:rPr>
        <w:t>et al.</w:t>
      </w:r>
      <w:r w:rsidRPr="006B7DC7">
        <w:rPr>
          <w:rFonts w:ascii="Calibri" w:hAnsi="Calibri" w:cs="Calibri"/>
          <w:noProof/>
          <w:szCs w:val="24"/>
        </w:rPr>
        <w:t xml:space="preserve"> (2018) ‘Integrating the Internet of Things and Data Science’, </w:t>
      </w:r>
      <w:r w:rsidRPr="006B7DC7">
        <w:rPr>
          <w:rFonts w:ascii="Calibri" w:hAnsi="Calibri" w:cs="Calibri"/>
          <w:i/>
          <w:iCs/>
          <w:noProof/>
          <w:szCs w:val="24"/>
        </w:rPr>
        <w:t>IEEE Cloud Computing</w:t>
      </w:r>
      <w:r w:rsidRPr="006B7DC7">
        <w:rPr>
          <w:rFonts w:ascii="Calibri" w:hAnsi="Calibri" w:cs="Calibri"/>
          <w:noProof/>
          <w:szCs w:val="24"/>
        </w:rPr>
        <w:t>, 5(3), pp. 12–26. doi: Doi 10.1109/Mcc.2018.032591612.</w:t>
      </w:r>
    </w:p>
    <w:p w14:paraId="7CD95D4E"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Ravitz, A. D. </w:t>
      </w:r>
      <w:r w:rsidRPr="006B7DC7">
        <w:rPr>
          <w:rFonts w:ascii="Calibri" w:hAnsi="Calibri" w:cs="Calibri"/>
          <w:i/>
          <w:iCs/>
          <w:noProof/>
          <w:szCs w:val="24"/>
        </w:rPr>
        <w:t>et al.</w:t>
      </w:r>
      <w:r w:rsidRPr="006B7DC7">
        <w:rPr>
          <w:rFonts w:ascii="Calibri" w:hAnsi="Calibri" w:cs="Calibri"/>
          <w:noProof/>
          <w:szCs w:val="24"/>
        </w:rPr>
        <w:t xml:space="preserve"> (2013) ‘Systems approach and systems engineering applied to health care: Improving patient safety and health care delivery’, </w:t>
      </w:r>
      <w:r w:rsidRPr="006B7DC7">
        <w:rPr>
          <w:rFonts w:ascii="Calibri" w:hAnsi="Calibri" w:cs="Calibri"/>
          <w:i/>
          <w:iCs/>
          <w:noProof/>
          <w:szCs w:val="24"/>
        </w:rPr>
        <w:t>Johns Hopkins APL Technical Digest (Applied Physics Laboratory)</w:t>
      </w:r>
      <w:r w:rsidRPr="006B7DC7">
        <w:rPr>
          <w:rFonts w:ascii="Calibri" w:hAnsi="Calibri" w:cs="Calibri"/>
          <w:noProof/>
          <w:szCs w:val="24"/>
        </w:rPr>
        <w:t>, 31(4), pp. 354–365.</w:t>
      </w:r>
    </w:p>
    <w:p w14:paraId="39DD7F6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Robinson, L. </w:t>
      </w:r>
      <w:r w:rsidRPr="006B7DC7">
        <w:rPr>
          <w:rFonts w:ascii="Calibri" w:hAnsi="Calibri" w:cs="Calibri"/>
          <w:i/>
          <w:iCs/>
          <w:noProof/>
          <w:szCs w:val="24"/>
        </w:rPr>
        <w:t>et al.</w:t>
      </w:r>
      <w:r w:rsidRPr="006B7DC7">
        <w:rPr>
          <w:rFonts w:ascii="Calibri" w:hAnsi="Calibri" w:cs="Calibri"/>
          <w:noProof/>
          <w:szCs w:val="24"/>
        </w:rPr>
        <w:t xml:space="preserve"> (2015) ‘Digital inequalities and why they matter’, </w:t>
      </w:r>
      <w:r w:rsidRPr="006B7DC7">
        <w:rPr>
          <w:rFonts w:ascii="Calibri" w:hAnsi="Calibri" w:cs="Calibri"/>
          <w:i/>
          <w:iCs/>
          <w:noProof/>
          <w:szCs w:val="24"/>
        </w:rPr>
        <w:t>Information Communication and Society</w:t>
      </w:r>
      <w:r w:rsidRPr="006B7DC7">
        <w:rPr>
          <w:rFonts w:ascii="Calibri" w:hAnsi="Calibri" w:cs="Calibri"/>
          <w:noProof/>
          <w:szCs w:val="24"/>
        </w:rPr>
        <w:t>, 18(5), pp. 569–582. doi: 10.1080/1369118X.2015.1012532.</w:t>
      </w:r>
    </w:p>
    <w:p w14:paraId="016CAACC"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Roehrs, A. (2019) </w:t>
      </w:r>
      <w:r w:rsidRPr="006B7DC7">
        <w:rPr>
          <w:rFonts w:ascii="Calibri" w:hAnsi="Calibri" w:cs="Calibri"/>
          <w:i/>
          <w:iCs/>
          <w:noProof/>
          <w:szCs w:val="24"/>
        </w:rPr>
        <w:t>OmniPHR: A blockchain based interoperable architecture for personal health records</w:t>
      </w:r>
      <w:r w:rsidRPr="006B7DC7">
        <w:rPr>
          <w:rFonts w:ascii="Calibri" w:hAnsi="Calibri" w:cs="Calibri"/>
          <w:noProof/>
          <w:szCs w:val="24"/>
        </w:rPr>
        <w:t>. Universidade do Vale do Rio dos Sinos. Available at: http://www.repositorio.jesuita.org.br/bitstream/handle/UNISINOS/8867/Alex Roehrs_.pdf?sequence=1&amp;isAllowed=y.</w:t>
      </w:r>
    </w:p>
    <w:p w14:paraId="40E0FF91"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Roehrs, A. </w:t>
      </w:r>
      <w:r w:rsidRPr="006B7DC7">
        <w:rPr>
          <w:rFonts w:ascii="Calibri" w:hAnsi="Calibri" w:cs="Calibri"/>
          <w:i/>
          <w:iCs/>
          <w:noProof/>
          <w:szCs w:val="24"/>
        </w:rPr>
        <w:t>et al.</w:t>
      </w:r>
      <w:r w:rsidRPr="006B7DC7">
        <w:rPr>
          <w:rFonts w:ascii="Calibri" w:hAnsi="Calibri" w:cs="Calibri"/>
          <w:noProof/>
          <w:szCs w:val="24"/>
        </w:rPr>
        <w:t xml:space="preserve"> (2019) ‘Toward a Model for Personal Health Record Interoperability’, </w:t>
      </w:r>
      <w:r w:rsidRPr="006B7DC7">
        <w:rPr>
          <w:rFonts w:ascii="Calibri" w:hAnsi="Calibri" w:cs="Calibri"/>
          <w:i/>
          <w:iCs/>
          <w:noProof/>
          <w:szCs w:val="24"/>
        </w:rPr>
        <w:t>IEEE Journal of Biomedical and Health Informatics</w:t>
      </w:r>
      <w:r w:rsidRPr="006B7DC7">
        <w:rPr>
          <w:rFonts w:ascii="Calibri" w:hAnsi="Calibri" w:cs="Calibri"/>
          <w:noProof/>
          <w:szCs w:val="24"/>
        </w:rPr>
        <w:t>, 23(2), pp. 867–873.</w:t>
      </w:r>
    </w:p>
    <w:p w14:paraId="12B9450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Roehrs, A., André, C. and Righi, R. (2017) ‘OmniPHR : A distributed architecture model to integrate personal health records’, </w:t>
      </w:r>
      <w:r w:rsidRPr="006B7DC7">
        <w:rPr>
          <w:rFonts w:ascii="Calibri" w:hAnsi="Calibri" w:cs="Calibri"/>
          <w:i/>
          <w:iCs/>
          <w:noProof/>
          <w:szCs w:val="24"/>
        </w:rPr>
        <w:t>Journal of Biomedical Informatics</w:t>
      </w:r>
      <w:r w:rsidRPr="006B7DC7">
        <w:rPr>
          <w:rFonts w:ascii="Calibri" w:hAnsi="Calibri" w:cs="Calibri"/>
          <w:noProof/>
          <w:szCs w:val="24"/>
        </w:rPr>
        <w:t>. Elsevier Inc., 71, pp. 70–81. doi: 10.1016/j.jbi.2017.05.012.</w:t>
      </w:r>
    </w:p>
    <w:p w14:paraId="689908CF"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Sako, Z., Adibi, S. and Wickramasinghe, N. (2020) ‘Addressing Data Accuracy and Information Integrity in mHealth Solutions Using Machine Learning Algorithms’, in, pp. 345–359. doi: 10.1007/978-3-030-17347-0_16.</w:t>
      </w:r>
    </w:p>
    <w:p w14:paraId="51F3D80C"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Saripalle, R., Runyan, C. and Russell, M. (2019) ‘Using HL7 FHIR to achieve interoperability in patient health record’, </w:t>
      </w:r>
      <w:r w:rsidRPr="006B7DC7">
        <w:rPr>
          <w:rFonts w:ascii="Calibri" w:hAnsi="Calibri" w:cs="Calibri"/>
          <w:i/>
          <w:iCs/>
          <w:noProof/>
          <w:szCs w:val="24"/>
        </w:rPr>
        <w:t>Journal of Biomedical Informatics</w:t>
      </w:r>
      <w:r w:rsidRPr="006B7DC7">
        <w:rPr>
          <w:rFonts w:ascii="Calibri" w:hAnsi="Calibri" w:cs="Calibri"/>
          <w:noProof/>
          <w:szCs w:val="24"/>
        </w:rPr>
        <w:t>. Elsevier, 94(103188). doi: 10.1016/j.jbi.2019.103188.</w:t>
      </w:r>
    </w:p>
    <w:p w14:paraId="12B41EF3"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Sedrakyan, A. </w:t>
      </w:r>
      <w:r w:rsidRPr="006B7DC7">
        <w:rPr>
          <w:rFonts w:ascii="Calibri" w:hAnsi="Calibri" w:cs="Calibri"/>
          <w:i/>
          <w:iCs/>
          <w:noProof/>
          <w:szCs w:val="24"/>
        </w:rPr>
        <w:t>et al.</w:t>
      </w:r>
      <w:r w:rsidRPr="006B7DC7">
        <w:rPr>
          <w:rFonts w:ascii="Calibri" w:hAnsi="Calibri" w:cs="Calibri"/>
          <w:noProof/>
          <w:szCs w:val="24"/>
        </w:rPr>
        <w:t xml:space="preserve"> (2016) ‘IDEAL-D: a rational framework for evaluating and achieve this goal’, </w:t>
      </w:r>
      <w:r w:rsidRPr="006B7DC7">
        <w:rPr>
          <w:rFonts w:ascii="Calibri" w:hAnsi="Calibri" w:cs="Calibri"/>
          <w:i/>
          <w:iCs/>
          <w:noProof/>
          <w:szCs w:val="24"/>
        </w:rPr>
        <w:t>BMJ</w:t>
      </w:r>
      <w:r w:rsidRPr="006B7DC7">
        <w:rPr>
          <w:rFonts w:ascii="Calibri" w:hAnsi="Calibri" w:cs="Calibri"/>
          <w:noProof/>
          <w:szCs w:val="24"/>
        </w:rPr>
        <w:t>, 353(i2372), pp. 1–7. doi: 10.1136/bmj.i2372.</w:t>
      </w:r>
    </w:p>
    <w:p w14:paraId="23141AE8"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Siau, K. and Wang, W. (2018) ‘Building trust in artificial intelligence, machine learning, and robotics’, </w:t>
      </w:r>
      <w:r w:rsidRPr="006B7DC7">
        <w:rPr>
          <w:rFonts w:ascii="Calibri" w:hAnsi="Calibri" w:cs="Calibri"/>
          <w:i/>
          <w:iCs/>
          <w:noProof/>
          <w:szCs w:val="24"/>
        </w:rPr>
        <w:t>Cutter business technology journal</w:t>
      </w:r>
      <w:r w:rsidRPr="006B7DC7">
        <w:rPr>
          <w:rFonts w:ascii="Calibri" w:hAnsi="Calibri" w:cs="Calibri"/>
          <w:noProof/>
          <w:szCs w:val="24"/>
        </w:rPr>
        <w:t>, 31(2), pp. 47–53.</w:t>
      </w:r>
    </w:p>
    <w:p w14:paraId="55590CD3"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Singh, H. and Sittig, D. F. (2016) ‘Measuring and improving patient safety through health information technology: The health IT safety framework’, </w:t>
      </w:r>
      <w:r w:rsidRPr="006B7DC7">
        <w:rPr>
          <w:rFonts w:ascii="Calibri" w:hAnsi="Calibri" w:cs="Calibri"/>
          <w:i/>
          <w:iCs/>
          <w:noProof/>
          <w:szCs w:val="24"/>
        </w:rPr>
        <w:t>BMJ Quality and Safety</w:t>
      </w:r>
      <w:r w:rsidRPr="006B7DC7">
        <w:rPr>
          <w:rFonts w:ascii="Calibri" w:hAnsi="Calibri" w:cs="Calibri"/>
          <w:noProof/>
          <w:szCs w:val="24"/>
        </w:rPr>
        <w:t>, 25(4), pp. 226–232. doi: 10.1136/bmjqs-2015-004486.</w:t>
      </w:r>
    </w:p>
    <w:p w14:paraId="544DCC9F"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Sittig, D. F. </w:t>
      </w:r>
      <w:r w:rsidRPr="006B7DC7">
        <w:rPr>
          <w:rFonts w:ascii="Calibri" w:hAnsi="Calibri" w:cs="Calibri"/>
          <w:i/>
          <w:iCs/>
          <w:noProof/>
          <w:szCs w:val="24"/>
        </w:rPr>
        <w:t>et al.</w:t>
      </w:r>
      <w:r w:rsidRPr="006B7DC7">
        <w:rPr>
          <w:rFonts w:ascii="Calibri" w:hAnsi="Calibri" w:cs="Calibri"/>
          <w:noProof/>
          <w:szCs w:val="24"/>
        </w:rPr>
        <w:t xml:space="preserve"> (2018) ‘Current challenges in health information technology–related patient safety’, </w:t>
      </w:r>
      <w:r w:rsidRPr="006B7DC7">
        <w:rPr>
          <w:rFonts w:ascii="Calibri" w:hAnsi="Calibri" w:cs="Calibri"/>
          <w:i/>
          <w:iCs/>
          <w:noProof/>
          <w:szCs w:val="24"/>
        </w:rPr>
        <w:t>Health Informatics Journal</w:t>
      </w:r>
      <w:r w:rsidRPr="006B7DC7">
        <w:rPr>
          <w:rFonts w:ascii="Calibri" w:hAnsi="Calibri" w:cs="Calibri"/>
          <w:noProof/>
          <w:szCs w:val="24"/>
        </w:rPr>
        <w:t>, (2), pp. 1–9. doi: 10.1177/1460458218814893.</w:t>
      </w:r>
    </w:p>
    <w:p w14:paraId="47AFE506"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Song, J. and Zahedi, F. M. (2007) ‘Trust in health infomediaries’, </w:t>
      </w:r>
      <w:r w:rsidRPr="006B7DC7">
        <w:rPr>
          <w:rFonts w:ascii="Calibri" w:hAnsi="Calibri" w:cs="Calibri"/>
          <w:i/>
          <w:iCs/>
          <w:noProof/>
          <w:szCs w:val="24"/>
        </w:rPr>
        <w:t>Decision Support Systems</w:t>
      </w:r>
      <w:r w:rsidRPr="006B7DC7">
        <w:rPr>
          <w:rFonts w:ascii="Calibri" w:hAnsi="Calibri" w:cs="Calibri"/>
          <w:noProof/>
          <w:szCs w:val="24"/>
        </w:rPr>
        <w:t>, 43(2), pp. 390–407. doi: 10.1016/j.dss.2006.11.011.</w:t>
      </w:r>
    </w:p>
    <w:p w14:paraId="41F1FB49"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Sperrin, M. </w:t>
      </w:r>
      <w:r w:rsidRPr="006B7DC7">
        <w:rPr>
          <w:rFonts w:ascii="Calibri" w:hAnsi="Calibri" w:cs="Calibri"/>
          <w:i/>
          <w:iCs/>
          <w:noProof/>
          <w:szCs w:val="24"/>
        </w:rPr>
        <w:t>et al.</w:t>
      </w:r>
      <w:r w:rsidRPr="006B7DC7">
        <w:rPr>
          <w:rFonts w:ascii="Calibri" w:hAnsi="Calibri" w:cs="Calibri"/>
          <w:noProof/>
          <w:szCs w:val="24"/>
        </w:rPr>
        <w:t xml:space="preserve"> (2019) ‘Explicit causal reasoning is needed to prevent prognostic models being victims of their own success’, </w:t>
      </w:r>
      <w:r w:rsidRPr="006B7DC7">
        <w:rPr>
          <w:rFonts w:ascii="Calibri" w:hAnsi="Calibri" w:cs="Calibri"/>
          <w:i/>
          <w:iCs/>
          <w:noProof/>
          <w:szCs w:val="24"/>
        </w:rPr>
        <w:t>Journal of the American Medical Informatics Association</w:t>
      </w:r>
      <w:r w:rsidRPr="006B7DC7">
        <w:rPr>
          <w:rFonts w:ascii="Calibri" w:hAnsi="Calibri" w:cs="Calibri"/>
          <w:noProof/>
          <w:szCs w:val="24"/>
        </w:rPr>
        <w:t>, 26(12), pp. 1675–1676. doi: 10.1093/jamia/ocz197.</w:t>
      </w:r>
    </w:p>
    <w:p w14:paraId="7B41ECC4"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Sujan, M. A. </w:t>
      </w:r>
      <w:r w:rsidRPr="006B7DC7">
        <w:rPr>
          <w:rFonts w:ascii="Calibri" w:hAnsi="Calibri" w:cs="Calibri"/>
          <w:i/>
          <w:iCs/>
          <w:noProof/>
          <w:szCs w:val="24"/>
        </w:rPr>
        <w:t>et al.</w:t>
      </w:r>
      <w:r w:rsidRPr="006B7DC7">
        <w:rPr>
          <w:rFonts w:ascii="Calibri" w:hAnsi="Calibri" w:cs="Calibri"/>
          <w:noProof/>
          <w:szCs w:val="24"/>
        </w:rPr>
        <w:t xml:space="preserve"> (2015) ‘The development of safety cases for healthcare services: Practical experiences, opportunities and challenges’, </w:t>
      </w:r>
      <w:r w:rsidRPr="006B7DC7">
        <w:rPr>
          <w:rFonts w:ascii="Calibri" w:hAnsi="Calibri" w:cs="Calibri"/>
          <w:i/>
          <w:iCs/>
          <w:noProof/>
          <w:szCs w:val="24"/>
        </w:rPr>
        <w:t>Reliability Engineering and System Safety</w:t>
      </w:r>
      <w:r w:rsidRPr="006B7DC7">
        <w:rPr>
          <w:rFonts w:ascii="Calibri" w:hAnsi="Calibri" w:cs="Calibri"/>
          <w:noProof/>
          <w:szCs w:val="24"/>
        </w:rPr>
        <w:t>. Elsevier, 140, pp. 200–207. doi: 10.1016/j.ress.2015.03.033.</w:t>
      </w:r>
    </w:p>
    <w:p w14:paraId="2B2525D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Sujan, M. A. </w:t>
      </w:r>
      <w:r w:rsidRPr="006B7DC7">
        <w:rPr>
          <w:rFonts w:ascii="Calibri" w:hAnsi="Calibri" w:cs="Calibri"/>
          <w:i/>
          <w:iCs/>
          <w:noProof/>
          <w:szCs w:val="24"/>
        </w:rPr>
        <w:t>et al.</w:t>
      </w:r>
      <w:r w:rsidRPr="006B7DC7">
        <w:rPr>
          <w:rFonts w:ascii="Calibri" w:hAnsi="Calibri" w:cs="Calibri"/>
          <w:noProof/>
          <w:szCs w:val="24"/>
        </w:rPr>
        <w:t xml:space="preserve"> (2016) ‘Should healthcare providers do safety cases? Lessons from a cross-industry review of safety case practices’, </w:t>
      </w:r>
      <w:r w:rsidRPr="006B7DC7">
        <w:rPr>
          <w:rFonts w:ascii="Calibri" w:hAnsi="Calibri" w:cs="Calibri"/>
          <w:i/>
          <w:iCs/>
          <w:noProof/>
          <w:szCs w:val="24"/>
        </w:rPr>
        <w:t>Safety Science</w:t>
      </w:r>
      <w:r w:rsidRPr="006B7DC7">
        <w:rPr>
          <w:rFonts w:ascii="Calibri" w:hAnsi="Calibri" w:cs="Calibri"/>
          <w:noProof/>
          <w:szCs w:val="24"/>
        </w:rPr>
        <w:t>. Elsevier Ltd, 84, pp. 181–189. doi: 10.1016/j.ssci.2015.12.021.</w:t>
      </w:r>
    </w:p>
    <w:p w14:paraId="4B28C4A0"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Swuste, P. </w:t>
      </w:r>
      <w:r w:rsidRPr="006B7DC7">
        <w:rPr>
          <w:rFonts w:ascii="Calibri" w:hAnsi="Calibri" w:cs="Calibri"/>
          <w:i/>
          <w:iCs/>
          <w:noProof/>
          <w:szCs w:val="24"/>
        </w:rPr>
        <w:t>et al.</w:t>
      </w:r>
      <w:r w:rsidRPr="006B7DC7">
        <w:rPr>
          <w:rFonts w:ascii="Calibri" w:hAnsi="Calibri" w:cs="Calibri"/>
          <w:noProof/>
          <w:szCs w:val="24"/>
        </w:rPr>
        <w:t xml:space="preserve"> (2020) ‘The future of safety science’, </w:t>
      </w:r>
      <w:r w:rsidRPr="006B7DC7">
        <w:rPr>
          <w:rFonts w:ascii="Calibri" w:hAnsi="Calibri" w:cs="Calibri"/>
          <w:i/>
          <w:iCs/>
          <w:noProof/>
          <w:szCs w:val="24"/>
        </w:rPr>
        <w:t>Safety Science</w:t>
      </w:r>
      <w:r w:rsidRPr="006B7DC7">
        <w:rPr>
          <w:rFonts w:ascii="Calibri" w:hAnsi="Calibri" w:cs="Calibri"/>
          <w:noProof/>
          <w:szCs w:val="24"/>
        </w:rPr>
        <w:t>. Elsevier, 125(September 2019), p. 104593. doi: 10.1016/j.ssci.2019.104593.</w:t>
      </w:r>
    </w:p>
    <w:p w14:paraId="760C181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The European Parliment and The Council of the European Union (1993) ‘Council Directive 93/68/EEC of 22 July 1993’, </w:t>
      </w:r>
      <w:r w:rsidRPr="006B7DC7">
        <w:rPr>
          <w:rFonts w:ascii="Calibri" w:hAnsi="Calibri" w:cs="Calibri"/>
          <w:i/>
          <w:iCs/>
          <w:noProof/>
          <w:szCs w:val="24"/>
        </w:rPr>
        <w:t>Official Journal of the European Union</w:t>
      </w:r>
      <w:r w:rsidRPr="006B7DC7">
        <w:rPr>
          <w:rFonts w:ascii="Calibri" w:hAnsi="Calibri" w:cs="Calibri"/>
          <w:noProof/>
          <w:szCs w:val="24"/>
        </w:rPr>
        <w:t>, 68.</w:t>
      </w:r>
    </w:p>
    <w:p w14:paraId="49046499"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Thedell, T. (2013) ‘The Theater of Safety’, </w:t>
      </w:r>
      <w:r w:rsidRPr="006B7DC7">
        <w:rPr>
          <w:rFonts w:ascii="Calibri" w:hAnsi="Calibri" w:cs="Calibri"/>
          <w:i/>
          <w:iCs/>
          <w:noProof/>
          <w:szCs w:val="24"/>
        </w:rPr>
        <w:t>Professional Safety</w:t>
      </w:r>
      <w:r w:rsidRPr="006B7DC7">
        <w:rPr>
          <w:rFonts w:ascii="Calibri" w:hAnsi="Calibri" w:cs="Calibri"/>
          <w:noProof/>
          <w:szCs w:val="24"/>
        </w:rPr>
        <w:t>, 58(10), p. 28.</w:t>
      </w:r>
    </w:p>
    <w:p w14:paraId="48941760"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Thorne, S. E. and Robinson, C. A. (1988) ‘Reciprocal trust in health care relationships’, </w:t>
      </w:r>
      <w:r w:rsidRPr="006B7DC7">
        <w:rPr>
          <w:rFonts w:ascii="Calibri" w:hAnsi="Calibri" w:cs="Calibri"/>
          <w:i/>
          <w:iCs/>
          <w:noProof/>
          <w:szCs w:val="24"/>
        </w:rPr>
        <w:t>Journal of Advanced Nursing</w:t>
      </w:r>
      <w:r w:rsidRPr="006B7DC7">
        <w:rPr>
          <w:rFonts w:ascii="Calibri" w:hAnsi="Calibri" w:cs="Calibri"/>
          <w:noProof/>
          <w:szCs w:val="24"/>
        </w:rPr>
        <w:t>, 13(6), pp. 782–789. doi: 10.1111/j.1365-2648.1988.tb00570.x.</w:t>
      </w:r>
    </w:p>
    <w:p w14:paraId="745196E3"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Tomassoni, A. J. and Simone, K. (2001) ‘Herbal medicines for children: an illusion of safety?’, </w:t>
      </w:r>
      <w:r w:rsidRPr="006B7DC7">
        <w:rPr>
          <w:rFonts w:ascii="Calibri" w:hAnsi="Calibri" w:cs="Calibri"/>
          <w:i/>
          <w:iCs/>
          <w:noProof/>
          <w:szCs w:val="24"/>
        </w:rPr>
        <w:t>Current Opinion in Pediatrics</w:t>
      </w:r>
      <w:r w:rsidRPr="006B7DC7">
        <w:rPr>
          <w:rFonts w:ascii="Calibri" w:hAnsi="Calibri" w:cs="Calibri"/>
          <w:noProof/>
          <w:szCs w:val="24"/>
        </w:rPr>
        <w:t>, 13, pp. 162–169.</w:t>
      </w:r>
    </w:p>
    <w:p w14:paraId="79167A9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Underwood, P. and Waterson, P. (2013) ‘Systemic accident analysis: Examining the gap between research and practice’, </w:t>
      </w:r>
      <w:r w:rsidRPr="006B7DC7">
        <w:rPr>
          <w:rFonts w:ascii="Calibri" w:hAnsi="Calibri" w:cs="Calibri"/>
          <w:i/>
          <w:iCs/>
          <w:noProof/>
          <w:szCs w:val="24"/>
        </w:rPr>
        <w:t>Accident Analysis and Prevention</w:t>
      </w:r>
      <w:r w:rsidRPr="006B7DC7">
        <w:rPr>
          <w:rFonts w:ascii="Calibri" w:hAnsi="Calibri" w:cs="Calibri"/>
          <w:noProof/>
          <w:szCs w:val="24"/>
        </w:rPr>
        <w:t>. Elsevier Ltd, 55, pp. 154–164. doi: 10.1016/j.aap.2013.02.041.</w:t>
      </w:r>
    </w:p>
    <w:p w14:paraId="6E6939D5"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Vincent, C. (2010) </w:t>
      </w:r>
      <w:r w:rsidRPr="006B7DC7">
        <w:rPr>
          <w:rFonts w:ascii="Calibri" w:hAnsi="Calibri" w:cs="Calibri"/>
          <w:i/>
          <w:iCs/>
          <w:noProof/>
          <w:szCs w:val="24"/>
        </w:rPr>
        <w:t>Patient Safety</w:t>
      </w:r>
      <w:r w:rsidRPr="006B7DC7">
        <w:rPr>
          <w:rFonts w:ascii="Calibri" w:hAnsi="Calibri" w:cs="Calibri"/>
          <w:noProof/>
          <w:szCs w:val="24"/>
        </w:rPr>
        <w:t>. 2nd edn. Oxford: Wiley-Blackwell.</w:t>
      </w:r>
    </w:p>
    <w:p w14:paraId="55DC97E3"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Vincent, C. and Amalberti, R. (2016) ‘Approaches to Safety: One Size Does Not Fit All’, in </w:t>
      </w:r>
      <w:r w:rsidRPr="006B7DC7">
        <w:rPr>
          <w:rFonts w:ascii="Calibri" w:hAnsi="Calibri" w:cs="Calibri"/>
          <w:i/>
          <w:iCs/>
          <w:noProof/>
          <w:szCs w:val="24"/>
        </w:rPr>
        <w:t>Safer Healthcare: Strategies for the Real World</w:t>
      </w:r>
      <w:r w:rsidRPr="006B7DC7">
        <w:rPr>
          <w:rFonts w:ascii="Calibri" w:hAnsi="Calibri" w:cs="Calibri"/>
          <w:noProof/>
          <w:szCs w:val="24"/>
        </w:rPr>
        <w:t>. Springer, pp. 27–38. doi: 10.1007/978-3-319-25559-0.</w:t>
      </w:r>
    </w:p>
    <w:p w14:paraId="0ABBD4E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Wang, B. and Wu, C. (2018) ‘The outline of safety informatics’, </w:t>
      </w:r>
      <w:r w:rsidRPr="006B7DC7">
        <w:rPr>
          <w:rFonts w:ascii="Calibri" w:hAnsi="Calibri" w:cs="Calibri"/>
          <w:i/>
          <w:iCs/>
          <w:noProof/>
          <w:szCs w:val="24"/>
        </w:rPr>
        <w:t>J. Intell.</w:t>
      </w:r>
      <w:r w:rsidRPr="006B7DC7">
        <w:rPr>
          <w:rFonts w:ascii="Calibri" w:hAnsi="Calibri" w:cs="Calibri"/>
          <w:noProof/>
          <w:szCs w:val="24"/>
        </w:rPr>
        <w:t>, 37(2), p. 88e96.</w:t>
      </w:r>
    </w:p>
    <w:p w14:paraId="62E2876A"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Wang, B. and Wu, C. (2020) ‘Safety informatics as a new, promising and sustainable area of safety science in the information age’, </w:t>
      </w:r>
      <w:r w:rsidRPr="006B7DC7">
        <w:rPr>
          <w:rFonts w:ascii="Calibri" w:hAnsi="Calibri" w:cs="Calibri"/>
          <w:i/>
          <w:iCs/>
          <w:noProof/>
          <w:szCs w:val="24"/>
        </w:rPr>
        <w:t>Journal of Cleaner Production</w:t>
      </w:r>
      <w:r w:rsidRPr="006B7DC7">
        <w:rPr>
          <w:rFonts w:ascii="Calibri" w:hAnsi="Calibri" w:cs="Calibri"/>
          <w:noProof/>
          <w:szCs w:val="24"/>
        </w:rPr>
        <w:t>. Elsevier Ltd, 252, p. 119852. doi: 10.1016/j.jclepro.2019.119852.</w:t>
      </w:r>
    </w:p>
    <w:p w14:paraId="2771D8E2"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Wardle, C. and Derakhshan, H. (2017) ‘Information Disorder: Toward an interdisciplinary framework for research and policy making’, </w:t>
      </w:r>
      <w:r w:rsidRPr="006B7DC7">
        <w:rPr>
          <w:rFonts w:ascii="Calibri" w:hAnsi="Calibri" w:cs="Calibri"/>
          <w:i/>
          <w:iCs/>
          <w:noProof/>
          <w:szCs w:val="24"/>
        </w:rPr>
        <w:t>Report to the Council of Europe</w:t>
      </w:r>
      <w:r w:rsidRPr="006B7DC7">
        <w:rPr>
          <w:rFonts w:ascii="Calibri" w:hAnsi="Calibri" w:cs="Calibri"/>
          <w:noProof/>
          <w:szCs w:val="24"/>
        </w:rPr>
        <w:t>, p. 108. Available at: https://rm.coe.int/information-disorder-toward-an-interdisciplinary-framework-for-researc/168076277c.</w:t>
      </w:r>
    </w:p>
    <w:p w14:paraId="559A14BE"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Westrum, R. (2014) ‘The study of information flow: A personal journey’, </w:t>
      </w:r>
      <w:r w:rsidRPr="006B7DC7">
        <w:rPr>
          <w:rFonts w:ascii="Calibri" w:hAnsi="Calibri" w:cs="Calibri"/>
          <w:i/>
          <w:iCs/>
          <w:noProof/>
          <w:szCs w:val="24"/>
        </w:rPr>
        <w:t>Safety Science</w:t>
      </w:r>
      <w:r w:rsidRPr="006B7DC7">
        <w:rPr>
          <w:rFonts w:ascii="Calibri" w:hAnsi="Calibri" w:cs="Calibri"/>
          <w:noProof/>
          <w:szCs w:val="24"/>
        </w:rPr>
        <w:t>. Elsevier Ltd, 67, pp. 58–63. doi: 10.1016/j.ssci.2014.01.009.</w:t>
      </w:r>
    </w:p>
    <w:p w14:paraId="131A912C"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Wherton, J. </w:t>
      </w:r>
      <w:r w:rsidRPr="006B7DC7">
        <w:rPr>
          <w:rFonts w:ascii="Calibri" w:hAnsi="Calibri" w:cs="Calibri"/>
          <w:i/>
          <w:iCs/>
          <w:noProof/>
          <w:szCs w:val="24"/>
        </w:rPr>
        <w:t>et al.</w:t>
      </w:r>
      <w:r w:rsidRPr="006B7DC7">
        <w:rPr>
          <w:rFonts w:ascii="Calibri" w:hAnsi="Calibri" w:cs="Calibri"/>
          <w:noProof/>
          <w:szCs w:val="24"/>
        </w:rPr>
        <w:t xml:space="preserve"> (2020) ‘Guidance on the introduction and use of video consultations during COVID-19: important lessons from qualitative research’, </w:t>
      </w:r>
      <w:r w:rsidRPr="006B7DC7">
        <w:rPr>
          <w:rFonts w:ascii="Calibri" w:hAnsi="Calibri" w:cs="Calibri"/>
          <w:i/>
          <w:iCs/>
          <w:noProof/>
          <w:szCs w:val="24"/>
        </w:rPr>
        <w:t>BMJ Leader</w:t>
      </w:r>
      <w:r w:rsidRPr="006B7DC7">
        <w:rPr>
          <w:rFonts w:ascii="Calibri" w:hAnsi="Calibri" w:cs="Calibri"/>
          <w:noProof/>
          <w:szCs w:val="24"/>
        </w:rPr>
        <w:t>. doi: 10.1136/leader-2020-000262.</w:t>
      </w:r>
    </w:p>
    <w:p w14:paraId="7D3FF7C8"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Wickramasinghe, N. and Bodendorf, F. (eds) (2020) </w:t>
      </w:r>
      <w:r w:rsidRPr="006B7DC7">
        <w:rPr>
          <w:rFonts w:ascii="Calibri" w:hAnsi="Calibri" w:cs="Calibri"/>
          <w:i/>
          <w:iCs/>
          <w:noProof/>
          <w:szCs w:val="24"/>
        </w:rPr>
        <w:t>Delivering Superior Health and Wellness Management with IoT and Analytics</w:t>
      </w:r>
      <w:r w:rsidRPr="006B7DC7">
        <w:rPr>
          <w:rFonts w:ascii="Calibri" w:hAnsi="Calibri" w:cs="Calibri"/>
          <w:noProof/>
          <w:szCs w:val="24"/>
        </w:rPr>
        <w:t>. Springer. doi: 10.1007/978-3-030-17347-0.</w:t>
      </w:r>
    </w:p>
    <w:p w14:paraId="1A11B9B5" w14:textId="77777777" w:rsidR="006B7DC7" w:rsidRPr="006B7DC7" w:rsidRDefault="006B7DC7" w:rsidP="006B7DC7">
      <w:pPr>
        <w:widowControl w:val="0"/>
        <w:autoSpaceDE w:val="0"/>
        <w:autoSpaceDN w:val="0"/>
        <w:adjustRightInd w:val="0"/>
        <w:spacing w:line="240" w:lineRule="auto"/>
        <w:rPr>
          <w:rFonts w:ascii="Calibri" w:hAnsi="Calibri" w:cs="Calibri"/>
          <w:noProof/>
          <w:szCs w:val="24"/>
        </w:rPr>
      </w:pPr>
      <w:r w:rsidRPr="006B7DC7">
        <w:rPr>
          <w:rFonts w:ascii="Calibri" w:hAnsi="Calibri" w:cs="Calibri"/>
          <w:noProof/>
          <w:szCs w:val="24"/>
        </w:rPr>
        <w:t xml:space="preserve">Wismar, M. </w:t>
      </w:r>
      <w:r w:rsidRPr="006B7DC7">
        <w:rPr>
          <w:rFonts w:ascii="Calibri" w:hAnsi="Calibri" w:cs="Calibri"/>
          <w:i/>
          <w:iCs/>
          <w:noProof/>
          <w:szCs w:val="24"/>
        </w:rPr>
        <w:t>et al.</w:t>
      </w:r>
      <w:r w:rsidRPr="006B7DC7">
        <w:rPr>
          <w:rFonts w:ascii="Calibri" w:hAnsi="Calibri" w:cs="Calibri"/>
          <w:noProof/>
          <w:szCs w:val="24"/>
        </w:rPr>
        <w:t xml:space="preserve"> (2011) </w:t>
      </w:r>
      <w:r w:rsidRPr="006B7DC7">
        <w:rPr>
          <w:rFonts w:ascii="Calibri" w:hAnsi="Calibri" w:cs="Calibri"/>
          <w:i/>
          <w:iCs/>
          <w:noProof/>
          <w:szCs w:val="24"/>
        </w:rPr>
        <w:t>Cross-border Health Care in the European Union: Mapping and analysing practices and policies</w:t>
      </w:r>
      <w:r w:rsidRPr="006B7DC7">
        <w:rPr>
          <w:rFonts w:ascii="Calibri" w:hAnsi="Calibri" w:cs="Calibri"/>
          <w:noProof/>
          <w:szCs w:val="24"/>
        </w:rPr>
        <w:t>. Copenhagen: WHO Europe; Available at: https://apps.who.int/iris/bitstream/handle/10665/327961/9789289002219-eng.pdf.</w:t>
      </w:r>
    </w:p>
    <w:p w14:paraId="350E0695" w14:textId="77777777" w:rsidR="006B7DC7" w:rsidRPr="006B7DC7" w:rsidRDefault="006B7DC7" w:rsidP="006B7DC7">
      <w:pPr>
        <w:widowControl w:val="0"/>
        <w:autoSpaceDE w:val="0"/>
        <w:autoSpaceDN w:val="0"/>
        <w:adjustRightInd w:val="0"/>
        <w:spacing w:line="240" w:lineRule="auto"/>
        <w:rPr>
          <w:rFonts w:ascii="Calibri" w:hAnsi="Calibri" w:cs="Calibri"/>
          <w:noProof/>
        </w:rPr>
      </w:pPr>
      <w:r w:rsidRPr="006B7DC7">
        <w:rPr>
          <w:rFonts w:ascii="Calibri" w:hAnsi="Calibri" w:cs="Calibri"/>
          <w:noProof/>
          <w:szCs w:val="24"/>
        </w:rPr>
        <w:t xml:space="preserve">Wykes, T. and Schueller, S. (2019) ‘Why reviewing apps is not enough: Transparency for trust (T4T) principles of responsible health app marketplaces’, </w:t>
      </w:r>
      <w:r w:rsidRPr="006B7DC7">
        <w:rPr>
          <w:rFonts w:ascii="Calibri" w:hAnsi="Calibri" w:cs="Calibri"/>
          <w:i/>
          <w:iCs/>
          <w:noProof/>
          <w:szCs w:val="24"/>
        </w:rPr>
        <w:t>Journal of Medical Internet Research</w:t>
      </w:r>
      <w:r w:rsidRPr="006B7DC7">
        <w:rPr>
          <w:rFonts w:ascii="Calibri" w:hAnsi="Calibri" w:cs="Calibri"/>
          <w:noProof/>
          <w:szCs w:val="24"/>
        </w:rPr>
        <w:t>, 21(5). doi: 10.2196/12390.</w:t>
      </w:r>
    </w:p>
    <w:p w14:paraId="69C6A990" w14:textId="7AD86F0C" w:rsidR="001A5100" w:rsidRPr="001A5100" w:rsidRDefault="006B7DC7" w:rsidP="001A5100">
      <w:r>
        <w:fldChar w:fldCharType="end"/>
      </w:r>
    </w:p>
    <w:sectPr w:rsidR="001A5100" w:rsidRPr="001A5100" w:rsidSect="008267F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iarán McInerney" w:date="2020-08-04T10:16:00Z" w:initials="CM">
    <w:p w14:paraId="1EA9AB52" w14:textId="061EEEF9" w:rsidR="0008502C" w:rsidRDefault="0008502C">
      <w:pPr>
        <w:pStyle w:val="CommentText"/>
      </w:pPr>
      <w:r>
        <w:rPr>
          <w:rStyle w:val="CommentReference"/>
        </w:rPr>
        <w:annotationRef/>
      </w:r>
      <w:r>
        <w:t xml:space="preserve">Rebecca + David – </w:t>
      </w:r>
    </w:p>
    <w:p w14:paraId="5ACB1D88" w14:textId="7EED04C2" w:rsidR="0008502C" w:rsidRDefault="0008502C">
      <w:pPr>
        <w:pStyle w:val="CommentText"/>
      </w:pPr>
    </w:p>
    <w:p w14:paraId="65DC93CA" w14:textId="1C5CED2A" w:rsidR="0008502C" w:rsidRDefault="0008502C">
      <w:pPr>
        <w:pStyle w:val="CommentText"/>
      </w:pPr>
      <w:r>
        <w:t>You both commented that this point should be widened to incorporate more than just video consultation.</w:t>
      </w:r>
    </w:p>
    <w:p w14:paraId="34032047" w14:textId="036C4CA3" w:rsidR="0008502C" w:rsidRDefault="0008502C">
      <w:pPr>
        <w:pStyle w:val="CommentText"/>
      </w:pPr>
    </w:p>
    <w:p w14:paraId="6CC4C0E2" w14:textId="0E37C6BB" w:rsidR="0008502C" w:rsidRDefault="0008502C" w:rsidP="00E1344E">
      <w:pPr>
        <w:pStyle w:val="CommentText"/>
        <w:numPr>
          <w:ilvl w:val="0"/>
          <w:numId w:val="10"/>
        </w:numPr>
      </w:pPr>
      <w:r>
        <w:t xml:space="preserve"> Do you have a citation for making such a statement?</w:t>
      </w:r>
    </w:p>
    <w:p w14:paraId="435FD4CA" w14:textId="1B5FD79B" w:rsidR="0008502C" w:rsidRDefault="0008502C" w:rsidP="00E1344E">
      <w:pPr>
        <w:pStyle w:val="CommentText"/>
        <w:numPr>
          <w:ilvl w:val="0"/>
          <w:numId w:val="10"/>
        </w:numPr>
      </w:pPr>
      <w:r>
        <w:t xml:space="preserve"> Alternatively, are you happier if the current statement is prefaced with “For example…”?</w:t>
      </w:r>
    </w:p>
  </w:comment>
  <w:comment w:id="1" w:author="Ciarán McInerney" w:date="2020-08-04T10:20:00Z" w:initials="CM">
    <w:p w14:paraId="217678B5" w14:textId="77777777" w:rsidR="0008502C" w:rsidRDefault="0008502C" w:rsidP="00823212">
      <w:pPr>
        <w:pStyle w:val="CommentText"/>
      </w:pPr>
      <w:r>
        <w:rPr>
          <w:rStyle w:val="CommentReference"/>
        </w:rPr>
        <w:annotationRef/>
      </w:r>
      <w:r>
        <w:t>Rebecca –</w:t>
      </w:r>
    </w:p>
    <w:p w14:paraId="590177D1" w14:textId="77777777" w:rsidR="0008502C" w:rsidRDefault="0008502C" w:rsidP="00823212">
      <w:pPr>
        <w:pStyle w:val="CommentText"/>
      </w:pPr>
    </w:p>
    <w:p w14:paraId="285E7261" w14:textId="77777777" w:rsidR="0008502C" w:rsidRDefault="0008502C" w:rsidP="00823212">
      <w:pPr>
        <w:pStyle w:val="CommentText"/>
      </w:pPr>
      <w:r>
        <w:t>You commented that literature on information infrastructures is relevant, here.</w:t>
      </w:r>
    </w:p>
    <w:p w14:paraId="4A56CAD4" w14:textId="77777777" w:rsidR="0008502C" w:rsidRDefault="0008502C" w:rsidP="00823212">
      <w:pPr>
        <w:pStyle w:val="CommentText"/>
      </w:pPr>
    </w:p>
    <w:p w14:paraId="7EB00DD0" w14:textId="77777777" w:rsidR="0008502C" w:rsidRDefault="0008502C" w:rsidP="00823212">
      <w:pPr>
        <w:pStyle w:val="CommentText"/>
        <w:numPr>
          <w:ilvl w:val="0"/>
          <w:numId w:val="10"/>
        </w:numPr>
      </w:pPr>
      <w:r>
        <w:t xml:space="preserve"> Can you provide a citation and statement, please?</w:t>
      </w:r>
    </w:p>
  </w:comment>
  <w:comment w:id="2" w:author="Ciarán McInerney" w:date="2020-08-11T17:10:00Z" w:initials="CM">
    <w:p w14:paraId="51A8E3D7" w14:textId="77777777" w:rsidR="0008502C" w:rsidRDefault="0008502C" w:rsidP="006A6EEC">
      <w:pPr>
        <w:pStyle w:val="CommentText"/>
      </w:pPr>
      <w:r>
        <w:rPr>
          <w:rStyle w:val="CommentReference"/>
        </w:rPr>
        <w:annotationRef/>
      </w:r>
      <w:r>
        <w:t xml:space="preserve">David – </w:t>
      </w:r>
    </w:p>
    <w:p w14:paraId="57399FF2" w14:textId="77777777" w:rsidR="0008502C" w:rsidRDefault="0008502C" w:rsidP="006A6EEC">
      <w:pPr>
        <w:pStyle w:val="CommentText"/>
      </w:pPr>
    </w:p>
    <w:p w14:paraId="58B9F5E2" w14:textId="77777777" w:rsidR="0008502C" w:rsidRDefault="0008502C" w:rsidP="006A6EEC">
      <w:pPr>
        <w:pStyle w:val="CommentText"/>
      </w:pPr>
      <w:r>
        <w:t>You commented that it would be good to mention the fewer regulations for technology than for treatments.</w:t>
      </w:r>
    </w:p>
    <w:p w14:paraId="711AB950" w14:textId="77777777" w:rsidR="0008502C" w:rsidRDefault="0008502C" w:rsidP="006A6EEC">
      <w:pPr>
        <w:pStyle w:val="CommentText"/>
      </w:pPr>
    </w:p>
    <w:p w14:paraId="5D957721" w14:textId="6E8B25A2" w:rsidR="0008502C" w:rsidRDefault="0008502C" w:rsidP="006A6EEC">
      <w:pPr>
        <w:pStyle w:val="CommentText"/>
      </w:pPr>
      <w:r>
        <w:t>- Can you provide a citation so that it would succinctly fit in with this list?</w:t>
      </w:r>
    </w:p>
  </w:comment>
  <w:comment w:id="3" w:author="Ciarán McInerney" w:date="2020-08-04T10:34:00Z" w:initials="CM">
    <w:p w14:paraId="2A3893CC" w14:textId="53DB3D2E" w:rsidR="0008502C" w:rsidRDefault="0008502C">
      <w:pPr>
        <w:pStyle w:val="CommentText"/>
      </w:pPr>
      <w:r>
        <w:rPr>
          <w:rStyle w:val="CommentReference"/>
        </w:rPr>
        <w:annotationRef/>
      </w:r>
      <w:r>
        <w:t xml:space="preserve">Owen – </w:t>
      </w:r>
    </w:p>
    <w:p w14:paraId="2893FE5D" w14:textId="2814F44F" w:rsidR="0008502C" w:rsidRDefault="0008502C">
      <w:pPr>
        <w:pStyle w:val="CommentText"/>
      </w:pPr>
    </w:p>
    <w:p w14:paraId="46ED494D" w14:textId="5DD7FBBA" w:rsidR="0008502C" w:rsidRDefault="0008502C">
      <w:pPr>
        <w:pStyle w:val="CommentText"/>
      </w:pPr>
      <w:r>
        <w:t>You commented that we should include a description of the recruitment process.</w:t>
      </w:r>
    </w:p>
    <w:p w14:paraId="41E0E82F" w14:textId="1D139309" w:rsidR="0008502C" w:rsidRDefault="0008502C">
      <w:pPr>
        <w:pStyle w:val="CommentText"/>
      </w:pPr>
    </w:p>
    <w:p w14:paraId="12FC6F1A" w14:textId="7C7F4EBC" w:rsidR="0008502C" w:rsidRDefault="0008502C" w:rsidP="00256640">
      <w:pPr>
        <w:pStyle w:val="CommentText"/>
        <w:numPr>
          <w:ilvl w:val="0"/>
          <w:numId w:val="10"/>
        </w:numPr>
      </w:pPr>
      <w:r>
        <w:t xml:space="preserve"> Can you please offer some suggested wording?</w:t>
      </w:r>
    </w:p>
  </w:comment>
  <w:comment w:id="4" w:author="Ciarán McInerney" w:date="2020-08-11T17:14:00Z" w:initials="CM">
    <w:p w14:paraId="0AF4D833" w14:textId="77777777" w:rsidR="0008502C" w:rsidRDefault="0008502C" w:rsidP="0033179C">
      <w:pPr>
        <w:pStyle w:val="CommentText"/>
      </w:pPr>
      <w:r>
        <w:rPr>
          <w:rStyle w:val="CommentReference"/>
        </w:rPr>
        <w:annotationRef/>
      </w: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6E16C775" w14:textId="77777777" w:rsidR="0008502C" w:rsidRDefault="0008502C" w:rsidP="0033179C">
      <w:pPr>
        <w:pStyle w:val="CommentText"/>
      </w:pPr>
    </w:p>
    <w:p w14:paraId="7AEED6C6" w14:textId="77777777" w:rsidR="0008502C" w:rsidRDefault="0008502C" w:rsidP="0033179C">
      <w:pPr>
        <w:pStyle w:val="CommentText"/>
      </w:pPr>
      <w:r>
        <w:t>Rebecca commented that all the challenges can be reduced to three:</w:t>
      </w:r>
    </w:p>
    <w:p w14:paraId="37B27320" w14:textId="77777777" w:rsidR="0008502C" w:rsidRDefault="0008502C" w:rsidP="0033179C">
      <w:pPr>
        <w:pStyle w:val="CommentText"/>
        <w:numPr>
          <w:ilvl w:val="0"/>
          <w:numId w:val="11"/>
        </w:numPr>
      </w:pPr>
      <w:r>
        <w:t>An environment where there is rapid innovation, often leveraging existing hardware and adding to or creating HISs</w:t>
      </w:r>
    </w:p>
    <w:p w14:paraId="53F75C94" w14:textId="77777777" w:rsidR="0008502C" w:rsidRDefault="0008502C" w:rsidP="0033179C">
      <w:pPr>
        <w:pStyle w:val="CommentText"/>
        <w:numPr>
          <w:ilvl w:val="0"/>
          <w:numId w:val="11"/>
        </w:numPr>
      </w:pPr>
      <w:r>
        <w:t>An increasing amount of data being collected, but less consideration of how to integrate, interpret, and present that to both healthcare professionals and patients</w:t>
      </w:r>
    </w:p>
    <w:p w14:paraId="53A77E52" w14:textId="77777777" w:rsidR="0008502C" w:rsidRDefault="0008502C" w:rsidP="0033179C">
      <w:pPr>
        <w:pStyle w:val="CommentText"/>
        <w:numPr>
          <w:ilvl w:val="0"/>
          <w:numId w:val="11"/>
        </w:numPr>
      </w:pPr>
      <w:r>
        <w:t>HITs leading to changes in how patients interact with the healthcare system</w:t>
      </w:r>
    </w:p>
    <w:p w14:paraId="5BA5E07C" w14:textId="77777777" w:rsidR="0008502C" w:rsidRDefault="0008502C" w:rsidP="0033179C">
      <w:pPr>
        <w:pStyle w:val="CommentText"/>
      </w:pPr>
    </w:p>
    <w:p w14:paraId="05A1E6F1" w14:textId="77777777" w:rsidR="0008502C" w:rsidRDefault="0008502C" w:rsidP="0033179C">
      <w:pPr>
        <w:pStyle w:val="CommentText"/>
        <w:numPr>
          <w:ilvl w:val="0"/>
          <w:numId w:val="10"/>
        </w:numPr>
      </w:pPr>
      <w:r>
        <w:t xml:space="preserve"> Should we change this section to reflect the three-challenge format?</w:t>
      </w:r>
    </w:p>
    <w:p w14:paraId="0D84A9B3" w14:textId="356EE882" w:rsidR="0008502C" w:rsidRDefault="0008502C">
      <w:pPr>
        <w:pStyle w:val="CommentText"/>
      </w:pPr>
    </w:p>
  </w:comment>
  <w:comment w:id="5" w:author="Ciarán McInerney" w:date="2020-08-11T17:14:00Z" w:initials="CM">
    <w:p w14:paraId="4110C762" w14:textId="77777777" w:rsidR="0008502C" w:rsidRDefault="0008502C" w:rsidP="0033179C">
      <w:pPr>
        <w:pStyle w:val="CommentText"/>
      </w:pPr>
      <w:r>
        <w:rPr>
          <w:rStyle w:val="CommentReference"/>
        </w:rPr>
        <w:annotationRef/>
      </w:r>
      <w:r>
        <w:rPr>
          <w:rStyle w:val="CommentReference"/>
        </w:rPr>
        <w:t xml:space="preserve">Dawn + David + Ibrahim + Jon + Niels + </w:t>
      </w:r>
      <w:r>
        <w:rPr>
          <w:rStyle w:val="CommentReference"/>
        </w:rPr>
        <w:annotationRef/>
      </w:r>
      <w:r>
        <w:rPr>
          <w:rStyle w:val="CommentReference"/>
        </w:rPr>
        <w:t xml:space="preserve">Owen + Rebecca + Richard </w:t>
      </w:r>
      <w:r>
        <w:t>–</w:t>
      </w:r>
    </w:p>
    <w:p w14:paraId="3BBDD172" w14:textId="77777777" w:rsidR="0008502C" w:rsidRDefault="0008502C" w:rsidP="0033179C">
      <w:pPr>
        <w:pStyle w:val="CommentText"/>
      </w:pPr>
    </w:p>
    <w:p w14:paraId="7C18C9E4" w14:textId="77777777" w:rsidR="0008502C" w:rsidRDefault="0008502C" w:rsidP="0033179C">
      <w:pPr>
        <w:pStyle w:val="CommentText"/>
      </w:pPr>
      <w:r>
        <w:t>Ibrahim commented that it might be good to link each challenges to a theory in patient safety.</w:t>
      </w:r>
    </w:p>
    <w:p w14:paraId="5E063AF8" w14:textId="77777777" w:rsidR="0008502C" w:rsidRDefault="0008502C" w:rsidP="0033179C">
      <w:pPr>
        <w:pStyle w:val="CommentText"/>
      </w:pPr>
    </w:p>
    <w:p w14:paraId="301121C6" w14:textId="77777777" w:rsidR="0008502C" w:rsidRDefault="0008502C" w:rsidP="0033179C">
      <w:pPr>
        <w:pStyle w:val="CommentText"/>
        <w:numPr>
          <w:ilvl w:val="0"/>
          <w:numId w:val="10"/>
        </w:numPr>
      </w:pPr>
      <w:r>
        <w:t xml:space="preserve"> Is this something we want to do?</w:t>
      </w:r>
    </w:p>
    <w:p w14:paraId="1EFF8D38" w14:textId="4CD952D8" w:rsidR="0008502C" w:rsidRDefault="0008502C">
      <w:pPr>
        <w:pStyle w:val="CommentText"/>
      </w:pPr>
    </w:p>
  </w:comment>
  <w:comment w:id="6" w:author="Ciarán McInerney" w:date="2020-08-04T09:41:00Z" w:initials="CM">
    <w:p w14:paraId="060B4ED8" w14:textId="77777777" w:rsidR="0008502C" w:rsidRDefault="0008502C">
      <w:pPr>
        <w:pStyle w:val="CommentText"/>
      </w:pPr>
      <w:r>
        <w:rPr>
          <w:rStyle w:val="CommentReference"/>
        </w:rPr>
        <w:annotationRef/>
      </w:r>
      <w:r>
        <w:t>David J + Niels –</w:t>
      </w:r>
    </w:p>
    <w:p w14:paraId="11E55969" w14:textId="77777777" w:rsidR="0008502C" w:rsidRDefault="0008502C">
      <w:pPr>
        <w:pStyle w:val="CommentText"/>
      </w:pPr>
    </w:p>
    <w:p w14:paraId="08214CF2" w14:textId="0AB9B870" w:rsidR="0008502C" w:rsidRDefault="0008502C">
      <w:pPr>
        <w:pStyle w:val="CommentText"/>
      </w:pPr>
      <w:r>
        <w:t>Please, review and edit as appropriate.</w:t>
      </w:r>
    </w:p>
  </w:comment>
  <w:comment w:id="7" w:author="Ciarán McInerney" w:date="2020-08-04T11:14:00Z" w:initials="CM">
    <w:p w14:paraId="2D92A5B5" w14:textId="06F1A1C7" w:rsidR="0008502C" w:rsidRDefault="0008502C">
      <w:pPr>
        <w:pStyle w:val="CommentText"/>
      </w:pPr>
      <w:r>
        <w:rPr>
          <w:rStyle w:val="CommentReference"/>
        </w:rPr>
        <w:annotationRef/>
      </w:r>
      <w:r>
        <w:t xml:space="preserve">Rebecca – </w:t>
      </w:r>
    </w:p>
    <w:p w14:paraId="57177460" w14:textId="4E080DE8" w:rsidR="0008502C" w:rsidRDefault="0008502C">
      <w:pPr>
        <w:pStyle w:val="CommentText"/>
      </w:pPr>
    </w:p>
    <w:p w14:paraId="260A68BB" w14:textId="69A2269F" w:rsidR="0008502C" w:rsidRDefault="0008502C">
      <w:pPr>
        <w:pStyle w:val="CommentText"/>
      </w:pPr>
      <w:r>
        <w:t>You commented that there are different kinds of trust.</w:t>
      </w:r>
    </w:p>
    <w:p w14:paraId="0CB0930F" w14:textId="44B29FFC" w:rsidR="0008502C" w:rsidRDefault="0008502C">
      <w:pPr>
        <w:pStyle w:val="CommentText"/>
      </w:pPr>
    </w:p>
    <w:p w14:paraId="13B057C6" w14:textId="514880BD" w:rsidR="0008502C" w:rsidRDefault="0008502C" w:rsidP="003354EE">
      <w:pPr>
        <w:pStyle w:val="CommentText"/>
        <w:numPr>
          <w:ilvl w:val="0"/>
          <w:numId w:val="10"/>
        </w:numPr>
      </w:pPr>
      <w:r>
        <w:t xml:space="preserve"> Can you help me to understand what these kinds of trust are and how the distinctions are important for this paper, please?</w:t>
      </w:r>
    </w:p>
  </w:comment>
  <w:comment w:id="8" w:author="Ciarán McInerney" w:date="2020-08-04T11:16:00Z" w:initials="CM">
    <w:p w14:paraId="17839136" w14:textId="530CFB2F" w:rsidR="0008502C" w:rsidRDefault="0008502C">
      <w:pPr>
        <w:pStyle w:val="CommentText"/>
      </w:pPr>
      <w:r>
        <w:rPr>
          <w:rStyle w:val="CommentReference"/>
        </w:rPr>
        <w:annotationRef/>
      </w:r>
      <w:r>
        <w:t xml:space="preserve">Rebecca – </w:t>
      </w:r>
    </w:p>
    <w:p w14:paraId="18779ED8" w14:textId="640E93A7" w:rsidR="0008502C" w:rsidRDefault="0008502C">
      <w:pPr>
        <w:pStyle w:val="CommentText"/>
      </w:pPr>
    </w:p>
    <w:p w14:paraId="1E435825" w14:textId="61C31E6B" w:rsidR="0008502C" w:rsidRDefault="0008502C">
      <w:pPr>
        <w:pStyle w:val="CommentText"/>
      </w:pPr>
      <w:r>
        <w:t>You commented that this statement needs expanding.</w:t>
      </w:r>
    </w:p>
    <w:p w14:paraId="1572E436" w14:textId="77777777" w:rsidR="0008502C" w:rsidRDefault="0008502C">
      <w:pPr>
        <w:pStyle w:val="CommentText"/>
      </w:pPr>
    </w:p>
    <w:p w14:paraId="4AB04C68" w14:textId="10CBBBC5" w:rsidR="0008502C" w:rsidRDefault="0008502C" w:rsidP="003354EE">
      <w:pPr>
        <w:pStyle w:val="CommentText"/>
        <w:numPr>
          <w:ilvl w:val="0"/>
          <w:numId w:val="10"/>
        </w:numPr>
      </w:pPr>
      <w:r>
        <w:t xml:space="preserve"> How shall we expand? Is it that the core message is not communicated or is it that an example would clarify the partly communicated message?</w:t>
      </w:r>
    </w:p>
  </w:comment>
  <w:comment w:id="9" w:author="Ciarán McInerney" w:date="2020-08-12T18:05:00Z" w:initials="CM">
    <w:p w14:paraId="589EC734" w14:textId="77777777" w:rsidR="00CE0FE4" w:rsidRDefault="00CE0FE4" w:rsidP="00CE0FE4">
      <w:pPr>
        <w:pStyle w:val="CommentText"/>
      </w:pPr>
      <w:r>
        <w:rPr>
          <w:rStyle w:val="CommentReference"/>
        </w:rPr>
        <w:annotationRef/>
      </w:r>
      <w:r>
        <w:rPr>
          <w:rStyle w:val="CommentReference"/>
        </w:rPr>
        <w:annotationRef/>
      </w:r>
      <w:r>
        <w:t xml:space="preserve">Jon – </w:t>
      </w:r>
    </w:p>
    <w:p w14:paraId="5E4D0BE7" w14:textId="77777777" w:rsidR="00CE0FE4" w:rsidRDefault="00CE0FE4" w:rsidP="00CE0FE4">
      <w:pPr>
        <w:pStyle w:val="CommentText"/>
      </w:pPr>
    </w:p>
    <w:p w14:paraId="1631CF91" w14:textId="4CCE79FA" w:rsidR="00CE0FE4" w:rsidRDefault="00CE0FE4" w:rsidP="00CE0FE4">
      <w:pPr>
        <w:pStyle w:val="CommentText"/>
      </w:pPr>
      <w:r>
        <w:t>Can you please write a succinct definition of the socio-technical perspective and also a description of how such a perspective is good for patient safety?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5FD4CA" w15:done="0"/>
  <w15:commentEx w15:paraId="7EB00DD0" w15:done="0"/>
  <w15:commentEx w15:paraId="5D957721" w15:done="0"/>
  <w15:commentEx w15:paraId="12FC6F1A" w15:done="0"/>
  <w15:commentEx w15:paraId="0D84A9B3" w15:done="0"/>
  <w15:commentEx w15:paraId="1EFF8D38" w15:done="0"/>
  <w15:commentEx w15:paraId="08214CF2" w15:done="0"/>
  <w15:commentEx w15:paraId="13B057C6" w15:done="0"/>
  <w15:commentEx w15:paraId="4AB04C68" w15:done="0"/>
  <w15:commentEx w15:paraId="1631CF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C534A7" w16cex:dateUtc="2020-07-24T09:21:00Z"/>
  <w16cex:commentExtensible w16cex:durableId="22C533AA" w16cex:dateUtc="2020-07-24T09:17:00Z"/>
  <w16cex:commentExtensible w16cex:durableId="22C53541" w16cex:dateUtc="2020-07-24T09:24:00Z"/>
  <w16cex:commentExtensible w16cex:durableId="22BBFD30" w16cex:dateUtc="2020-07-17T09:34:00Z"/>
  <w16cex:commentExtensible w16cex:durableId="22C535B4" w16cex:dateUtc="2020-07-24T09:25:00Z"/>
  <w16cex:commentExtensible w16cex:durableId="22BBFD9C" w16cex:dateUtc="2020-07-17T09:36:00Z"/>
  <w16cex:commentExtensible w16cex:durableId="22C5361B" w16cex:dateUtc="2020-07-24T09:27:00Z"/>
  <w16cex:commentExtensible w16cex:durableId="22C1553B" w16cex:dateUtc="2020-07-21T10:51:00Z"/>
  <w16cex:commentExtensible w16cex:durableId="22C5367F" w16cex:dateUtc="2020-07-24T09:29: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C5384E" w16cex:dateUtc="2020-07-24T09:37:00Z"/>
  <w16cex:commentExtensible w16cex:durableId="22BBFFEA" w16cex:dateUtc="2020-07-17T09:46:00Z"/>
  <w16cex:commentExtensible w16cex:durableId="22C53873" w16cex:dateUtc="2020-07-24T09:37:00Z"/>
  <w16cex:commentExtensible w16cex:durableId="22BC00C0" w16cex:dateUtc="2020-07-17T09:49:00Z"/>
  <w16cex:commentExtensible w16cex:durableId="22BC050F" w16cex:dateUtc="2020-07-17T10:07:00Z"/>
  <w16cex:commentExtensible w16cex:durableId="22C53A86" w16cex:dateUtc="2020-07-24T09:46: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C53B3F" w16cex:dateUtc="2020-07-24T09:49: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540A7" w16cex:dateUtc="2020-07-24T10:12: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612D85A4" w16cid:durableId="22C534A7"/>
  <w16cid:commentId w16cid:paraId="402CCA1E" w16cid:durableId="22C533AA"/>
  <w16cid:commentId w16cid:paraId="2F515215" w16cid:durableId="22BBF9FC"/>
  <w16cid:commentId w16cid:paraId="58818907" w16cid:durableId="22BBF9FD"/>
  <w16cid:commentId w16cid:paraId="647DD93A" w16cid:durableId="22C53541"/>
  <w16cid:commentId w16cid:paraId="3403BC13" w16cid:durableId="22BBFD30"/>
  <w16cid:commentId w16cid:paraId="0B55B207" w16cid:durableId="22C6809E"/>
  <w16cid:commentId w16cid:paraId="25E9CDDF" w16cid:durableId="22C14FE0"/>
  <w16cid:commentId w16cid:paraId="7452D661" w16cid:durableId="22C535B4"/>
  <w16cid:commentId w16cid:paraId="14A7BACF" w16cid:durableId="22BBF9FE"/>
  <w16cid:commentId w16cid:paraId="56D3B1AE" w16cid:durableId="22BBF9FF"/>
  <w16cid:commentId w16cid:paraId="233A4FF2" w16cid:durableId="22BBFD9C"/>
  <w16cid:commentId w16cid:paraId="43E2FE5A" w16cid:durableId="22C5361B"/>
  <w16cid:commentId w16cid:paraId="02770338" w16cid:durableId="22C1553B"/>
  <w16cid:commentId w16cid:paraId="35391686" w16cid:durableId="22C5367F"/>
  <w16cid:commentId w16cid:paraId="72B87768" w16cid:durableId="22C154C7"/>
  <w16cid:commentId w16cid:paraId="4F7F15E3" w16cid:durableId="22BBFE58"/>
  <w16cid:commentId w16cid:paraId="1AED342C" w16cid:durableId="22C686EC"/>
  <w16cid:commentId w16cid:paraId="3241B13E" w16cid:durableId="22BBFE82"/>
  <w16cid:commentId w16cid:paraId="024298BF" w16cid:durableId="22BBFA00"/>
  <w16cid:commentId w16cid:paraId="01B31BF3" w16cid:durableId="22BBFA01"/>
  <w16cid:commentId w16cid:paraId="4EFE0671" w16cid:durableId="22C681CC"/>
  <w16cid:commentId w16cid:paraId="15D418FA" w16cid:durableId="22C16E83"/>
  <w16cid:commentId w16cid:paraId="737DF72F" w16cid:durableId="22BBFF03"/>
  <w16cid:commentId w16cid:paraId="3683342D" w16cid:durableId="22BBFA02"/>
  <w16cid:commentId w16cid:paraId="733BED56" w16cid:durableId="22BBFF74"/>
  <w16cid:commentId w16cid:paraId="4FB6103C" w16cid:durableId="22C5384E"/>
  <w16cid:commentId w16cid:paraId="6ABFE280" w16cid:durableId="22BBFFEA"/>
  <w16cid:commentId w16cid:paraId="334D0A64" w16cid:durableId="22C53873"/>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5F048BDB" w16cid:durableId="22C68658"/>
  <w16cid:commentId w16cid:paraId="44A30EB1" w16cid:durableId="22BBFA06"/>
  <w16cid:commentId w16cid:paraId="51785D5F" w16cid:durableId="22BC050F"/>
  <w16cid:commentId w16cid:paraId="7E229A57" w16cid:durableId="22C53A86"/>
  <w16cid:commentId w16cid:paraId="6F71DE2D" w16cid:durableId="22BC079F"/>
  <w16cid:commentId w16cid:paraId="7AB2815B" w16cid:durableId="22C6861B"/>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07C66B48" w16cid:durableId="22C53B3F"/>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35ABC98F" w16cid:durableId="22C683C3"/>
  <w16cid:commentId w16cid:paraId="0C3377E9" w16cid:durableId="22BBFA0B"/>
  <w16cid:commentId w16cid:paraId="5417128D" w16cid:durableId="22BBFA0C"/>
  <w16cid:commentId w16cid:paraId="7CC6C97F" w16cid:durableId="22C540A7"/>
  <w16cid:commentId w16cid:paraId="0C4D886C" w16cid:durableId="22BBFA0D"/>
  <w16cid:commentId w16cid:paraId="425D7DEE" w16cid:durableId="22C68316"/>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5C7ACBBB" w16cid:durableId="22C682BE"/>
  <w16cid:commentId w16cid:paraId="7BD5659F" w16cid:durableId="22BBFA11"/>
  <w16cid:commentId w16cid:paraId="132F52E3" w16cid:durableId="22BBFA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C5DF5" w14:textId="77777777" w:rsidR="0008502C" w:rsidRDefault="0008502C" w:rsidP="009500EF">
      <w:pPr>
        <w:spacing w:after="0" w:line="240" w:lineRule="auto"/>
      </w:pPr>
      <w:r>
        <w:separator/>
      </w:r>
    </w:p>
  </w:endnote>
  <w:endnote w:type="continuationSeparator" w:id="0">
    <w:p w14:paraId="597E919C" w14:textId="77777777" w:rsidR="0008502C" w:rsidRDefault="0008502C"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59868901"/>
      <w:docPartObj>
        <w:docPartGallery w:val="Page Numbers (Bottom of Page)"/>
        <w:docPartUnique/>
      </w:docPartObj>
    </w:sdtPr>
    <w:sdtContent>
      <w:p w14:paraId="527FD71E" w14:textId="15FCBBB0" w:rsidR="0008502C" w:rsidRDefault="0008502C" w:rsidP="00ED69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C826A9" w14:textId="77777777" w:rsidR="0008502C" w:rsidRDefault="00085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919436906"/>
      <w:docPartObj>
        <w:docPartGallery w:val="Page Numbers (Bottom of Page)"/>
        <w:docPartUnique/>
      </w:docPartObj>
    </w:sdtPr>
    <w:sdtContent>
      <w:p w14:paraId="68BC3DDF" w14:textId="55B7D7FB" w:rsidR="0008502C" w:rsidRDefault="0008502C" w:rsidP="00ED69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B7DC7">
          <w:rPr>
            <w:rStyle w:val="PageNumber"/>
            <w:noProof/>
          </w:rPr>
          <w:t>9</w:t>
        </w:r>
        <w:r>
          <w:rPr>
            <w:rStyle w:val="PageNumber"/>
          </w:rPr>
          <w:fldChar w:fldCharType="end"/>
        </w:r>
      </w:p>
    </w:sdtContent>
  </w:sdt>
  <w:p w14:paraId="55DF0B2A" w14:textId="77777777" w:rsidR="0008502C" w:rsidRDefault="00085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EFAEA" w14:textId="77777777" w:rsidR="0008502C" w:rsidRDefault="0008502C" w:rsidP="009500EF">
      <w:pPr>
        <w:spacing w:after="0" w:line="240" w:lineRule="auto"/>
      </w:pPr>
      <w:r>
        <w:separator/>
      </w:r>
    </w:p>
  </w:footnote>
  <w:footnote w:type="continuationSeparator" w:id="0">
    <w:p w14:paraId="7C224640" w14:textId="77777777" w:rsidR="0008502C" w:rsidRDefault="0008502C"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13985"/>
    <w:multiLevelType w:val="hybridMultilevel"/>
    <w:tmpl w:val="889413CE"/>
    <w:lvl w:ilvl="0" w:tplc="530E8F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0427C1"/>
    <w:multiLevelType w:val="hybridMultilevel"/>
    <w:tmpl w:val="E9F6179A"/>
    <w:lvl w:ilvl="0" w:tplc="A66AAAE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907457"/>
    <w:multiLevelType w:val="hybridMultilevel"/>
    <w:tmpl w:val="31C22496"/>
    <w:lvl w:ilvl="0" w:tplc="046AC34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9859A8"/>
    <w:multiLevelType w:val="hybridMultilevel"/>
    <w:tmpl w:val="2DE62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6"/>
  </w:num>
  <w:num w:numId="5">
    <w:abstractNumId w:val="11"/>
  </w:num>
  <w:num w:numId="6">
    <w:abstractNumId w:val="12"/>
  </w:num>
  <w:num w:numId="7">
    <w:abstractNumId w:val="3"/>
  </w:num>
  <w:num w:numId="8">
    <w:abstractNumId w:val="1"/>
  </w:num>
  <w:num w:numId="9">
    <w:abstractNumId w:val="5"/>
  </w:num>
  <w:num w:numId="10">
    <w:abstractNumId w:val="8"/>
  </w:num>
  <w:num w:numId="11">
    <w:abstractNumId w:val="10"/>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147EF"/>
    <w:rsid w:val="00021296"/>
    <w:rsid w:val="00022E7F"/>
    <w:rsid w:val="000250BA"/>
    <w:rsid w:val="00026387"/>
    <w:rsid w:val="00034A72"/>
    <w:rsid w:val="00036F8C"/>
    <w:rsid w:val="00045EB8"/>
    <w:rsid w:val="00055534"/>
    <w:rsid w:val="00084215"/>
    <w:rsid w:val="0008502C"/>
    <w:rsid w:val="00091076"/>
    <w:rsid w:val="000A1BAC"/>
    <w:rsid w:val="000A4D63"/>
    <w:rsid w:val="000B1500"/>
    <w:rsid w:val="000B2D7E"/>
    <w:rsid w:val="000C0B41"/>
    <w:rsid w:val="000C18C4"/>
    <w:rsid w:val="000C3285"/>
    <w:rsid w:val="000C464D"/>
    <w:rsid w:val="000C663C"/>
    <w:rsid w:val="000C66E7"/>
    <w:rsid w:val="000C78E4"/>
    <w:rsid w:val="000D3954"/>
    <w:rsid w:val="000D3D43"/>
    <w:rsid w:val="000D63DD"/>
    <w:rsid w:val="000E436C"/>
    <w:rsid w:val="000F086F"/>
    <w:rsid w:val="000F3C4B"/>
    <w:rsid w:val="00100749"/>
    <w:rsid w:val="00106D11"/>
    <w:rsid w:val="00106E58"/>
    <w:rsid w:val="00112647"/>
    <w:rsid w:val="00112D1C"/>
    <w:rsid w:val="00116939"/>
    <w:rsid w:val="00117A92"/>
    <w:rsid w:val="00123BD5"/>
    <w:rsid w:val="00145866"/>
    <w:rsid w:val="00151E77"/>
    <w:rsid w:val="00156F5E"/>
    <w:rsid w:val="00172673"/>
    <w:rsid w:val="00176F47"/>
    <w:rsid w:val="001809FF"/>
    <w:rsid w:val="001846F5"/>
    <w:rsid w:val="0019077F"/>
    <w:rsid w:val="001A5100"/>
    <w:rsid w:val="001C40F4"/>
    <w:rsid w:val="001D250F"/>
    <w:rsid w:val="001D337E"/>
    <w:rsid w:val="001D63F3"/>
    <w:rsid w:val="001E6930"/>
    <w:rsid w:val="001E7B78"/>
    <w:rsid w:val="001F1127"/>
    <w:rsid w:val="001F1F11"/>
    <w:rsid w:val="001F4ED1"/>
    <w:rsid w:val="001F7958"/>
    <w:rsid w:val="00202BF3"/>
    <w:rsid w:val="00203C24"/>
    <w:rsid w:val="002042AB"/>
    <w:rsid w:val="00217673"/>
    <w:rsid w:val="0022366B"/>
    <w:rsid w:val="00224D89"/>
    <w:rsid w:val="002374E8"/>
    <w:rsid w:val="00243BBE"/>
    <w:rsid w:val="00250CF3"/>
    <w:rsid w:val="00253B4B"/>
    <w:rsid w:val="00254B68"/>
    <w:rsid w:val="002555AF"/>
    <w:rsid w:val="00256640"/>
    <w:rsid w:val="002665B8"/>
    <w:rsid w:val="0026776C"/>
    <w:rsid w:val="00273975"/>
    <w:rsid w:val="002820F4"/>
    <w:rsid w:val="00284465"/>
    <w:rsid w:val="00284512"/>
    <w:rsid w:val="00287467"/>
    <w:rsid w:val="00297362"/>
    <w:rsid w:val="00297CAF"/>
    <w:rsid w:val="002B1538"/>
    <w:rsid w:val="002B4E34"/>
    <w:rsid w:val="002B72B9"/>
    <w:rsid w:val="002C09D8"/>
    <w:rsid w:val="002D0046"/>
    <w:rsid w:val="002D033C"/>
    <w:rsid w:val="002D78D3"/>
    <w:rsid w:val="002E4B1D"/>
    <w:rsid w:val="002E7C97"/>
    <w:rsid w:val="002F1A2B"/>
    <w:rsid w:val="002F4F7F"/>
    <w:rsid w:val="00300119"/>
    <w:rsid w:val="00300AFD"/>
    <w:rsid w:val="003045B8"/>
    <w:rsid w:val="00317D7E"/>
    <w:rsid w:val="00322A06"/>
    <w:rsid w:val="0032493D"/>
    <w:rsid w:val="00326C13"/>
    <w:rsid w:val="00327447"/>
    <w:rsid w:val="0033179C"/>
    <w:rsid w:val="0033423D"/>
    <w:rsid w:val="003354EE"/>
    <w:rsid w:val="0034034B"/>
    <w:rsid w:val="003406D7"/>
    <w:rsid w:val="0035003E"/>
    <w:rsid w:val="00351A05"/>
    <w:rsid w:val="003667E8"/>
    <w:rsid w:val="00373810"/>
    <w:rsid w:val="00386548"/>
    <w:rsid w:val="00387EBD"/>
    <w:rsid w:val="00396FBF"/>
    <w:rsid w:val="003A21A3"/>
    <w:rsid w:val="003C1579"/>
    <w:rsid w:val="003C6222"/>
    <w:rsid w:val="003D3C2C"/>
    <w:rsid w:val="003D5C61"/>
    <w:rsid w:val="003E2D52"/>
    <w:rsid w:val="003E432A"/>
    <w:rsid w:val="003E6B64"/>
    <w:rsid w:val="003F2662"/>
    <w:rsid w:val="003F4D89"/>
    <w:rsid w:val="004012EF"/>
    <w:rsid w:val="00404DCD"/>
    <w:rsid w:val="0041730C"/>
    <w:rsid w:val="0042675A"/>
    <w:rsid w:val="00427ACF"/>
    <w:rsid w:val="00427C91"/>
    <w:rsid w:val="004307B3"/>
    <w:rsid w:val="004345C6"/>
    <w:rsid w:val="00436C11"/>
    <w:rsid w:val="00440844"/>
    <w:rsid w:val="0044234D"/>
    <w:rsid w:val="004500F4"/>
    <w:rsid w:val="00455DDA"/>
    <w:rsid w:val="00471B5D"/>
    <w:rsid w:val="0048402F"/>
    <w:rsid w:val="00484E71"/>
    <w:rsid w:val="00485BDA"/>
    <w:rsid w:val="00496E5D"/>
    <w:rsid w:val="004B37F8"/>
    <w:rsid w:val="004B6407"/>
    <w:rsid w:val="004C47AD"/>
    <w:rsid w:val="004D1594"/>
    <w:rsid w:val="004D2381"/>
    <w:rsid w:val="004D2509"/>
    <w:rsid w:val="004D2559"/>
    <w:rsid w:val="004D3B59"/>
    <w:rsid w:val="004E1810"/>
    <w:rsid w:val="004E2BCB"/>
    <w:rsid w:val="004E5CE1"/>
    <w:rsid w:val="00502C2A"/>
    <w:rsid w:val="00531161"/>
    <w:rsid w:val="00533E22"/>
    <w:rsid w:val="005433AE"/>
    <w:rsid w:val="00543400"/>
    <w:rsid w:val="00551408"/>
    <w:rsid w:val="0055697B"/>
    <w:rsid w:val="005646F8"/>
    <w:rsid w:val="005669B6"/>
    <w:rsid w:val="0057168E"/>
    <w:rsid w:val="005763D2"/>
    <w:rsid w:val="00581FE3"/>
    <w:rsid w:val="00582A93"/>
    <w:rsid w:val="005843D6"/>
    <w:rsid w:val="0058573C"/>
    <w:rsid w:val="00587210"/>
    <w:rsid w:val="005951F5"/>
    <w:rsid w:val="00597487"/>
    <w:rsid w:val="005B1194"/>
    <w:rsid w:val="005B384E"/>
    <w:rsid w:val="005C188E"/>
    <w:rsid w:val="005C22CE"/>
    <w:rsid w:val="005C3899"/>
    <w:rsid w:val="005D1861"/>
    <w:rsid w:val="005D4872"/>
    <w:rsid w:val="005D5021"/>
    <w:rsid w:val="005D6A14"/>
    <w:rsid w:val="005E1870"/>
    <w:rsid w:val="005E4F8F"/>
    <w:rsid w:val="005F5CF3"/>
    <w:rsid w:val="0060263F"/>
    <w:rsid w:val="006141A6"/>
    <w:rsid w:val="00625C5D"/>
    <w:rsid w:val="00636CC5"/>
    <w:rsid w:val="00645B3A"/>
    <w:rsid w:val="00656305"/>
    <w:rsid w:val="00660180"/>
    <w:rsid w:val="00660BE3"/>
    <w:rsid w:val="00660F62"/>
    <w:rsid w:val="00664690"/>
    <w:rsid w:val="006655F1"/>
    <w:rsid w:val="00670128"/>
    <w:rsid w:val="00691521"/>
    <w:rsid w:val="006930BF"/>
    <w:rsid w:val="00696E91"/>
    <w:rsid w:val="00697E3A"/>
    <w:rsid w:val="006A08E5"/>
    <w:rsid w:val="006A43D7"/>
    <w:rsid w:val="006A4C08"/>
    <w:rsid w:val="006A63CC"/>
    <w:rsid w:val="006A6B07"/>
    <w:rsid w:val="006A6EEC"/>
    <w:rsid w:val="006B1420"/>
    <w:rsid w:val="006B300B"/>
    <w:rsid w:val="006B41CB"/>
    <w:rsid w:val="006B7DC7"/>
    <w:rsid w:val="006D1377"/>
    <w:rsid w:val="006D4CAF"/>
    <w:rsid w:val="006F40D7"/>
    <w:rsid w:val="006F548D"/>
    <w:rsid w:val="007013C0"/>
    <w:rsid w:val="00721E71"/>
    <w:rsid w:val="00726CBE"/>
    <w:rsid w:val="00732CE8"/>
    <w:rsid w:val="0074365C"/>
    <w:rsid w:val="00745D0A"/>
    <w:rsid w:val="00751DD1"/>
    <w:rsid w:val="0075274E"/>
    <w:rsid w:val="007551CF"/>
    <w:rsid w:val="007728F1"/>
    <w:rsid w:val="0077572A"/>
    <w:rsid w:val="00775EF0"/>
    <w:rsid w:val="007767EC"/>
    <w:rsid w:val="007768B1"/>
    <w:rsid w:val="00777476"/>
    <w:rsid w:val="00792C05"/>
    <w:rsid w:val="007A4AE6"/>
    <w:rsid w:val="007B1433"/>
    <w:rsid w:val="007B2B92"/>
    <w:rsid w:val="007B37B8"/>
    <w:rsid w:val="007C2CFC"/>
    <w:rsid w:val="007D064F"/>
    <w:rsid w:val="007D3A6D"/>
    <w:rsid w:val="007D55CB"/>
    <w:rsid w:val="007E3C62"/>
    <w:rsid w:val="007E4136"/>
    <w:rsid w:val="007E7366"/>
    <w:rsid w:val="007F0FFA"/>
    <w:rsid w:val="00806240"/>
    <w:rsid w:val="008077C5"/>
    <w:rsid w:val="00810D0C"/>
    <w:rsid w:val="0081193A"/>
    <w:rsid w:val="00813B45"/>
    <w:rsid w:val="00816E63"/>
    <w:rsid w:val="0081714B"/>
    <w:rsid w:val="00823212"/>
    <w:rsid w:val="008267F0"/>
    <w:rsid w:val="00834B1B"/>
    <w:rsid w:val="00844834"/>
    <w:rsid w:val="0084507D"/>
    <w:rsid w:val="00845B9A"/>
    <w:rsid w:val="00851E30"/>
    <w:rsid w:val="008602F4"/>
    <w:rsid w:val="00861118"/>
    <w:rsid w:val="00865867"/>
    <w:rsid w:val="00865C67"/>
    <w:rsid w:val="00883287"/>
    <w:rsid w:val="008A0035"/>
    <w:rsid w:val="008A7803"/>
    <w:rsid w:val="008B004B"/>
    <w:rsid w:val="008C0502"/>
    <w:rsid w:val="008D06DB"/>
    <w:rsid w:val="008D23B8"/>
    <w:rsid w:val="008E287D"/>
    <w:rsid w:val="008E3903"/>
    <w:rsid w:val="008F18E2"/>
    <w:rsid w:val="00901B91"/>
    <w:rsid w:val="00904F12"/>
    <w:rsid w:val="00906431"/>
    <w:rsid w:val="0091758F"/>
    <w:rsid w:val="009224CA"/>
    <w:rsid w:val="00922810"/>
    <w:rsid w:val="0092381F"/>
    <w:rsid w:val="00925D03"/>
    <w:rsid w:val="0093483F"/>
    <w:rsid w:val="00942589"/>
    <w:rsid w:val="0094634B"/>
    <w:rsid w:val="009500EF"/>
    <w:rsid w:val="00953518"/>
    <w:rsid w:val="009566A0"/>
    <w:rsid w:val="00957EF1"/>
    <w:rsid w:val="00962238"/>
    <w:rsid w:val="009667C9"/>
    <w:rsid w:val="00970743"/>
    <w:rsid w:val="0097113D"/>
    <w:rsid w:val="00976585"/>
    <w:rsid w:val="00977D1D"/>
    <w:rsid w:val="009804A1"/>
    <w:rsid w:val="00982746"/>
    <w:rsid w:val="0099622E"/>
    <w:rsid w:val="009978E4"/>
    <w:rsid w:val="00997FA9"/>
    <w:rsid w:val="009A26AB"/>
    <w:rsid w:val="009A588B"/>
    <w:rsid w:val="009B3EEC"/>
    <w:rsid w:val="009B4077"/>
    <w:rsid w:val="009C1155"/>
    <w:rsid w:val="009D012B"/>
    <w:rsid w:val="009D0ABB"/>
    <w:rsid w:val="009D0DA8"/>
    <w:rsid w:val="009D34D2"/>
    <w:rsid w:val="009D3810"/>
    <w:rsid w:val="009D445B"/>
    <w:rsid w:val="009E6042"/>
    <w:rsid w:val="00A01C74"/>
    <w:rsid w:val="00A166DA"/>
    <w:rsid w:val="00A20FF2"/>
    <w:rsid w:val="00A2296F"/>
    <w:rsid w:val="00A330D1"/>
    <w:rsid w:val="00A34080"/>
    <w:rsid w:val="00A358FA"/>
    <w:rsid w:val="00A37072"/>
    <w:rsid w:val="00A41E27"/>
    <w:rsid w:val="00A47A44"/>
    <w:rsid w:val="00A54C95"/>
    <w:rsid w:val="00A62628"/>
    <w:rsid w:val="00A66B8C"/>
    <w:rsid w:val="00A85774"/>
    <w:rsid w:val="00AA168B"/>
    <w:rsid w:val="00AA2E81"/>
    <w:rsid w:val="00AA3B35"/>
    <w:rsid w:val="00AA44BF"/>
    <w:rsid w:val="00AA6BB1"/>
    <w:rsid w:val="00AB2605"/>
    <w:rsid w:val="00AB3439"/>
    <w:rsid w:val="00AC2027"/>
    <w:rsid w:val="00AC4731"/>
    <w:rsid w:val="00AC4FD6"/>
    <w:rsid w:val="00AC6904"/>
    <w:rsid w:val="00AC7E1A"/>
    <w:rsid w:val="00AD4971"/>
    <w:rsid w:val="00AD644D"/>
    <w:rsid w:val="00AD666B"/>
    <w:rsid w:val="00AD6C48"/>
    <w:rsid w:val="00AD734F"/>
    <w:rsid w:val="00AE6E53"/>
    <w:rsid w:val="00B05D6C"/>
    <w:rsid w:val="00B06ABE"/>
    <w:rsid w:val="00B11DC6"/>
    <w:rsid w:val="00B16B1C"/>
    <w:rsid w:val="00B16CD2"/>
    <w:rsid w:val="00B174B5"/>
    <w:rsid w:val="00B23B5B"/>
    <w:rsid w:val="00B257BA"/>
    <w:rsid w:val="00B277F7"/>
    <w:rsid w:val="00B43190"/>
    <w:rsid w:val="00B44012"/>
    <w:rsid w:val="00B4439A"/>
    <w:rsid w:val="00B51A64"/>
    <w:rsid w:val="00B539A6"/>
    <w:rsid w:val="00B56E66"/>
    <w:rsid w:val="00B613F9"/>
    <w:rsid w:val="00B63A48"/>
    <w:rsid w:val="00B66EA9"/>
    <w:rsid w:val="00B74905"/>
    <w:rsid w:val="00B8035A"/>
    <w:rsid w:val="00B80719"/>
    <w:rsid w:val="00BA1042"/>
    <w:rsid w:val="00BA5A47"/>
    <w:rsid w:val="00BA71D4"/>
    <w:rsid w:val="00BA7B39"/>
    <w:rsid w:val="00BB063F"/>
    <w:rsid w:val="00BB08F2"/>
    <w:rsid w:val="00BB64DA"/>
    <w:rsid w:val="00BC0817"/>
    <w:rsid w:val="00BC5580"/>
    <w:rsid w:val="00BC70AB"/>
    <w:rsid w:val="00BE037C"/>
    <w:rsid w:val="00BE4D72"/>
    <w:rsid w:val="00BE66F8"/>
    <w:rsid w:val="00BF0C1C"/>
    <w:rsid w:val="00BF0F98"/>
    <w:rsid w:val="00BF12B0"/>
    <w:rsid w:val="00BF31E9"/>
    <w:rsid w:val="00BF3A64"/>
    <w:rsid w:val="00BF48F2"/>
    <w:rsid w:val="00BF705B"/>
    <w:rsid w:val="00BF751D"/>
    <w:rsid w:val="00BF7E4A"/>
    <w:rsid w:val="00C044C0"/>
    <w:rsid w:val="00C07E6D"/>
    <w:rsid w:val="00C104AB"/>
    <w:rsid w:val="00C17F5B"/>
    <w:rsid w:val="00C2018E"/>
    <w:rsid w:val="00C361D0"/>
    <w:rsid w:val="00C42EFF"/>
    <w:rsid w:val="00C4500B"/>
    <w:rsid w:val="00C4621B"/>
    <w:rsid w:val="00C47363"/>
    <w:rsid w:val="00C5275C"/>
    <w:rsid w:val="00C575CA"/>
    <w:rsid w:val="00C60DFC"/>
    <w:rsid w:val="00C630E0"/>
    <w:rsid w:val="00C76854"/>
    <w:rsid w:val="00C769FE"/>
    <w:rsid w:val="00C76A80"/>
    <w:rsid w:val="00C77557"/>
    <w:rsid w:val="00C82A4A"/>
    <w:rsid w:val="00C87DCA"/>
    <w:rsid w:val="00C903CD"/>
    <w:rsid w:val="00C90E7C"/>
    <w:rsid w:val="00C94FC0"/>
    <w:rsid w:val="00CB1C67"/>
    <w:rsid w:val="00CB61D2"/>
    <w:rsid w:val="00CC11BB"/>
    <w:rsid w:val="00CC5C52"/>
    <w:rsid w:val="00CD22BC"/>
    <w:rsid w:val="00CE0FE4"/>
    <w:rsid w:val="00CE48ED"/>
    <w:rsid w:val="00CF5587"/>
    <w:rsid w:val="00D00A14"/>
    <w:rsid w:val="00D018E4"/>
    <w:rsid w:val="00D03701"/>
    <w:rsid w:val="00D04DC6"/>
    <w:rsid w:val="00D10464"/>
    <w:rsid w:val="00D14F7E"/>
    <w:rsid w:val="00D256B8"/>
    <w:rsid w:val="00D30C91"/>
    <w:rsid w:val="00D43272"/>
    <w:rsid w:val="00D432FD"/>
    <w:rsid w:val="00D53824"/>
    <w:rsid w:val="00D55A92"/>
    <w:rsid w:val="00D6264E"/>
    <w:rsid w:val="00D67540"/>
    <w:rsid w:val="00D70AD9"/>
    <w:rsid w:val="00D70CDB"/>
    <w:rsid w:val="00D76FC3"/>
    <w:rsid w:val="00D77B4B"/>
    <w:rsid w:val="00D90488"/>
    <w:rsid w:val="00D9344B"/>
    <w:rsid w:val="00DA09EC"/>
    <w:rsid w:val="00DA25EE"/>
    <w:rsid w:val="00DB6363"/>
    <w:rsid w:val="00DB6DEE"/>
    <w:rsid w:val="00DB7CE8"/>
    <w:rsid w:val="00DC0469"/>
    <w:rsid w:val="00DC3CBB"/>
    <w:rsid w:val="00DD5E0F"/>
    <w:rsid w:val="00DE29AB"/>
    <w:rsid w:val="00DE355E"/>
    <w:rsid w:val="00DE526B"/>
    <w:rsid w:val="00DF53B0"/>
    <w:rsid w:val="00DF5C59"/>
    <w:rsid w:val="00E014A9"/>
    <w:rsid w:val="00E01F2C"/>
    <w:rsid w:val="00E03105"/>
    <w:rsid w:val="00E0556F"/>
    <w:rsid w:val="00E06809"/>
    <w:rsid w:val="00E124EC"/>
    <w:rsid w:val="00E1344E"/>
    <w:rsid w:val="00E20652"/>
    <w:rsid w:val="00E20AE5"/>
    <w:rsid w:val="00E21601"/>
    <w:rsid w:val="00E218D2"/>
    <w:rsid w:val="00E246F4"/>
    <w:rsid w:val="00E25082"/>
    <w:rsid w:val="00E27DC6"/>
    <w:rsid w:val="00E377E5"/>
    <w:rsid w:val="00E37BDE"/>
    <w:rsid w:val="00E44D8D"/>
    <w:rsid w:val="00E46030"/>
    <w:rsid w:val="00E47621"/>
    <w:rsid w:val="00E51576"/>
    <w:rsid w:val="00E538DD"/>
    <w:rsid w:val="00E55D85"/>
    <w:rsid w:val="00E57295"/>
    <w:rsid w:val="00E619A1"/>
    <w:rsid w:val="00E6430D"/>
    <w:rsid w:val="00E72FB6"/>
    <w:rsid w:val="00E7485A"/>
    <w:rsid w:val="00E801B5"/>
    <w:rsid w:val="00E844AE"/>
    <w:rsid w:val="00E947B2"/>
    <w:rsid w:val="00E95698"/>
    <w:rsid w:val="00E956B3"/>
    <w:rsid w:val="00E971A6"/>
    <w:rsid w:val="00E97300"/>
    <w:rsid w:val="00EA09ED"/>
    <w:rsid w:val="00EA645D"/>
    <w:rsid w:val="00EA677C"/>
    <w:rsid w:val="00EB41D2"/>
    <w:rsid w:val="00EB77A0"/>
    <w:rsid w:val="00EC0EB1"/>
    <w:rsid w:val="00EC26A9"/>
    <w:rsid w:val="00EC546B"/>
    <w:rsid w:val="00EC5B1F"/>
    <w:rsid w:val="00ED6972"/>
    <w:rsid w:val="00ED7385"/>
    <w:rsid w:val="00EE1801"/>
    <w:rsid w:val="00EE199C"/>
    <w:rsid w:val="00EE3D59"/>
    <w:rsid w:val="00EE6CBD"/>
    <w:rsid w:val="00EF53C4"/>
    <w:rsid w:val="00F044CF"/>
    <w:rsid w:val="00F10E19"/>
    <w:rsid w:val="00F13924"/>
    <w:rsid w:val="00F25567"/>
    <w:rsid w:val="00F27F17"/>
    <w:rsid w:val="00F32618"/>
    <w:rsid w:val="00F33529"/>
    <w:rsid w:val="00F403E4"/>
    <w:rsid w:val="00F63C3E"/>
    <w:rsid w:val="00F700A2"/>
    <w:rsid w:val="00F76262"/>
    <w:rsid w:val="00F90BA4"/>
    <w:rsid w:val="00FB2A79"/>
    <w:rsid w:val="00FC11C7"/>
    <w:rsid w:val="00FC1B5E"/>
    <w:rsid w:val="00FC5386"/>
    <w:rsid w:val="00FC78F5"/>
    <w:rsid w:val="00FD1560"/>
    <w:rsid w:val="00FD2F1D"/>
    <w:rsid w:val="00FD6AAD"/>
    <w:rsid w:val="00FD7BD9"/>
    <w:rsid w:val="00FE5B63"/>
    <w:rsid w:val="00FF6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00A2"/>
    <w:pPr>
      <w:keepNext/>
      <w:keepLines/>
      <w:spacing w:before="240" w:after="0"/>
      <w:jc w:val="center"/>
      <w:outlineLvl w:val="0"/>
    </w:pPr>
    <w:rPr>
      <w:rFonts w:asciiTheme="majorHAnsi" w:eastAsiaTheme="majorEastAsia" w:hAnsiTheme="majorHAnsi" w:cstheme="majorBidi"/>
      <w:sz w:val="34"/>
      <w:szCs w:val="32"/>
    </w:rPr>
  </w:style>
  <w:style w:type="paragraph" w:styleId="Heading2">
    <w:name w:val="heading 2"/>
    <w:basedOn w:val="Normal"/>
    <w:next w:val="Normal"/>
    <w:link w:val="Heading2Char"/>
    <w:autoRedefine/>
    <w:uiPriority w:val="9"/>
    <w:unhideWhenUsed/>
    <w:qFormat/>
    <w:rsid w:val="00DE355E"/>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55E"/>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700A2"/>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 w:type="paragraph" w:styleId="Header">
    <w:name w:val="header"/>
    <w:basedOn w:val="Normal"/>
    <w:link w:val="HeaderChar"/>
    <w:uiPriority w:val="99"/>
    <w:unhideWhenUsed/>
    <w:rsid w:val="00D93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3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281111320">
      <w:bodyDiv w:val="1"/>
      <w:marLeft w:val="0"/>
      <w:marRight w:val="0"/>
      <w:marTop w:val="0"/>
      <w:marBottom w:val="0"/>
      <w:divBdr>
        <w:top w:val="none" w:sz="0" w:space="0" w:color="auto"/>
        <w:left w:val="none" w:sz="0" w:space="0" w:color="auto"/>
        <w:bottom w:val="none" w:sz="0" w:space="0" w:color="auto"/>
        <w:right w:val="none" w:sz="0" w:space="0" w:color="auto"/>
      </w:divBdr>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 w:id="208372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purl.org/dc/elements/1.1/"/>
    <ds:schemaRef ds:uri="http://purl.org/dc/dcmitype/"/>
    <ds:schemaRef ds:uri="http://schemas.microsoft.com/office/infopath/2007/PartnerControls"/>
    <ds:schemaRef ds:uri="http://purl.org/dc/terms/"/>
    <ds:schemaRef ds:uri="http://schemas.microsoft.com/office/2006/metadata/properties"/>
    <ds:schemaRef ds:uri="http://schemas.microsoft.com/office/2006/documentManagement/types"/>
    <ds:schemaRef ds:uri="http://schemas.openxmlformats.org/package/2006/metadata/core-properties"/>
    <ds:schemaRef ds:uri="5e36aeda-f48f-46f3-9de8-7474189645c5"/>
    <ds:schemaRef ds:uri="bbd61249-83b9-438e-a84b-789da273a8cb"/>
    <ds:schemaRef ds:uri="http://www.w3.org/XML/1998/namespace"/>
  </ds:schemaRefs>
</ds:datastoreItem>
</file>

<file path=customXml/itemProps2.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7891A67B-0B80-4760-BC63-8067D46F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14</Pages>
  <Words>34741</Words>
  <Characters>198024</Characters>
  <Application>Microsoft Office Word</Application>
  <DocSecurity>0</DocSecurity>
  <Lines>1650</Lines>
  <Paragraphs>464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232301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47</cp:revision>
  <dcterms:created xsi:type="dcterms:W3CDTF">2020-08-07T07:55:00Z</dcterms:created>
  <dcterms:modified xsi:type="dcterms:W3CDTF">2020-08-12T17:27:00Z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https://csl.mendeley.com/styles/450365071/apa</vt:lpwstr>
  </property>
  <property fmtid="{D5CDD505-2E9C-101B-9397-08002B2CF9AE}" pid="10" name="Mendeley Recent Style Name 2_1">
    <vt:lpwstr>American Psychological Association 6th edition - Guntur Kusuma</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0x0101006DE130CAEB37044C9F27A096B751B6FA</vt:lpwstr>
  </property>
</Properties>
</file>