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A1A1A"/>
          <w:sz w:val="56"/>
          <w:szCs w:val="56"/>
        </w:rPr>
        <w:t xml:space="preserve">TRIBUNAL HARNESS</w:t>
      </w:r>
    </w:p>
    <w:p>
      <w:pPr>
        <w:spacing w:after="200"/>
        <w:jc w:val="center"/>
      </w:pPr>
      <w:r>
        <w:rPr>
          <w:rFonts w:ascii="Arial" w:cs="Arial" w:eastAsia="Arial" w:hAnsi="Arial"/>
          <w:color w:val="666666"/>
          <w:sz w:val="32"/>
          <w:szCs w:val="32"/>
        </w:rPr>
        <w:t xml:space="preserve">Venture Architecture &amp; UX Trust Audit</w:t>
      </w:r>
    </w:p>
    <w:p>
      <w:pPr>
        <w:spacing w:after="600"/>
        <w:jc w:val="center"/>
      </w:pPr>
      <w:r>
        <w:rPr>
          <w:rFonts w:ascii="Arial" w:cs="Arial" w:eastAsia="Arial" w:hAnsi="Arial"/>
          <w:color w:val="888888"/>
          <w:sz w:val="22"/>
          <w:szCs w:val="22"/>
        </w:rPr>
        <w:t xml:space="preserve">Pathway to UK Seed Capital, SEIS/EIS Angels &amp; Ecosystem Validation</w:t>
      </w:r>
    </w:p>
    <w:p>
      <w:pPr>
        <w:jc w:val="center"/>
      </w:pPr>
      <w:r>
        <w:rPr>
          <w:rFonts w:ascii="Arial" w:cs="Arial" w:eastAsia="Arial" w:hAnsi="Arial"/>
          <w:color w:val="CCCCCC"/>
          <w:sz w:val="22"/>
          <w:szCs w:val="22"/>
        </w:rPr>
        <w:t xml:space="preserve">────────────────────────────────────────</w:t>
      </w:r>
    </w:p>
    <w:p>
      <w:pPr>
        <w:spacing w:before="400"/>
        <w:jc w:val="center"/>
      </w:pPr>
      <w:r>
        <w:rPr>
          <w:rFonts w:ascii="Arial" w:cs="Arial" w:eastAsia="Arial" w:hAnsi="Arial"/>
          <w:color w:val="444444"/>
          <w:sz w:val="24"/>
          <w:szCs w:val="24"/>
        </w:rPr>
        <w:t xml:space="preserve">Prepared for: Ciarán Saunders</w:t>
      </w:r>
    </w:p>
    <w:p>
      <w:pPr>
        <w:jc w:val="center"/>
      </w:pPr>
      <w:r>
        <w:rPr>
          <w:rFonts w:ascii="Arial" w:cs="Arial" w:eastAsia="Arial" w:hAnsi="Arial"/>
          <w:color w:val="666666"/>
          <w:sz w:val="22"/>
          <w:szCs w:val="22"/>
        </w:rPr>
        <w:t xml:space="preserve">Date: 16 February 2026</w:t>
      </w:r>
    </w:p>
    <w:p>
      <w:pPr>
        <w:spacing w:after="200"/>
        <w:jc w:val="center"/>
      </w:pPr>
      <w:r>
        <w:rPr>
          <w:rFonts w:ascii="Arial" w:cs="Arial" w:eastAsia="Arial" w:hAnsi="Arial"/>
          <w:i/>
          <w:iCs/>
          <w:color w:val="999999"/>
          <w:sz w:val="20"/>
          <w:szCs w:val="20"/>
        </w:rPr>
        <w:t xml:space="preserve">Classification: Confidential — Founder Eyes Only</w:t>
      </w:r>
    </w:p>
    <w:p>
      <w:pPr>
        <w:sectPr>
          <w:pgSz w:w="11906" w:h="16838" w:orient="portrait"/>
          <w:pgMar w:top="1440" w:right="1440" w:bottom="1440" w:left="1440" w:header="708" w:footer="708" w:gutter="0"/>
          <w:pgNumType/>
          <w:docGrid w:linePitch="360"/>
        </w:sectPr>
      </w:pPr>
    </w:p>
    <w:p>
      <w:pPr>
        <w:pStyle w:val="Heading1"/>
      </w:pPr>
      <w:r>
        <w:t xml:space="preserve">Executive Summary</w:t>
      </w:r>
    </w:p>
    <w:p>
      <w:pPr>
        <w:spacing w:after="160" w:line="300"/>
      </w:pPr>
      <w:r>
        <w:rPr>
          <w:rFonts w:ascii="Arial" w:cs="Arial" w:eastAsia="Arial" w:hAnsi="Arial"/>
          <w:sz w:val="22"/>
          <w:szCs w:val="22"/>
        </w:rPr>
        <w:t xml:space="preserve">Tribunal Harness occupies a genuinely rare position in UK legal tech: a schema-driven legal intelligence engine for employment tribunal litigants-in-person, built by a founder with active litigation experience, timed to the most significant employment law reform in decades (ERA 2025), and architecturally differentiated from the chatbot-based legal AI tools flooding the market. This audit examines the project across three dimensions — UX trust signalling, go-to-market validation, and funding pathway — against the specific constraints of UK legal services regulation, institutional buyer risk-aversion, and known legal tech failure modes.</w:t>
      </w:r>
    </w:p>
    <w:p>
      <w:pPr>
        <w:spacing w:after="160" w:line="300"/>
      </w:pPr>
      <w:r>
        <w:rPr>
          <w:rFonts w:ascii="Arial" w:cs="Arial" w:eastAsia="Arial" w:hAnsi="Arial"/>
          <w:b/>
          <w:bCs/>
          <w:sz w:val="22"/>
          <w:szCs w:val="22"/>
        </w:rPr>
        <w:t xml:space="preserve">The core thesis is sound. </w:t>
      </w:r>
      <w:r>
        <w:rPr>
          <w:rFonts w:ascii="Arial" w:cs="Arial" w:eastAsia="Arial" w:hAnsi="Arial"/>
          <w:sz w:val="22"/>
          <w:szCs w:val="22"/>
        </w:rPr>
        <w:t xml:space="preserve">The information-asymmetry framing (not a writing assistant, but an intelligence engine) is the correct positioning for both the access-to-justice market and the regulatory environment. The epistemic quarantine layer — where unverified LLM outputs are stripped before the user sees them — is a genuine technical differentiator that no competitor currently ships. The ERA 2025 timing advantage is real but perishable: practitioners will catch up within 12–18 months.</w:t>
      </w:r>
    </w:p>
    <w:p>
      <w:pPr>
        <w:spacing w:after="160" w:line="300"/>
      </w:pPr>
      <w:r>
        <w:rPr>
          <w:rFonts w:ascii="Arial" w:cs="Arial" w:eastAsia="Arial" w:hAnsi="Arial"/>
          <w:b/>
          <w:bCs/>
          <w:sz w:val="22"/>
          <w:szCs w:val="22"/>
        </w:rPr>
        <w:t xml:space="preserve">However, the current build has critical gaps </w:t>
      </w:r>
      <w:r>
        <w:rPr>
          <w:rFonts w:ascii="Arial" w:cs="Arial" w:eastAsia="Arial" w:hAnsi="Arial"/>
          <w:sz w:val="22"/>
          <w:szCs w:val="22"/>
        </w:rPr>
        <w:t xml:space="preserve">that would prevent it from passing institutional due diligence. The compliance badges (ISO 42001, ISO 27001, SOC Type 2) displayed on the landing page are aspirational, not achieved — and displaying them without qualification is a trust-destroying red flag for any legal buyer or regulator who checks. The BYOK (Bring Your Own Key) pricing model, while cost-efficient for a solo founder, creates data processing liability that will block every enterprise conversation. And the site currently presents as a polished consumer product when the actual buyer persona (legal aid providers, access-to-justice funders, law firm innovation leads) requires enterprise trust signals.</w:t>
      </w:r>
    </w:p>
    <w:p>
      <w:pPr>
        <w:spacing w:after="160" w:line="300"/>
      </w:pPr>
      <w:r>
        <w:rPr>
          <w:rFonts w:ascii="Arial" w:cs="Arial" w:eastAsia="Arial" w:hAnsi="Arial"/>
          <w:sz w:val="22"/>
          <w:szCs w:val="22"/>
        </w:rPr>
        <w:t xml:space="preserve">This document provides a severity-graded UX trust audit, maps the precise UK ecosystem targets for validation and piloting, and constructs a staged funding pathway from SEIS pre-seed through to institutional seed — all calibrated for UK instruments, UK regulators, and UK legal tech failure modes.</w:t>
      </w:r>
    </w:p>
    <w:p>
      <w:r>
        <w:br w:type="page"/>
      </w:r>
    </w:p>
    <w:p>
      <w:pPr>
        <w:pStyle w:val="Heading1"/>
      </w:pPr>
      <w:r>
        <w:t xml:space="preserve">1. UX Trust Audit</w:t>
      </w:r>
    </w:p>
    <w:p>
      <w:pPr>
        <w:spacing w:after="160" w:line="300"/>
      </w:pPr>
      <w:r>
        <w:rPr>
          <w:rFonts w:ascii="Arial" w:cs="Arial" w:eastAsia="Arial" w:hAnsi="Arial"/>
          <w:sz w:val="22"/>
          <w:szCs w:val="22"/>
        </w:rPr>
        <w:t xml:space="preserve">Legal buyers are not consumer buyers. A law firm innovation lead, a legal aid provider director, or an MoJ grant assessor evaluates software through a lens of regulatory compliance, professional indemnity risk, and institutional reputation. Every visual and copy choice on the site is read as a signal of operational maturity — or its absence.</w:t>
      </w:r>
    </w:p>
    <w:p>
      <w:pPr>
        <w:pStyle w:val="Heading2"/>
      </w:pPr>
      <w:r>
        <w:t xml:space="preserve">1.1 Compliance Badge Misrepresentation</w:t>
      </w:r>
    </w:p>
    <w:p>
      <w:pPr>
        <w:spacing w:before="400" w:after="100"/>
      </w:pPr>
      <w:r>
        <w:rPr>
          <w:rFonts w:ascii="Arial" w:cs="Arial" w:eastAsia="Arial" w:hAnsi="Arial"/>
          <w:b/>
          <w:bCs/>
          <w:color w:val="7B6BF5"/>
          <w:sz w:val="18"/>
          <w:szCs w:val="18"/>
        </w:rPr>
        <w:t xml:space="preserve">SEVERITY: CRITICAL</w:t>
      </w:r>
    </w:p>
    <w:p>
      <w:pPr>
        <w:spacing w:after="160" w:line="300"/>
      </w:pPr>
      <w:r>
        <w:rPr>
          <w:rFonts w:ascii="Arial" w:cs="Arial" w:eastAsia="Arial" w:hAnsi="Arial"/>
          <w:b/>
          <w:bCs/>
          <w:sz w:val="22"/>
          <w:szCs w:val="22"/>
        </w:rPr>
        <w:t xml:space="preserve">Finding: </w:t>
      </w:r>
      <w:r>
        <w:rPr>
          <w:rFonts w:ascii="Arial" w:cs="Arial" w:eastAsia="Arial" w:hAnsi="Arial"/>
          <w:sz w:val="22"/>
          <w:szCs w:val="22"/>
        </w:rPr>
        <w:t xml:space="preserve">The landing page displays four compliance cards — ISO 42001, ISO 27001, SOC Type 2, GDPR — as if these certifications have been achieved. They have not. ISO 42001 (AI management systems) and ISO 27001 (information security) require formal audits by accredited certification bodies costing £15,000–£50,000 each. SOC Type 2 requires a 6–12 month observation period by a licensed CPA firm. Displaying these without qualification is not merely aspirational — it is potentially misleading under the Consumer Protection from Unfair Trading Regulations 2008 and would be flagged immediately by any SRA-regulated firm’s compliance team.</w:t>
      </w:r>
    </w:p>
    <w:p>
      <w:pPr>
        <w:spacing w:after="160" w:line="300"/>
      </w:pPr>
      <w:r>
        <w:rPr>
          <w:rFonts w:ascii="Arial" w:cs="Arial" w:eastAsia="Arial" w:hAnsi="Arial"/>
          <w:b/>
          <w:bCs/>
          <w:sz w:val="22"/>
          <w:szCs w:val="22"/>
        </w:rPr>
        <w:t xml:space="preserve">Impact: </w:t>
      </w:r>
      <w:r>
        <w:rPr>
          <w:rFonts w:ascii="Arial" w:cs="Arial" w:eastAsia="Arial" w:hAnsi="Arial"/>
          <w:sz w:val="22"/>
          <w:szCs w:val="22"/>
        </w:rPr>
        <w:t xml:space="preserve">This single issue would terminate any enterprise pilot conversation at first contact. Legal aid providers receiving MoJ funding are contractually required to verify vendor compliance claims. An investor conducting technical due diligence would flag this as a governance failure. It signals that the founder does not yet understand the difference between aspiration and attestation — a distinction that is existential in legal services.</w:t>
      </w:r>
    </w:p>
    <w:p>
      <w:pPr>
        <w:spacing w:after="160" w:line="300"/>
      </w:pPr>
      <w:r>
        <w:rPr>
          <w:rFonts w:ascii="Arial" w:cs="Arial" w:eastAsia="Arial" w:hAnsi="Arial"/>
          <w:b/>
          <w:bCs/>
          <w:sz w:val="22"/>
          <w:szCs w:val="22"/>
        </w:rPr>
        <w:t xml:space="preserve">Refinement: </w:t>
      </w:r>
      <w:r>
        <w:rPr>
          <w:rFonts w:ascii="Arial" w:cs="Arial" w:eastAsia="Arial" w:hAnsi="Arial"/>
          <w:sz w:val="22"/>
          <w:szCs w:val="22"/>
        </w:rPr>
        <w:t xml:space="preserve">Replace the compliance cards with a “Security Roadmap” section. Show the certifications as a timeline: “GDPR by Design — Active” (which you can legitimately claim if your architecture reflects data protection principles), “ISO 27001 — Planned Q4 2026”, “ISO 42001 — Planned 2027”, “SOC Type 2 — Post-Series A”. This demonstrates awareness and intent without false claims. Add a link to a dedicated /security page (which you already have) with a data processing architecture diagram showing where data flows, what is stored, and what is ephemeral.</w:t>
      </w:r>
    </w:p>
    <w:p>
      <w:pPr>
        <w:pStyle w:val="Heading2"/>
      </w:pPr>
      <w:r>
        <w:t xml:space="preserve">1.2 BYOK Model Creates Unresolvable Data Liability</w:t>
      </w:r>
    </w:p>
    <w:p>
      <w:pPr>
        <w:spacing w:before="400" w:after="100"/>
      </w:pPr>
      <w:r>
        <w:rPr>
          <w:rFonts w:ascii="Arial" w:cs="Arial" w:eastAsia="Arial" w:hAnsi="Arial"/>
          <w:b/>
          <w:bCs/>
          <w:color w:val="7B6BF5"/>
          <w:sz w:val="18"/>
          <w:szCs w:val="18"/>
        </w:rPr>
        <w:t xml:space="preserve">SEVERITY: CRITICAL</w:t>
      </w:r>
    </w:p>
    <w:p>
      <w:pPr>
        <w:spacing w:after="160" w:line="300"/>
      </w:pPr>
      <w:r>
        <w:rPr>
          <w:rFonts w:ascii="Arial" w:cs="Arial" w:eastAsia="Arial" w:hAnsi="Arial"/>
          <w:b/>
          <w:bCs/>
          <w:sz w:val="22"/>
          <w:szCs w:val="22"/>
        </w:rPr>
        <w:t xml:space="preserve">Finding: </w:t>
      </w:r>
      <w:r>
        <w:rPr>
          <w:rFonts w:ascii="Arial" w:cs="Arial" w:eastAsia="Arial" w:hAnsi="Arial"/>
          <w:sz w:val="22"/>
          <w:szCs w:val="22"/>
        </w:rPr>
        <w:t xml:space="preserve">The pricing page describes a “Bring Your Own Key” model where users supply their own Anthropic API key. While this is a legitimate pattern for developer tools, it is deeply problematic for a legal application handling case-sensitive personal data. Under UK GDPR, the entity that determines the purposes and means of processing is the data controller. If a LiP’s employment tribunal facts — including health data, protected characteristics, and salary information — are sent to Anthropic’s API via the user’s own key, the data processing relationship is legally ambiguous. Is the user the controller? Is Tribunal Harness a processor? Who is responsible for a data breach?</w:t>
      </w:r>
    </w:p>
    <w:p>
      <w:pPr>
        <w:spacing w:after="160" w:line="300"/>
      </w:pPr>
      <w:r>
        <w:rPr>
          <w:rFonts w:ascii="Arial" w:cs="Arial" w:eastAsia="Arial" w:hAnsi="Arial"/>
          <w:b/>
          <w:bCs/>
          <w:sz w:val="22"/>
          <w:szCs w:val="22"/>
        </w:rPr>
        <w:t xml:space="preserve">Impact: </w:t>
      </w:r>
      <w:r>
        <w:rPr>
          <w:rFonts w:ascii="Arial" w:cs="Arial" w:eastAsia="Arial" w:hAnsi="Arial"/>
          <w:sz w:val="22"/>
          <w:szCs w:val="22"/>
        </w:rPr>
        <w:t xml:space="preserve">No legal aid provider will accept a tool where their clients’ sensitive data is processed through an API key they don’t control. No enterprise buyer will accept unresolved controller/processor ambiguity. The ICO would view this as a failure of data protection by design under Article 25 of UK GDPR.</w:t>
      </w:r>
    </w:p>
    <w:p>
      <w:pPr>
        <w:spacing w:after="160" w:line="300"/>
      </w:pPr>
      <w:r>
        <w:rPr>
          <w:rFonts w:ascii="Arial" w:cs="Arial" w:eastAsia="Arial" w:hAnsi="Arial"/>
          <w:b/>
          <w:bCs/>
          <w:sz w:val="22"/>
          <w:szCs w:val="22"/>
        </w:rPr>
        <w:t xml:space="preserve">Refinement: </w:t>
      </w:r>
      <w:r>
        <w:rPr>
          <w:rFonts w:ascii="Arial" w:cs="Arial" w:eastAsia="Arial" w:hAnsi="Arial"/>
          <w:sz w:val="22"/>
          <w:szCs w:val="22"/>
        </w:rPr>
        <w:t xml:space="preserve">Implement a managed API layer. The user’s data flows through your backend; you hold the Anthropic API key; you execute a Data Processing Agreement with Anthropic (they offer standard DPAs); you become the processor and issue your own DPA to users/institutions. The BYOK option can remain as an advanced/developer mode, but the default must be managed. Update the pricing page to reflect this: “All data processed through our UK-hosted infrastructure with end-to-end encryption. Enterprise DPA available on request.”</w:t>
      </w:r>
    </w:p>
    <w:p>
      <w:pPr>
        <w:pStyle w:val="Heading2"/>
      </w:pPr>
      <w:r>
        <w:t xml:space="preserve">1.3 Missing Legal Disclaimer Architecture</w:t>
      </w:r>
    </w:p>
    <w:p>
      <w:pPr>
        <w:spacing w:before="400" w:after="100"/>
      </w:pPr>
      <w:r>
        <w:rPr>
          <w:rFonts w:ascii="Arial" w:cs="Arial" w:eastAsia="Arial" w:hAnsi="Arial"/>
          <w:b/>
          <w:bCs/>
          <w:color w:val="7B6BF5"/>
          <w:sz w:val="18"/>
          <w:szCs w:val="18"/>
        </w:rPr>
        <w:t xml:space="preserve">SEVERITY: HIGH</w:t>
      </w:r>
    </w:p>
    <w:p>
      <w:pPr>
        <w:spacing w:after="160" w:line="300"/>
      </w:pPr>
      <w:r>
        <w:rPr>
          <w:rFonts w:ascii="Arial" w:cs="Arial" w:eastAsia="Arial" w:hAnsi="Arial"/>
          <w:b/>
          <w:bCs/>
          <w:sz w:val="22"/>
          <w:szCs w:val="22"/>
        </w:rPr>
        <w:t xml:space="preserve">Finding: </w:t>
      </w:r>
      <w:r>
        <w:rPr>
          <w:rFonts w:ascii="Arial" w:cs="Arial" w:eastAsia="Arial" w:hAnsi="Arial"/>
          <w:sz w:val="22"/>
          <w:szCs w:val="22"/>
        </w:rPr>
        <w:t xml:space="preserve">The About page states the product provides “legal information, not legal advice” — which is the correct distinction. However, this disclaimer appears only on the About page. The landing page hero (“Legal work, without limits”) and the analysis interface (which generates claim assessments, deadline calculations, and procedural roadmaps) contain no visible disclaimers. The analysis output renders directly with no interstitial warning. Under the Legal Services Act 2007, reserved legal activities include “the exercise of a right of audience”, “the conduct of litigation”, and “probate activities”. While providing legal information is unreserved, the boundary is context-dependent and the SRA has indicated that tools which generate advice-like outputs need clear, persistent demarcation.</w:t>
      </w:r>
    </w:p>
    <w:p>
      <w:pPr>
        <w:spacing w:after="160" w:line="300"/>
      </w:pPr>
      <w:r>
        <w:rPr>
          <w:rFonts w:ascii="Arial" w:cs="Arial" w:eastAsia="Arial" w:hAnsi="Arial"/>
          <w:b/>
          <w:bCs/>
          <w:sz w:val="22"/>
          <w:szCs w:val="22"/>
        </w:rPr>
        <w:t xml:space="preserve">Refinement: </w:t>
      </w:r>
      <w:r>
        <w:rPr>
          <w:rFonts w:ascii="Arial" w:cs="Arial" w:eastAsia="Arial" w:hAnsi="Arial"/>
          <w:sz w:val="22"/>
          <w:szCs w:val="22"/>
        </w:rPr>
        <w:t xml:space="preserve">Add a persistent, non-dismissible disclaimer bar to every page that renders legal analysis output. Format: “This tool provides legal information to help you understand your position. It does not provide legal advice and is not a substitute for professional legal representation. If your case involves complex facts or significant financial exposure, seek advice from a qualified solicitor or your local Citizens Advice.” Add the same text as a collapsible header on every API response. Update the hero copy from “Legal work, without limits” to something that doesn’t imply the tool replaces a lawyer — consider “Employment tribunal intelligence, structured and verified.”</w:t>
      </w:r>
    </w:p>
    <w:p>
      <w:pPr>
        <w:pStyle w:val="Heading2"/>
      </w:pPr>
      <w:r>
        <w:t xml:space="preserve">1.4 Dark Theme Signals Consumer, Not Enterprise</w:t>
      </w:r>
    </w:p>
    <w:p>
      <w:pPr>
        <w:spacing w:before="400" w:after="100"/>
      </w:pPr>
      <w:r>
        <w:rPr>
          <w:rFonts w:ascii="Arial" w:cs="Arial" w:eastAsia="Arial" w:hAnsi="Arial"/>
          <w:b/>
          <w:bCs/>
          <w:color w:val="7B6BF5"/>
          <w:sz w:val="18"/>
          <w:szCs w:val="18"/>
        </w:rPr>
        <w:t xml:space="preserve">SEVERITY: HIGH</w:t>
      </w:r>
    </w:p>
    <w:p>
      <w:pPr>
        <w:spacing w:after="160" w:line="300"/>
      </w:pPr>
      <w:r>
        <w:rPr>
          <w:rFonts w:ascii="Arial" w:cs="Arial" w:eastAsia="Arial" w:hAnsi="Arial"/>
          <w:b/>
          <w:bCs/>
          <w:sz w:val="22"/>
          <w:szCs w:val="22"/>
        </w:rPr>
        <w:t xml:space="preserve">Finding: </w:t>
      </w:r>
      <w:r>
        <w:rPr>
          <w:rFonts w:ascii="Arial" w:cs="Arial" w:eastAsia="Arial" w:hAnsi="Arial"/>
          <w:sz w:val="22"/>
          <w:szCs w:val="22"/>
        </w:rPr>
        <w:t xml:space="preserve">The entire site uses a near-black background (#0A0A0A) with sage and purple accents. This is aesthetically sophisticated but reads as a consumer/developer product, not an institutional legal tool. Legal aid providers, tribunal judges, and solicitors work in environments dominated by HMCTS forms, .gov.uk design patterns, and Microsoft Office. The dark theme creates cognitive dissonance — it signals “tech startup” when the buyer needs to see “trusted legal infrastructure.” The sage-on-black colour scheme also creates potential WCAG 2.1 AA contrast issues for body text.</w:t>
      </w:r>
    </w:p>
    <w:p>
      <w:pPr>
        <w:spacing w:after="160" w:line="300"/>
      </w:pPr>
      <w:r>
        <w:rPr>
          <w:rFonts w:ascii="Arial" w:cs="Arial" w:eastAsia="Arial" w:hAnsi="Arial"/>
          <w:b/>
          <w:bCs/>
          <w:sz w:val="22"/>
          <w:szCs w:val="22"/>
        </w:rPr>
        <w:t xml:space="preserve">Refinement: </w:t>
      </w:r>
      <w:r>
        <w:rPr>
          <w:rFonts w:ascii="Arial" w:cs="Arial" w:eastAsia="Arial" w:hAnsi="Arial"/>
          <w:sz w:val="22"/>
          <w:szCs w:val="22"/>
        </w:rPr>
        <w:t xml:space="preserve">Implement a light theme as the default for institutional/marketing pages (About, How It Works, Pricing, Documentation). Reserve the dark theme for the analysis workspace where extended use justifies reduced eye strain. The institutional pages should use a clean, high-contrast design: white/light grey background, dark text, restrained accent colour. Study the GOV.UK Design System and NHS Digital Service Manual for trust patterns. The analysis engine itself can retain the dark aesthetic — but the marketing site needs to signal “we understand your world” to legal buyers.</w:t>
      </w:r>
    </w:p>
    <w:p>
      <w:pPr>
        <w:pStyle w:val="Heading2"/>
      </w:pPr>
      <w:r>
        <w:t xml:space="preserve">1.5 No Social Proof or Institutional Validation</w:t>
      </w:r>
    </w:p>
    <w:p>
      <w:pPr>
        <w:spacing w:before="400" w:after="100"/>
      </w:pPr>
      <w:r>
        <w:rPr>
          <w:rFonts w:ascii="Arial" w:cs="Arial" w:eastAsia="Arial" w:hAnsi="Arial"/>
          <w:b/>
          <w:bCs/>
          <w:color w:val="7B6BF5"/>
          <w:sz w:val="18"/>
          <w:szCs w:val="18"/>
        </w:rPr>
        <w:t xml:space="preserve">SEVERITY: HIGH</w:t>
      </w:r>
    </w:p>
    <w:p>
      <w:pPr>
        <w:spacing w:after="160" w:line="300"/>
      </w:pPr>
      <w:r>
        <w:rPr>
          <w:rFonts w:ascii="Arial" w:cs="Arial" w:eastAsia="Arial" w:hAnsi="Arial"/>
          <w:b/>
          <w:bCs/>
          <w:sz w:val="22"/>
          <w:szCs w:val="22"/>
        </w:rPr>
        <w:t xml:space="preserve">Finding: </w:t>
      </w:r>
      <w:r>
        <w:rPr>
          <w:rFonts w:ascii="Arial" w:cs="Arial" w:eastAsia="Arial" w:hAnsi="Arial"/>
          <w:sz w:val="22"/>
          <w:szCs w:val="22"/>
        </w:rPr>
        <w:t xml:space="preserve">The site contains zero testimonials, no case studies, no logos of partner organisations, no advisory board, and no external validation signals. For a legal tool — where professional reputation and trust are prerequisites — this is a significant gap. The About page mentions the founder’s LLM qualification and active litigation, but does not name the institution or provide verifiable credentials.</w:t>
      </w:r>
    </w:p>
    <w:p>
      <w:pPr>
        <w:spacing w:after="160" w:line="300"/>
      </w:pPr>
      <w:r>
        <w:rPr>
          <w:rFonts w:ascii="Arial" w:cs="Arial" w:eastAsia="Arial" w:hAnsi="Arial"/>
          <w:b/>
          <w:bCs/>
          <w:sz w:val="22"/>
          <w:szCs w:val="22"/>
        </w:rPr>
        <w:t xml:space="preserve">Refinement: </w:t>
      </w:r>
      <w:r>
        <w:rPr>
          <w:rFonts w:ascii="Arial" w:cs="Arial" w:eastAsia="Arial" w:hAnsi="Arial"/>
          <w:sz w:val="22"/>
          <w:szCs w:val="22"/>
        </w:rPr>
        <w:t xml:space="preserve">Before launch, secure 3–5 early testers (LiPs, legal aid advisers, employment lawyers) willing to provide named testimonials. Display these on the landing page. Add an Advisory Board section — even 2–3 names from employment law, legal tech, or access to justice would transform credibility. If you’ve engaged with LawtechUK, the Personal Support Service, or any employment law practitioner network, reference those relationships. Add the university name for your LLM (it’s a genuine differentiator — don’t hide it).</w:t>
      </w:r>
    </w:p>
    <w:p>
      <w:pPr>
        <w:pStyle w:val="Heading2"/>
      </w:pPr>
      <w:r>
        <w:t xml:space="preserve">1.6 Navigation Omits Key Trust Pages</w:t>
      </w:r>
    </w:p>
    <w:p>
      <w:pPr>
        <w:spacing w:before="400" w:after="100"/>
      </w:pPr>
      <w:r>
        <w:rPr>
          <w:rFonts w:ascii="Arial" w:cs="Arial" w:eastAsia="Arial" w:hAnsi="Arial"/>
          <w:b/>
          <w:bCs/>
          <w:color w:val="7B6BF5"/>
          <w:sz w:val="18"/>
          <w:szCs w:val="18"/>
        </w:rPr>
        <w:t xml:space="preserve">SEVERITY: MEDIUM</w:t>
      </w:r>
    </w:p>
    <w:p>
      <w:pPr>
        <w:spacing w:after="160" w:line="300"/>
      </w:pPr>
      <w:r>
        <w:rPr>
          <w:rFonts w:ascii="Arial" w:cs="Arial" w:eastAsia="Arial" w:hAnsi="Arial"/>
          <w:b/>
          <w:bCs/>
          <w:sz w:val="22"/>
          <w:szCs w:val="22"/>
        </w:rPr>
        <w:t xml:space="preserve">Finding: </w:t>
      </w:r>
      <w:r>
        <w:rPr>
          <w:rFonts w:ascii="Arial" w:cs="Arial" w:eastAsia="Arial" w:hAnsi="Arial"/>
          <w:sz w:val="22"/>
          <w:szCs w:val="22"/>
        </w:rPr>
        <w:t xml:space="preserve">The NavBar exposes five links: Analysis, Docs, Pricing, About, Request Access. The Ethics, Methodology, and Security pages — which are critical trust signals for legal and institutional buyers — are accessible only through the Footer. An MoJ grant assessor or legal aid provider evaluating the tool will look for these pages immediately. Burying them in the footer signals they are afterthoughts.</w:t>
      </w:r>
    </w:p>
    <w:p>
      <w:pPr>
        <w:spacing w:after="160" w:line="300"/>
      </w:pPr>
      <w:r>
        <w:rPr>
          <w:rFonts w:ascii="Arial" w:cs="Arial" w:eastAsia="Arial" w:hAnsi="Arial"/>
          <w:b/>
          <w:bCs/>
          <w:sz w:val="22"/>
          <w:szCs w:val="22"/>
        </w:rPr>
        <w:t xml:space="preserve">Refinement: </w:t>
      </w:r>
      <w:r>
        <w:rPr>
          <w:rFonts w:ascii="Arial" w:cs="Arial" w:eastAsia="Arial" w:hAnsi="Arial"/>
          <w:sz w:val="22"/>
          <w:szCs w:val="22"/>
        </w:rPr>
        <w:t xml:space="preserve">Add a “Trust” dropdown to the NavBar containing: Security, Ethics, Methodology. Alternatively, create a single “Trust &amp; Safety” landing page that aggregates security posture, ethical principles, methodology documentation, and the compliance roadmap. This is a common pattern for B2B legal tech (see Luminance, Eigen Technologies, Robin AI’s marketing sites).</w:t>
      </w:r>
    </w:p>
    <w:p>
      <w:pPr>
        <w:pStyle w:val="Heading2"/>
      </w:pPr>
      <w:r>
        <w:t xml:space="preserve">1.7 Mobile Navigation is Absent</w:t>
      </w:r>
    </w:p>
    <w:p>
      <w:pPr>
        <w:spacing w:before="400" w:after="100"/>
      </w:pPr>
      <w:r>
        <w:rPr>
          <w:rFonts w:ascii="Arial" w:cs="Arial" w:eastAsia="Arial" w:hAnsi="Arial"/>
          <w:b/>
          <w:bCs/>
          <w:color w:val="7B6BF5"/>
          <w:sz w:val="18"/>
          <w:szCs w:val="18"/>
        </w:rPr>
        <w:t xml:space="preserve">SEVERITY: MEDIUM</w:t>
      </w:r>
    </w:p>
    <w:p>
      <w:pPr>
        <w:spacing w:after="160" w:line="300"/>
      </w:pPr>
      <w:r>
        <w:rPr>
          <w:rFonts w:ascii="Arial" w:cs="Arial" w:eastAsia="Arial" w:hAnsi="Arial"/>
          <w:b/>
          <w:bCs/>
          <w:sz w:val="22"/>
          <w:szCs w:val="22"/>
        </w:rPr>
        <w:t xml:space="preserve">Finding: </w:t>
      </w:r>
      <w:r>
        <w:rPr>
          <w:rFonts w:ascii="Arial" w:cs="Arial" w:eastAsia="Arial" w:hAnsi="Arial"/>
          <w:sz w:val="22"/>
          <w:szCs w:val="22"/>
        </w:rPr>
        <w:t xml:space="preserve">The CSS hides all navigation links at screen widths below 900px with no hamburger menu or alternative navigation. On mobile, the only accessible element is the brand logo (which links to home). All other pages are unreachable. Given that many LiPs will access this tool from mobile devices — employment tribunal claimants are often working individuals without daytime desktop access — this effectively locks out a significant portion of the target user base.</w:t>
      </w:r>
    </w:p>
    <w:p>
      <w:pPr>
        <w:spacing w:after="160" w:line="300"/>
      </w:pPr>
      <w:r>
        <w:rPr>
          <w:rFonts w:ascii="Arial" w:cs="Arial" w:eastAsia="Arial" w:hAnsi="Arial"/>
          <w:b/>
          <w:bCs/>
          <w:sz w:val="22"/>
          <w:szCs w:val="22"/>
        </w:rPr>
        <w:t xml:space="preserve">Refinement: </w:t>
      </w:r>
      <w:r>
        <w:rPr>
          <w:rFonts w:ascii="Arial" w:cs="Arial" w:eastAsia="Arial" w:hAnsi="Arial"/>
          <w:sz w:val="22"/>
          <w:szCs w:val="22"/>
        </w:rPr>
        <w:t xml:space="preserve">Implement a hamburger menu for mobile viewports. This is a blocking issue for any user testing or demo. The analysis interface may reasonably require desktop for full functionality, but all informational and marketing pages must be fully accessible on mobile.</w:t>
      </w:r>
    </w:p>
    <w:p>
      <w:r>
        <w:br w:type="page"/>
      </w:r>
    </w:p>
    <w:p>
      <w:pPr>
        <w:pStyle w:val="Heading1"/>
      </w:pPr>
      <w:r>
        <w:t xml:space="preserve">2. Go-to-Market Validation Vectors</w:t>
      </w:r>
    </w:p>
    <w:p>
      <w:pPr>
        <w:spacing w:after="160" w:line="300"/>
      </w:pPr>
      <w:r>
        <w:rPr>
          <w:rFonts w:ascii="Arial" w:cs="Arial" w:eastAsia="Arial" w:hAnsi="Arial"/>
          <w:sz w:val="22"/>
          <w:szCs w:val="22"/>
        </w:rPr>
        <w:t xml:space="preserve">The legal tech GTM landscape in the UK is dominated by two failure modes that have killed more startups than bad technology: perma-pilot syndrome (where enterprise customers perpetually trial without ever converting to paid contracts) and the bespoke project trap (where each customer requires so much customisation that the product never achieves repeatable revenue). Tribunal Harness’s narrow vertical focus on employment tribunals is a structural defence against the bespoke trap, but the pilot-to-production conversion strategy must be designed from day one.</w:t>
      </w:r>
    </w:p>
    <w:p>
      <w:pPr>
        <w:pStyle w:val="Heading2"/>
      </w:pPr>
      <w:r>
        <w:t xml:space="preserve">2.1 Ecosystem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226"/>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Fit Rationale</w:t>
            </w:r>
          </w:p>
        </w:tc>
        <w:tc>
          <w:tcPr>
            <w:tcW w:type="dxa" w:w="23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 Strategy</w:t>
            </w:r>
          </w:p>
        </w:tc>
        <w:tc>
          <w:tcPr>
            <w:tcW w:type="dxa" w:w="22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LawtechUK Programme (CodeBase / Legal Geek)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Government-backed. 176+ startups supported since 2023. 44% of funded UK lawtechs are alumni. £1.5m new funding announced March 2025. Directly relevant to access-to-justice mission.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Apply for the next cohort. Frame as “ERA 2025 readiness tool for unrepresented claimants.” Your active EAT case is a compelling founder story.</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Apply Q2 2026. Programme runs 6 months.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MDR Lab (Mishcon de Reya)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Litigation-focused. Prefers multi-founder teams. Mishcon handles high-profile employment disputes. Would validate the adversarial debate engine concept.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Requires co-founder. Apply only after securing a technical co-founder. Pitch the Red Team agent as litigation-specific AI testing.</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Apply Q3–Q4 2026 (annual cohort).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Legal Education Foundation — Emerging Justice Fund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Up to £50,000 for 12 months. Specifically targets access-to-justice innovation. Non-dilutive. Application reopened January 2026.</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Apply immediately. Frame as “closing the information gap for employment tribunal LiPs.” Demonstrate the ERA 2025 timing urgency.</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Apply now. Decision within 8 weeks.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SRA Innovate / Regulatory Response Unit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Not an accelerator but critical for regulatory pathfinding. The SRA’s RRU helps innovators understand if their product crosses into reserved legal activities. Essential given the advice-like outputs.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Engage proactively before any public launch. Request a regulatory navigation assessment. This demonstrates governance maturity to all other stakeholders.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Engage Q2 2026 (pre-launch).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Barclays Eagle Labs / Plexal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General tech accelerators with legal tech tracks. Less specialised but provide workspace, mentoring, and investor introductions. Plexal has a justice/govtech focus.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Apply to Plexal’s govtech programme. Position as “justice infrastructure” not “legal AI.”</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Rolling applications.</w:t>
            </w:r>
          </w:p>
        </w:tc>
      </w:tr>
    </w:tbl>
    <w:p>
      <w:pPr>
        <w:spacing w:before="200"/>
      </w:pPr>
    </w:p>
    <w:p>
      <w:pPr>
        <w:pStyle w:val="Heading2"/>
      </w:pPr>
      <w:r>
        <w:t xml:space="preserve">2.2 Pilot Conversion Strategy: Defeating Perma-Pilot Syndrome</w:t>
      </w:r>
    </w:p>
    <w:p>
      <w:pPr>
        <w:spacing w:after="160" w:line="300"/>
      </w:pPr>
      <w:r>
        <w:rPr>
          <w:rFonts w:ascii="Arial" w:cs="Arial" w:eastAsia="Arial" w:hAnsi="Arial"/>
          <w:sz w:val="22"/>
          <w:szCs w:val="22"/>
        </w:rPr>
        <w:t xml:space="preserve">The legal tech graveyard is full of startups that secured impressive pilot logos but never converted them to production contracts. The root cause is almost always the same: the pilot was structured as an open-ended exploration rather than a time-bound, outcome-measured engagement with pre-agreed conversion criteria.</w:t>
      </w:r>
    </w:p>
    <w:p>
      <w:pPr>
        <w:spacing w:after="160" w:line="300"/>
      </w:pPr>
      <w:r>
        <w:rPr>
          <w:rFonts w:ascii="Arial" w:cs="Arial" w:eastAsia="Arial" w:hAnsi="Arial"/>
          <w:b/>
          <w:bCs/>
          <w:sz w:val="22"/>
          <w:szCs w:val="22"/>
        </w:rPr>
        <w:t xml:space="preserve">Structure every pilot as a 90-day Proof of Value (PoV) with three non-negotiable elements:</w:t>
      </w:r>
    </w:p>
    <w:p>
      <w:pPr>
        <w:pStyle w:val="ListParagraph"/>
        <w:numPr>
          <w:ilvl w:val="0"/>
          <w:numId w:val="2"/>
        </w:numPr>
        <w:spacing w:after="100" w:line="300"/>
      </w:pPr>
      <w:r>
        <w:rPr>
          <w:rFonts w:ascii="Arial" w:cs="Arial" w:eastAsia="Arial" w:hAnsi="Arial"/>
          <w:b/>
          <w:bCs/>
          <w:sz w:val="22"/>
          <w:szCs w:val="22"/>
        </w:rPr>
        <w:t xml:space="preserve">Pre-agreed success metrics. </w:t>
      </w:r>
      <w:r>
        <w:rPr>
          <w:rFonts w:ascii="Arial" w:cs="Arial" w:eastAsia="Arial" w:hAnsi="Arial"/>
          <w:sz w:val="22"/>
          <w:szCs w:val="22"/>
        </w:rPr>
        <w:t xml:space="preserve">Before the pilot starts, agree in writing what success looks like. For legal aid providers: “Claimants using the tool correctly identify their claim type in &gt;80% of cases” and “Deadline calculator accuracy is 100% against manual calculation.” For law firms: “Triage time for new employment matters reduced by &gt;40%.”</w:t>
      </w:r>
    </w:p>
    <w:p>
      <w:pPr>
        <w:pStyle w:val="ListParagraph"/>
        <w:numPr>
          <w:ilvl w:val="0"/>
          <w:numId w:val="2"/>
        </w:numPr>
        <w:spacing w:after="100" w:line="300"/>
      </w:pPr>
      <w:r>
        <w:rPr>
          <w:rFonts w:ascii="Arial" w:cs="Arial" w:eastAsia="Arial" w:hAnsi="Arial"/>
          <w:b/>
          <w:bCs/>
          <w:sz w:val="22"/>
          <w:szCs w:val="22"/>
        </w:rPr>
        <w:t xml:space="preserve">Conversion trigger. </w:t>
      </w:r>
      <w:r>
        <w:rPr>
          <w:rFonts w:ascii="Arial" w:cs="Arial" w:eastAsia="Arial" w:hAnsi="Arial"/>
          <w:sz w:val="22"/>
          <w:szCs w:val="22"/>
        </w:rPr>
        <w:t xml:space="preserve">The pilot agreement includes a clause: “If success metrics are met, the organisation commits to a 12-month subscription at [price] commencing within 30 days of pilot completion.” This is the single most important anti-perma-pilot mechanism. If they won’t agree to it, they are not a real prospect — they are using you for free innovation theatre.</w:t>
      </w:r>
    </w:p>
    <w:p>
      <w:pPr>
        <w:pStyle w:val="ListParagraph"/>
        <w:numPr>
          <w:ilvl w:val="0"/>
          <w:numId w:val="2"/>
        </w:numPr>
        <w:spacing w:after="200" w:line="300"/>
      </w:pPr>
      <w:r>
        <w:rPr>
          <w:rFonts w:ascii="Arial" w:cs="Arial" w:eastAsia="Arial" w:hAnsi="Arial"/>
          <w:b/>
          <w:bCs/>
          <w:sz w:val="22"/>
          <w:szCs w:val="22"/>
        </w:rPr>
        <w:t xml:space="preserve">Kill switch. </w:t>
      </w:r>
      <w:r>
        <w:rPr>
          <w:rFonts w:ascii="Arial" w:cs="Arial" w:eastAsia="Arial" w:hAnsi="Arial"/>
          <w:sz w:val="22"/>
          <w:szCs w:val="22"/>
        </w:rPr>
        <w:t xml:space="preserve">If after 60 days the engagement shows no progress toward metrics, terminate the pilot with a written summary. Do not extend. Extending pilots without progress is the mechanism by which perma-pilot syndrome takes hold.</w:t>
      </w:r>
    </w:p>
    <w:p>
      <w:pPr>
        <w:spacing w:after="160" w:line="300"/>
      </w:pPr>
      <w:r>
        <w:rPr>
          <w:rFonts w:ascii="Arial" w:cs="Arial" w:eastAsia="Arial" w:hAnsi="Arial"/>
          <w:b/>
          <w:bCs/>
          <w:sz w:val="22"/>
          <w:szCs w:val="22"/>
        </w:rPr>
        <w:t xml:space="preserve">Target pilot partners (in priority order): </w:t>
      </w:r>
      <w:r>
        <w:rPr>
          <w:rFonts w:ascii="Arial" w:cs="Arial" w:eastAsia="Arial" w:hAnsi="Arial"/>
          <w:sz w:val="22"/>
          <w:szCs w:val="22"/>
        </w:rPr>
        <w:t xml:space="preserve">Free Representation Unit (FRU), which handles employment tribunal cases with volunteer lawyers and has acute capacity constraints; the Employment Lawyers Association (ELA), which could validate the schema approach with practitioners; Advocate (formerly Bar Pro Bono Unit), which matches barristers with unrepresented litigants; and Citizens Advice employment specialists, who handle the highest volume of employment queries from LiPs.</w:t>
      </w:r>
    </w:p>
    <w:p>
      <w:pPr>
        <w:pStyle w:val="Heading2"/>
      </w:pPr>
      <w:r>
        <w:t xml:space="preserve">2.3 Regulatory Pathfinding: Reserved Activities Analysis</w:t>
      </w:r>
    </w:p>
    <w:p>
      <w:pPr>
        <w:spacing w:after="160" w:line="300"/>
      </w:pPr>
      <w:r>
        <w:rPr>
          <w:rFonts w:ascii="Arial" w:cs="Arial" w:eastAsia="Arial" w:hAnsi="Arial"/>
          <w:sz w:val="22"/>
          <w:szCs w:val="22"/>
        </w:rPr>
        <w:t xml:space="preserve">Tribunal Harness generates outputs that are functionally close to legal advice: claim type identification, procedural step recommendations, deadline calculations with legal consequences, and adversarial argument assessment. The Legal Services Act 2007 reserves specific activities to regulated persons, but the boundary between “legal information” and “legal advice” is determined by context, specificity, and the reasonable expectations of the user.</w:t>
      </w:r>
    </w:p>
    <w:p>
      <w:pPr>
        <w:spacing w:after="160" w:line="300"/>
      </w:pPr>
      <w:r>
        <w:rPr>
          <w:rFonts w:ascii="Arial" w:cs="Arial" w:eastAsia="Arial" w:hAnsi="Arial"/>
          <w:b/>
          <w:bCs/>
          <w:sz w:val="22"/>
          <w:szCs w:val="22"/>
        </w:rPr>
        <w:t xml:space="preserve">Required actions before public launch:</w:t>
      </w:r>
    </w:p>
    <w:p>
      <w:pPr>
        <w:pStyle w:val="ListParagraph"/>
        <w:numPr>
          <w:ilvl w:val="0"/>
          <w:numId w:val="3"/>
        </w:numPr>
        <w:spacing w:after="100" w:line="300"/>
      </w:pPr>
      <w:r>
        <w:rPr>
          <w:rFonts w:ascii="Arial" w:cs="Arial" w:eastAsia="Arial" w:hAnsi="Arial"/>
          <w:sz w:val="22"/>
          <w:szCs w:val="22"/>
        </w:rPr>
        <w:t xml:space="preserve">Engage the SRA Regulatory Response Unit (RRU) for a formal navigation assessment. This is free and creates a documented record that you proactively sought regulatory guidance.</w:t>
      </w:r>
    </w:p>
    <w:p>
      <w:pPr>
        <w:pStyle w:val="ListParagraph"/>
        <w:numPr>
          <w:ilvl w:val="0"/>
          <w:numId w:val="3"/>
        </w:numPr>
        <w:spacing w:after="100" w:line="300"/>
      </w:pPr>
      <w:r>
        <w:rPr>
          <w:rFonts w:ascii="Arial" w:cs="Arial" w:eastAsia="Arial" w:hAnsi="Arial"/>
          <w:sz w:val="22"/>
          <w:szCs w:val="22"/>
        </w:rPr>
        <w:t xml:space="preserve">Obtain a formal opinion from a legal services regulation specialist (not an employment lawyer — a regulatory specialist) on whether the tool’s outputs constitute the conduct of litigation or the provision of legal advice within the meaning of the LSA 2007.</w:t>
      </w:r>
    </w:p>
    <w:p>
      <w:pPr>
        <w:pStyle w:val="ListParagraph"/>
        <w:numPr>
          <w:ilvl w:val="0"/>
          <w:numId w:val="3"/>
        </w:numPr>
        <w:spacing w:after="100" w:line="300"/>
      </w:pPr>
      <w:r>
        <w:rPr>
          <w:rFonts w:ascii="Arial" w:cs="Arial" w:eastAsia="Arial" w:hAnsi="Arial"/>
          <w:sz w:val="22"/>
          <w:szCs w:val="22"/>
        </w:rPr>
        <w:t xml:space="preserve">If the opinion identifies borderline activities, apply for an Alternative Business Structure (ABS) licence from the SRA. This allows non-lawyers to own and manage a business that provides reserved legal activities. Cost is approximately £3,000–£5,000 for the application.</w:t>
      </w:r>
    </w:p>
    <w:p>
      <w:pPr>
        <w:pStyle w:val="ListParagraph"/>
        <w:numPr>
          <w:ilvl w:val="0"/>
          <w:numId w:val="3"/>
        </w:numPr>
        <w:spacing w:after="200" w:line="300"/>
      </w:pPr>
      <w:r>
        <w:rPr>
          <w:rFonts w:ascii="Arial" w:cs="Arial" w:eastAsia="Arial" w:hAnsi="Arial"/>
          <w:sz w:val="22"/>
          <w:szCs w:val="22"/>
        </w:rPr>
        <w:t xml:space="preserve">Document your regulatory pathfinding in a public-facing “Regulatory Approach” page on the site. This signals governance maturity and pre-empts due diligence questions.</w:t>
      </w:r>
    </w:p>
    <w:p>
      <w:r>
        <w:br w:type="page"/>
      </w:r>
    </w:p>
    <w:p>
      <w:pPr>
        <w:pStyle w:val="Heading1"/>
      </w:pPr>
      <w:r>
        <w:t xml:space="preserve">3. Funding Pathway</w:t>
      </w:r>
    </w:p>
    <w:p>
      <w:pPr>
        <w:spacing w:after="160" w:line="300"/>
      </w:pPr>
      <w:r>
        <w:rPr>
          <w:rFonts w:ascii="Arial" w:cs="Arial" w:eastAsia="Arial" w:hAnsi="Arial"/>
          <w:sz w:val="22"/>
          <w:szCs w:val="22"/>
        </w:rPr>
        <w:t xml:space="preserve">UK early-stage legal tech funding is experiencing record inflows — £117m raised by 27 companies in H1 2025 alone, with projections of £2.2bn annually by 2026. The combination of SEIS/EIS tax relief, flexible instruments like SeedFAST, and a government actively backing LawtechUK creates a favourable environment. However, the pathway from solo founder with a working prototype to institutional seed round requires deliberate staging.</w:t>
      </w:r>
    </w:p>
    <w:p>
      <w:pPr>
        <w:pStyle w:val="Heading2"/>
      </w:pPr>
      <w:r>
        <w:t xml:space="preserve">3.1 Pre-Seed SEIS: £50k–£250k</w:t>
      </w:r>
    </w:p>
    <w:p>
      <w:pPr>
        <w:spacing w:before="400" w:after="100"/>
      </w:pPr>
      <w:r>
        <w:rPr>
          <w:rFonts w:ascii="Arial" w:cs="Arial" w:eastAsia="Arial" w:hAnsi="Arial"/>
          <w:b/>
          <w:bCs/>
          <w:color w:val="7B6BF5"/>
          <w:sz w:val="18"/>
          <w:szCs w:val="18"/>
        </w:rPr>
        <w:t xml:space="preserve">TARGET: Q2–Q3 2026</w:t>
      </w:r>
    </w:p>
    <w:p>
      <w:pPr>
        <w:spacing w:after="160" w:line="300"/>
      </w:pPr>
      <w:r>
        <w:rPr>
          <w:rFonts w:ascii="Arial" w:cs="Arial" w:eastAsia="Arial" w:hAnsi="Arial"/>
          <w:b/>
          <w:bCs/>
          <w:sz w:val="22"/>
          <w:szCs w:val="22"/>
        </w:rPr>
        <w:t xml:space="preserve">Instrument: </w:t>
      </w:r>
      <w:r>
        <w:rPr>
          <w:rFonts w:ascii="Arial" w:cs="Arial" w:eastAsia="Arial" w:hAnsi="Arial"/>
          <w:sz w:val="22"/>
          <w:szCs w:val="22"/>
        </w:rPr>
        <w:t xml:space="preserve">SeedFAST (SeedLegals’ SEIS/EIS-compatible Advance Subscription Agreement). This is the UK-standard instrument for pre-seed raises. Investors get SEIS tax relief (50% income tax relief on up to £200,000 invested, plus CGT exemption) immediately upon investment, not upon conversion. The 6-month long-stop date means you must close a priced round within 6 months of the SeedFAST — plan accordingly.</w:t>
      </w:r>
    </w:p>
    <w:p>
      <w:pPr>
        <w:spacing w:after="160" w:line="300"/>
      </w:pPr>
      <w:r>
        <w:rPr>
          <w:rFonts w:ascii="Arial" w:cs="Arial" w:eastAsia="Arial" w:hAnsi="Arial"/>
          <w:b/>
          <w:bCs/>
          <w:sz w:val="22"/>
          <w:szCs w:val="22"/>
        </w:rPr>
        <w:t xml:space="preserve">Milestones required to unlock SEIS capital: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 Required</w:t>
            </w:r>
          </w:p>
        </w:tc>
        <w:tc>
          <w:tcPr>
            <w:tcW w:type="dxa" w:w="20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Working demo with real legal scenario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Video walkthrough: LiP enters facts, tool identifies claims, calculates deadlines with ERA 2025 dual-regime, generates procedural roadmap with verified citations.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Near-complete. Wire remaining stubs.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SEIS Advance Assurance from HMRC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Apply via HMRC’s EIS/SEIS Advance Assurance service. Confirm the company qualifies for SEIS (under 2 years old, fewer than 25 employees, gross assets under £350k). Takes 4–6 weeks.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Not started. Do immediately.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Company incorporation with clean cap table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UK limited company. Single founder. No encumbrances. Articles compatible with future funding rounds (use SeedLegals model articles).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Required if not already done.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IP assignment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All code, schemas, and architecture documents formally assigned to the company. Use a standard IP Assignment Agreement.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Required before any investment.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Data protection registration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ICO registration as a data controller. £40/year. Takes 2 days.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Required before processing any user data.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3–5 letters of intent from pilot partners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Written expressions of interest from legal aid providers, employment law firms, or access-to-justice organisations willing to pilot the tool. Not binding — but demonstrates market pull.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Target: FRU, Citizens Advice, ELA.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SRA RRU engagement documented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Written record of engagement with the SRA’s Regulatory Response Unit regarding the tool’s regulatory position. Demonstrates governance maturity.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Engage Q2 2026.</w:t>
            </w:r>
          </w:p>
        </w:tc>
      </w:tr>
    </w:tbl>
    <w:p>
      <w:pPr>
        <w:spacing w:before="200"/>
      </w:pPr>
    </w:p>
    <w:p>
      <w:pPr>
        <w:spacing w:after="160" w:line="300"/>
      </w:pPr>
      <w:r>
        <w:rPr>
          <w:rFonts w:ascii="Arial" w:cs="Arial" w:eastAsia="Arial" w:hAnsi="Arial"/>
          <w:b/>
          <w:bCs/>
          <w:sz w:val="22"/>
          <w:szCs w:val="22"/>
        </w:rPr>
        <w:t xml:space="preserve">Target investors: </w:t>
      </w:r>
      <w:r>
        <w:rPr>
          <w:rFonts w:ascii="Arial" w:cs="Arial" w:eastAsia="Arial" w:hAnsi="Arial"/>
          <w:sz w:val="22"/>
          <w:szCs w:val="22"/>
        </w:rPr>
        <w:t xml:space="preserve">Angel Academe (if female co-founder recruited), Ascension Ventures (most active UK seed investor), individual angels via AngelList UK and UKBAA networks. The legal tech angle plays well with angels who are practising lawyers — target the Commercial Litigation/Employment groups of the London Solicitors Litigation Association and the Employment Lawyers Association. Your personal litigation experience is a founder story that resonates with angel investors who understand the problem viscerally.</w:t>
      </w:r>
    </w:p>
    <w:p>
      <w:pPr>
        <w:pStyle w:val="Heading2"/>
      </w:pPr>
      <w:r>
        <w:t xml:space="preserve">3.2 Grant Bridge: Non-Dilutive Capital</w:t>
      </w:r>
    </w:p>
    <w:p>
      <w:pPr>
        <w:spacing w:before="400" w:after="100"/>
      </w:pPr>
      <w:r>
        <w:rPr>
          <w:rFonts w:ascii="Arial" w:cs="Arial" w:eastAsia="Arial" w:hAnsi="Arial"/>
          <w:b/>
          <w:bCs/>
          <w:color w:val="7B6BF5"/>
          <w:sz w:val="18"/>
          <w:szCs w:val="18"/>
        </w:rPr>
        <w:t xml:space="preserve">TARGET: CONCURRENT WITH SEIS RAISE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526"/>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Grant</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Fit</w:t>
            </w:r>
          </w:p>
        </w:tc>
        <w:tc>
          <w:tcPr>
            <w:tcW w:type="dxa" w:w="25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Legal Education Foundation — Emerging Justice Fund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Up to £50,000 (12 months)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Direct fit. Access to justice for tribunal LiPs. ERA 2025 timing. Schema-driven approach.</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Applications reopened Jan 2026. Apply immediately. Can lead to 3-year flexible grant (£50–75k/year).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Innovate UK — New Pilot Programme (Spring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TBC (Smart Grants paused; new format launching)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Legal tech / AI / access to justice. Monitor announcements.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Smart Grants paused for FY 2025/26. New pilot launching spring 2026. Position as “AI governance in legal services” to align with government AI regulation priorities.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UKRI / AHRC — Connected Communities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£50k–£150k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Access to justice as a community infrastructure challenge. Academic partnership required.</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Partner with a university law school (your LLM institution is the obvious candidate). Frame as “digital access to justice infrastructure.”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Nesta Challenges / Social Tech Fund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Varies (£30k–£100k)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Social impact technology. Access to justice is a priority area.</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Monitor for relevant challenge calls. The “closing information asymmetry” framing maps perfectly to Nesta’s theory of change.</w:t>
            </w:r>
          </w:p>
        </w:tc>
      </w:tr>
    </w:tbl>
    <w:p>
      <w:pPr>
        <w:spacing w:before="200"/>
      </w:pPr>
    </w:p>
    <w:p>
      <w:pPr>
        <w:pStyle w:val="Heading2"/>
      </w:pPr>
      <w:r>
        <w:t xml:space="preserve">3.3 Seed Readiness: £500k–£2m Institutional Round</w:t>
      </w:r>
    </w:p>
    <w:p>
      <w:pPr>
        <w:spacing w:before="400" w:after="100"/>
      </w:pPr>
      <w:r>
        <w:rPr>
          <w:rFonts w:ascii="Arial" w:cs="Arial" w:eastAsia="Arial" w:hAnsi="Arial"/>
          <w:b/>
          <w:bCs/>
          <w:color w:val="7B6BF5"/>
          <w:sz w:val="18"/>
          <w:szCs w:val="18"/>
        </w:rPr>
        <w:t xml:space="preserve">TARGET: Q1–Q2 2027</w:t>
      </w:r>
    </w:p>
    <w:p>
      <w:pPr>
        <w:spacing w:after="160" w:line="300"/>
      </w:pPr>
      <w:r>
        <w:rPr>
          <w:rFonts w:ascii="Arial" w:cs="Arial" w:eastAsia="Arial" w:hAnsi="Arial"/>
          <w:sz w:val="22"/>
          <w:szCs w:val="22"/>
        </w:rPr>
        <w:t xml:space="preserve">UK institutional seed VCs investing in legal tech include Octopus Ventures, LocalGlobe, Seedcamp, and the Access to Justice Foundation’s impact investment arm. To be investable at this level, Tribunal Harness needs to demonstrate the following metrics and operational maturity: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0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Get There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Annual Recurring Revenue (ARR)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£50k–£100k ARR or credible path to it. At £49/month Professional tier, this requires 85–170 paying users.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Convert 3–5 pilot partners to paid subscriptions. Launch the Professional tier. Target employment law boutiques and legal aid providers.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Net Dollar Retention (NDR)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&gt;100%. Existing customers spending more over time.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Build expansion paths: additional claim types, multi-user seats, API access for integration into existing case management systems.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Logo Retention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&gt;85% monthly. Legal tools are sticky once embedded in workflow.</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Focus on workflow integration, not just features. Become part of the user’s case preparation process, not an optional add-on.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Team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Minimum: founder + technical co-founder + 1 domain advisor.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The build-in-public Substack strategy is specifically designed to attract a technical co-founder. MDR Lab requires multiple founders.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Regulatory Position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SRA engagement documented. ABS licence obtained if required. ICO registration active.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The regulatory pathfinding described in Section 2.3 must be complete before institutional investors will engage.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ERA 2025 Moat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Demonstrable lead over competitors in ERA 2025 implementation. Published content establishing thought leadership.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The Substack series, conference talks (ELA, Legal Geek, JUSTICE), and the ERA 2025 tracker API are all moat-building activities.</w:t>
            </w:r>
          </w:p>
        </w:tc>
      </w:tr>
    </w:tbl>
    <w:p>
      <w:pPr>
        <w:spacing w:before="200"/>
      </w:pPr>
    </w:p>
    <w:p>
      <w:pPr>
        <w:spacing w:after="160" w:line="300"/>
      </w:pPr>
      <w:r>
        <w:rPr>
          <w:rFonts w:ascii="Arial" w:cs="Arial" w:eastAsia="Arial" w:hAnsi="Arial"/>
          <w:b/>
          <w:bCs/>
          <w:sz w:val="22"/>
          <w:szCs w:val="22"/>
        </w:rPr>
        <w:t xml:space="preserve">Instrument: </w:t>
      </w:r>
      <w:r>
        <w:rPr>
          <w:rFonts w:ascii="Arial" w:cs="Arial" w:eastAsia="Arial" w:hAnsi="Arial"/>
          <w:sz w:val="22"/>
          <w:szCs w:val="22"/>
        </w:rPr>
        <w:t xml:space="preserve">Priced equity round on an ASA (Advance Subscription Agreement) or a standard Seed round with SeedLegals or similar platform. EIS relief (30% income tax relief, no cap on investment amount for the company) applies at this stage. Structure the round to maintain EIS qualifying status — this means the company must be carrying on a qualifying trade, have fewer than 250 employees, and have gross assets under £15m.</w:t>
      </w:r>
    </w:p>
    <w:p>
      <w:r>
        <w:br w:type="page"/>
      </w:r>
    </w:p>
    <w:p>
      <w:pPr>
        <w:pStyle w:val="Heading1"/>
      </w:pPr>
      <w:r>
        <w:t xml:space="preserve">4. Failure Mode Assessment</w:t>
      </w:r>
    </w:p>
    <w:p>
      <w:pPr>
        <w:spacing w:after="160" w:line="300"/>
      </w:pPr>
      <w:r>
        <w:rPr>
          <w:rFonts w:ascii="Arial" w:cs="Arial" w:eastAsia="Arial" w:hAnsi="Arial"/>
          <w:sz w:val="22"/>
          <w:szCs w:val="22"/>
        </w:rPr>
        <w:t xml:space="preserve">Every legal tech startup faces a predictable set of failure modes. The value of this assessment is not in identifying them — they are well-known — but in mapping Tribunal Harness’s specific exposure and designing structural defences.</w:t>
      </w:r>
    </w:p>
    <w:p>
      <w:pPr>
        <w:pStyle w:val="Heading2"/>
      </w:pPr>
      <w:r>
        <w:t xml:space="preserve">4.1 Perma-Pilot Syndrome</w:t>
      </w:r>
    </w:p>
    <w:p>
      <w:pPr>
        <w:spacing w:after="160" w:line="300"/>
      </w:pPr>
      <w:r>
        <w:rPr>
          <w:rFonts w:ascii="Arial" w:cs="Arial" w:eastAsia="Arial" w:hAnsi="Arial"/>
          <w:b/>
          <w:bCs/>
          <w:sz w:val="22"/>
          <w:szCs w:val="22"/>
        </w:rPr>
        <w:t xml:space="preserve">Exposure: MODERATE. </w:t>
      </w:r>
      <w:r>
        <w:rPr>
          <w:rFonts w:ascii="Arial" w:cs="Arial" w:eastAsia="Arial" w:hAnsi="Arial"/>
          <w:sz w:val="22"/>
          <w:szCs w:val="22"/>
        </w:rPr>
        <w:t xml:space="preserve">The LiP-direct model partially avoids this because individual users don’t run pilots — they either use the tool or they don’t. However, the institutional channel (legal aid providers, law firms) is fully exposed. The 90-day PoV structure described in Section 2.2 is the primary defence. Secondary defence: never offer the full Professional tier for free during a pilot. Offer a limited version with a clear upgrade path.</w:t>
      </w:r>
    </w:p>
    <w:p>
      <w:pPr>
        <w:pStyle w:val="Heading2"/>
      </w:pPr>
      <w:r>
        <w:t xml:space="preserve">4.2 Bespoke Project Trap</w:t>
      </w:r>
    </w:p>
    <w:p>
      <w:pPr>
        <w:spacing w:after="160" w:line="300"/>
      </w:pPr>
      <w:r>
        <w:rPr>
          <w:rFonts w:ascii="Arial" w:cs="Arial" w:eastAsia="Arial" w:hAnsi="Arial"/>
          <w:b/>
          <w:bCs/>
          <w:sz w:val="22"/>
          <w:szCs w:val="22"/>
        </w:rPr>
        <w:t xml:space="preserve">Exposure: LOW. </w:t>
      </w:r>
      <w:r>
        <w:rPr>
          <w:rFonts w:ascii="Arial" w:cs="Arial" w:eastAsia="Arial" w:hAnsi="Arial"/>
          <w:sz w:val="22"/>
          <w:szCs w:val="22"/>
        </w:rPr>
        <w:t xml:space="preserve">The schema-driven architecture is a structural defence. Each claim type has a defined schema; the system does not generate bespoke outputs for bespoke problems. The key risk is scope creep: a pilot partner asks you to add Scottish employment law, or immigration tribunal support, or family law. Every one of these requests must be declined during the PoV phase. The product’s strength is its narrow vertical focus. Defend it.</w:t>
      </w:r>
    </w:p>
    <w:p>
      <w:pPr>
        <w:pStyle w:val="Heading2"/>
      </w:pPr>
      <w:r>
        <w:t xml:space="preserve">4.3 Platform Risk (Anthropic/Google Dependency)</w:t>
      </w:r>
    </w:p>
    <w:p>
      <w:pPr>
        <w:spacing w:after="160" w:line="300"/>
      </w:pPr>
      <w:r>
        <w:rPr>
          <w:rFonts w:ascii="Arial" w:cs="Arial" w:eastAsia="Arial" w:hAnsi="Arial"/>
          <w:b/>
          <w:bCs/>
          <w:sz w:val="22"/>
          <w:szCs w:val="22"/>
        </w:rPr>
        <w:t xml:space="preserve">Exposure: HIGH. </w:t>
      </w:r>
      <w:r>
        <w:rPr>
          <w:rFonts w:ascii="Arial" w:cs="Arial" w:eastAsia="Arial" w:hAnsi="Arial"/>
          <w:sz w:val="22"/>
          <w:szCs w:val="22"/>
        </w:rPr>
        <w:t xml:space="preserve">The entire intelligence layer depends on Claude (with potential migration to Gemini). If Anthropic ships a legal vertical product — or if a competitor like Harvey, Luminance, or CoCounsel builds an employment tribunal module — the LLM layer becomes a commodity. The moat is not the LLM. The moat is the combination of: (a) the verified case law database with citation validation, (b) the ERA 2025 schema library, (c) the epistemic quarantine layer, and (d) the domain expertise encoded in the schemas. Make these defensible. The schemas, the validation gates, and the commencement date logic are your IP — not the Claude API calls.</w:t>
      </w:r>
    </w:p>
    <w:p>
      <w:pPr>
        <w:pStyle w:val="Heading2"/>
      </w:pPr>
      <w:r>
        <w:t xml:space="preserve">4.4 Regulatory Kill Switch</w:t>
      </w:r>
    </w:p>
    <w:p>
      <w:pPr>
        <w:spacing w:after="160" w:line="300"/>
      </w:pPr>
      <w:r>
        <w:rPr>
          <w:rFonts w:ascii="Arial" w:cs="Arial" w:eastAsia="Arial" w:hAnsi="Arial"/>
          <w:b/>
          <w:bCs/>
          <w:sz w:val="22"/>
          <w:szCs w:val="22"/>
        </w:rPr>
        <w:t xml:space="preserve">Exposure: MODERATE–HIGH. </w:t>
      </w:r>
      <w:r>
        <w:rPr>
          <w:rFonts w:ascii="Arial" w:cs="Arial" w:eastAsia="Arial" w:hAnsi="Arial"/>
          <w:sz w:val="22"/>
          <w:szCs w:val="22"/>
        </w:rPr>
        <w:t xml:space="preserve">If the SRA or a court determines that the tool’s outputs constitute legal advice or the conduct of litigation, the product cannot legally operate without an ABS licence or a supervising solicitor. This is not hypothetical — it is the single most common regulatory risk for legal AI tools in the UK. The proactive SRA engagement described in Section 2.3 is essential. The persistent disclaimer architecture described in Section 1.3 is the first line of defence. Design the product so that every output is explicitly framed as information, not advice, and always includes a recommendation to seek professional advice for complex matters.</w:t>
      </w:r>
    </w:p>
    <w:p>
      <w:pPr>
        <w:pStyle w:val="Heading2"/>
      </w:pPr>
      <w:r>
        <w:t xml:space="preserve">4.5 ERA 2025 Timing Perishability</w:t>
      </w:r>
    </w:p>
    <w:p>
      <w:pPr>
        <w:spacing w:after="160" w:line="300"/>
      </w:pPr>
      <w:r>
        <w:rPr>
          <w:rFonts w:ascii="Arial" w:cs="Arial" w:eastAsia="Arial" w:hAnsi="Arial"/>
          <w:b/>
          <w:bCs/>
          <w:sz w:val="22"/>
          <w:szCs w:val="22"/>
        </w:rPr>
        <w:t xml:space="preserve">Exposure: MODERATE. </w:t>
      </w:r>
      <w:r>
        <w:rPr>
          <w:rFonts w:ascii="Arial" w:cs="Arial" w:eastAsia="Arial" w:hAnsi="Arial"/>
          <w:sz w:val="22"/>
          <w:szCs w:val="22"/>
        </w:rPr>
        <w:t xml:space="preserve">The ERA 2025 advantage is real but decaying. The October 2026 commencement (6-month time limits) and January 2027 commencement (unfair dismissal qualifying period change) are the two highest-impact changes. By mid-2027, every competent employment law practitioner and every competing legal tech tool will have incorporated these changes. The window of genuine competitive advantage is approximately 12–18 months from today. Use it to establish the product, build the user base, and create switching costs. After that, the ERA 2025 readiness becomes table stakes, not a differentiator.</w:t>
      </w:r>
    </w:p>
    <w:p>
      <w:r>
        <w:br w:type="page"/>
      </w:r>
    </w:p>
    <w:p>
      <w:pPr>
        <w:pStyle w:val="Heading1"/>
      </w:pPr>
      <w:r>
        <w:t xml:space="preserve">5. Strategic Recommendations — 90-Day Action Plan</w:t>
      </w:r>
    </w:p>
    <w:p>
      <w:pPr>
        <w:spacing w:after="160" w:line="300"/>
      </w:pPr>
      <w:r>
        <w:rPr>
          <w:rFonts w:ascii="Arial" w:cs="Arial" w:eastAsia="Arial" w:hAnsi="Arial"/>
          <w:sz w:val="22"/>
          <w:szCs w:val="22"/>
        </w:rPr>
        <w:t xml:space="preserve">The following actions are sequenced for maximum impact within the constraints of a solo founder with a working prototype and limited capital.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26"/>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5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2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1–2</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Remove compliance badges. Replace with Security Roadmap. Fix mobile navigation. Add persistent legal disclaimer to all analysis pages. Engage SRA RRU.</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Site passes basic trust audit.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3–4</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Incorporate company (if not done). Apply for SEIS Advance Assurance. Register with ICO. Execute IP Assignment. Apply to Legal Education Foundation Emerging Justice Fund.</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Corporate structure investment-ready.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5–6</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Implement managed API layer (replace BYOK as default). Draft standard DPA. Wire remaining API stubs (debate, roadmap, webhook). Complete demo video.</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Product demo-ready for institutional audiences.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7–8</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Publish first Substack piece: information asymmetry thesis + ERA 2025 angle + working demo link. Share in Legal Geek, ELA, and LawtechUK communities. Approach FRU, Citizens Advice, and Advocate for pilot LOIs.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Public launch. Market validation begins.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9–10</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Apply to LawtechUK programme. Begin SeedFAST raise with 3–5 angels. Target £75k–£150k initial close. Use SEIS Advance Assurance as investor incentive.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Capital raise initiated.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bCs/>
                <w:sz w:val="20"/>
                <w:szCs w:val="20"/>
              </w:rPr>
              <w:t xml:space="preserve">11–12</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Begin first 90-day PoV with pilot partner. Implement light theme for institutional pages. Add testimonials from early testers. Continue Substack series.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First institutional validation. Pilot running.</w:t>
            </w:r>
          </w:p>
        </w:tc>
      </w:tr>
    </w:tbl>
    <w:p>
      <w:pPr>
        <w:spacing w:before="400"/>
      </w:pPr>
    </w:p>
    <w:p>
      <w:pPr>
        <w:pStyle w:val="Heading1"/>
      </w:pPr>
      <w:r>
        <w:t xml:space="preserve">6. Competitive Moat Assessment</w:t>
      </w:r>
    </w:p>
    <w:p>
      <w:pPr>
        <w:spacing w:after="160" w:line="300"/>
      </w:pPr>
      <w:r>
        <w:rPr>
          <w:rFonts w:ascii="Arial" w:cs="Arial" w:eastAsia="Arial" w:hAnsi="Arial"/>
          <w:sz w:val="22"/>
          <w:szCs w:val="22"/>
        </w:rPr>
        <w:t xml:space="preserve">The legal AI market is rapidly commoditising at the LLM layer. Harvey, Luminance, CoCounsel, and now Anthropic’s own Claude Legal plugin are all converging on the same general-purpose legal assistant model. Tribunal Harness’s defensibility does not come from having a better chatbot — it comes from structural choices that are difficult to replicate:</w:t>
      </w:r>
    </w:p>
    <w:p>
      <w:pPr>
        <w:pStyle w:val="ListParagraph"/>
        <w:numPr>
          <w:ilvl w:val="0"/>
          <w:numId w:val="4"/>
        </w:numPr>
        <w:spacing w:after="100" w:line="300"/>
      </w:pPr>
      <w:r>
        <w:rPr>
          <w:rFonts w:ascii="Arial" w:cs="Arial" w:eastAsia="Arial" w:hAnsi="Arial"/>
          <w:b/>
          <w:bCs/>
          <w:sz w:val="22"/>
          <w:szCs w:val="22"/>
        </w:rPr>
        <w:t xml:space="preserve">Schema-driven architecture. </w:t>
      </w:r>
      <w:r>
        <w:rPr>
          <w:rFonts w:ascii="Arial" w:cs="Arial" w:eastAsia="Arial" w:hAnsi="Arial"/>
          <w:sz w:val="22"/>
          <w:szCs w:val="22"/>
        </w:rPr>
        <w:t xml:space="preserve">No other UK legal AI tool generates targeted form components from JSON schemas representing legal tests. This is fundamentally different from chatbot-based interaction and produces more reliable, auditable outputs.</w:t>
      </w:r>
    </w:p>
    <w:p>
      <w:pPr>
        <w:pStyle w:val="ListParagraph"/>
        <w:numPr>
          <w:ilvl w:val="0"/>
          <w:numId w:val="4"/>
        </w:numPr>
        <w:spacing w:after="100" w:line="300"/>
      </w:pPr>
      <w:r>
        <w:rPr>
          <w:rFonts w:ascii="Arial" w:cs="Arial" w:eastAsia="Arial" w:hAnsi="Arial"/>
          <w:b/>
          <w:bCs/>
          <w:sz w:val="22"/>
          <w:szCs w:val="22"/>
        </w:rPr>
        <w:t xml:space="preserve">Epistemic quarantine. </w:t>
      </w:r>
      <w:r>
        <w:rPr>
          <w:rFonts w:ascii="Arial" w:cs="Arial" w:eastAsia="Arial" w:hAnsi="Arial"/>
          <w:sz w:val="22"/>
          <w:szCs w:val="22"/>
        </w:rPr>
        <w:t xml:space="preserve">The citation validation gate that strips unverified claims before the user sees them is a genuine technical differentiator. No competitor ships this. In a market where hallucination risk is the primary buyer objection, this is the single strongest selling point.</w:t>
      </w:r>
    </w:p>
    <w:p>
      <w:pPr>
        <w:pStyle w:val="ListParagraph"/>
        <w:numPr>
          <w:ilvl w:val="0"/>
          <w:numId w:val="4"/>
        </w:numPr>
        <w:spacing w:after="100" w:line="300"/>
      </w:pPr>
      <w:r>
        <w:rPr>
          <w:rFonts w:ascii="Arial" w:cs="Arial" w:eastAsia="Arial" w:hAnsi="Arial"/>
          <w:b/>
          <w:bCs/>
          <w:sz w:val="22"/>
          <w:szCs w:val="22"/>
        </w:rPr>
        <w:t xml:space="preserve">ERA 2025 first-mover. </w:t>
      </w:r>
      <w:r>
        <w:rPr>
          <w:rFonts w:ascii="Arial" w:cs="Arial" w:eastAsia="Arial" w:hAnsi="Arial"/>
          <w:sz w:val="22"/>
          <w:szCs w:val="22"/>
        </w:rPr>
        <w:t xml:space="preserve">The dual-regime deadline calculator, the updated schemas with commencement date tracking, and the ERA 2025 tracker API are all shipping or near-shipping. Most competitors have not yet begun ERA 2025 integration.</w:t>
      </w:r>
    </w:p>
    <w:p>
      <w:pPr>
        <w:pStyle w:val="ListParagraph"/>
        <w:numPr>
          <w:ilvl w:val="0"/>
          <w:numId w:val="4"/>
        </w:numPr>
        <w:spacing w:after="100" w:line="300"/>
      </w:pPr>
      <w:r>
        <w:rPr>
          <w:rFonts w:ascii="Arial" w:cs="Arial" w:eastAsia="Arial" w:hAnsi="Arial"/>
          <w:b/>
          <w:bCs/>
          <w:sz w:val="22"/>
          <w:szCs w:val="22"/>
        </w:rPr>
        <w:t xml:space="preserve">Founder-domain fit. </w:t>
      </w:r>
      <w:r>
        <w:rPr>
          <w:rFonts w:ascii="Arial" w:cs="Arial" w:eastAsia="Arial" w:hAnsi="Arial"/>
          <w:sz w:val="22"/>
          <w:szCs w:val="22"/>
        </w:rPr>
        <w:t xml:space="preserve">A founder with an LLM in Legal Practice, active EAT litigation against a major law firm, and professional experience in legal tech and AI training is not something a competitor can replicate by hiring a consultant. This is the kind of founder story that resonates with both access-to-justice funders and commercially-minded investors.</w:t>
      </w:r>
    </w:p>
    <w:p>
      <w:pPr>
        <w:pStyle w:val="ListParagraph"/>
        <w:numPr>
          <w:ilvl w:val="0"/>
          <w:numId w:val="4"/>
        </w:numPr>
        <w:spacing w:after="200" w:line="300"/>
      </w:pPr>
      <w:r>
        <w:rPr>
          <w:rFonts w:ascii="Arial" w:cs="Arial" w:eastAsia="Arial" w:hAnsi="Arial"/>
          <w:b/>
          <w:bCs/>
          <w:sz w:val="22"/>
          <w:szCs w:val="22"/>
        </w:rPr>
        <w:t xml:space="preserve">Adversarial testing layer. </w:t>
      </w:r>
      <w:r>
        <w:rPr>
          <w:rFonts w:ascii="Arial" w:cs="Arial" w:eastAsia="Arial" w:hAnsi="Arial"/>
          <w:sz w:val="22"/>
          <w:szCs w:val="22"/>
        </w:rPr>
        <w:t xml:space="preserve">The Drafter/Critic/Judge multi-agent debate system, when built, will be the only employment tribunal tool that stress-tests arguments before presenting them. This maps directly to the way litigation actually works — and no chatbot-based competitor has an equivalent.</w:t>
      </w:r>
    </w:p>
    <w:p>
      <w:pPr>
        <w:spacing w:before="400"/>
      </w:pPr>
    </w:p>
    <w:p>
      <w:pPr>
        <w:spacing w:after="200"/>
      </w:pPr>
      <w:r>
        <w:rPr>
          <w:rFonts w:ascii="Arial" w:cs="Arial" w:eastAsia="Arial" w:hAnsi="Arial"/>
          <w:color w:val="CCCCCC"/>
          <w:sz w:val="18"/>
          <w:szCs w:val="18"/>
        </w:rPr>
        <w:t xml:space="preserve">────────────────────────────────────────────────────────────</w:t>
      </w:r>
    </w:p>
    <w:p>
      <w:pPr>
        <w:spacing w:after="160" w:line="300"/>
      </w:pPr>
      <w:r>
        <w:rPr>
          <w:rFonts w:ascii="Arial" w:cs="Arial" w:eastAsia="Arial" w:hAnsi="Arial"/>
          <w:b/>
          <w:bCs/>
          <w:sz w:val="22"/>
          <w:szCs w:val="22"/>
        </w:rPr>
        <w:t xml:space="preserve">Bottom line: </w:t>
      </w:r>
      <w:r>
        <w:rPr>
          <w:rFonts w:ascii="Arial" w:cs="Arial" w:eastAsia="Arial" w:hAnsi="Arial"/>
          <w:sz w:val="22"/>
          <w:szCs w:val="22"/>
        </w:rPr>
        <w:t xml:space="preserve">Tribunal Harness has a defensible thesis, a working prototype, a perishable timing advantage, and a founder with domain credibility that money cannot buy. The critical path to fundability runs through three gates: fix the trust signals (compliance badges, disclaimers, data processing model), secure institutional validation (SRA engagement, pilot LOIs, LEF grant), and convert the ERA 2025 window into permanent switching costs before the market catches up. The 90-day action plan above is designed to hit all three gates in sequence. Execute it.</w:t>
      </w:r>
    </w:p>
    <w:p>
      <w:pPr>
        <w:spacing w:before="400"/>
      </w:pPr>
    </w:p>
    <w:p>
      <w:r>
        <w:rPr>
          <w:rFonts w:ascii="Arial" w:cs="Arial" w:eastAsia="Arial" w:hAnsi="Arial"/>
          <w:i/>
          <w:iCs/>
          <w:color w:val="999999"/>
          <w:sz w:val="20"/>
          <w:szCs w:val="20"/>
        </w:rPr>
        <w:t xml:space="preserve">End of Audit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Tribunal Harness — Venture Architecture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2026-02-16T09:25:12.765Z</dcterms:created>
  <dcterms:modified xsi:type="dcterms:W3CDTF">2026-02-16T09:25:12.765Z</dcterms:modified>
</cp:coreProperties>
</file>

<file path=docProps/custom.xml><?xml version="1.0" encoding="utf-8"?>
<Properties xmlns="http://schemas.openxmlformats.org/officeDocument/2006/custom-properties" xmlns:vt="http://schemas.openxmlformats.org/officeDocument/2006/docPropsVTypes"/>
</file>