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NORTHSTAR TECHNOLOGIES PRIVATE LIMITED</w:t>
      </w:r>
    </w:p>
    <w:p>
      <w:pPr>
        <w:jc w:val="center"/>
      </w:pPr>
      <w:r>
        <w:rPr>
          <w:b/>
          <w:sz w:val="48"/>
        </w:rPr>
        <w:t>EMPLOYEE POLICY &amp; HANDBOOK</w:t>
      </w:r>
    </w:p>
    <w:p>
      <w:pPr>
        <w:jc w:val="center"/>
      </w:pPr>
      <w:r>
        <w:rPr>
          <w:i/>
        </w:rPr>
        <w:t>Controlled Demonstration Document</w:t>
        <w:br/>
        <w:t>Version 2.0 | Effective: 01 January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Document Control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 ID</w:t>
            </w:r>
          </w:p>
        </w:tc>
        <w:tc>
          <w:tcPr>
            <w:tcW w:type="dxa" w:w="5112"/>
            <w:vAlign w:val="center"/>
          </w:tcPr>
          <w:p>
            <w:r>
              <w:t>NST-HR-POL-2026-001</w:t>
            </w:r>
          </w:p>
        </w:tc>
      </w:tr>
      <w:tr>
        <w:tc>
          <w:tcPr>
            <w:tcW w:type="dxa" w:w="5112"/>
            <w:vAlign w:val="center"/>
          </w:tcPr>
          <w:p>
            <w:r>
              <w:t>Version</w:t>
            </w:r>
          </w:p>
        </w:tc>
        <w:tc>
          <w:tcPr>
            <w:tcW w:type="dxa" w:w="5112"/>
            <w:vAlign w:val="center"/>
          </w:tcPr>
          <w:p>
            <w:r>
              <w:t>2.0</w:t>
            </w:r>
          </w:p>
        </w:tc>
      </w:tr>
      <w:tr>
        <w:tc>
          <w:tcPr>
            <w:tcW w:type="dxa" w:w="5112"/>
            <w:vAlign w:val="center"/>
          </w:tcPr>
          <w:p>
            <w:r>
              <w:t>Effective Date</w:t>
            </w:r>
          </w:p>
        </w:tc>
        <w:tc>
          <w:tcPr>
            <w:tcW w:type="dxa" w:w="5112"/>
            <w:vAlign w:val="center"/>
          </w:tcPr>
          <w:p>
            <w:r>
              <w:t>01-Jan-2026</w:t>
            </w:r>
          </w:p>
        </w:tc>
      </w:tr>
      <w:tr>
        <w:tc>
          <w:tcPr>
            <w:tcW w:type="dxa" w:w="5112"/>
            <w:vAlign w:val="center"/>
          </w:tcPr>
          <w:p>
            <w:r>
              <w:t>Review Date</w:t>
            </w:r>
          </w:p>
        </w:tc>
        <w:tc>
          <w:tcPr>
            <w:tcW w:type="dxa" w:w="5112"/>
            <w:vAlign w:val="center"/>
          </w:tcPr>
          <w:p>
            <w:r>
              <w:t>31-Dec-2026</w:t>
            </w:r>
          </w:p>
        </w:tc>
      </w:tr>
      <w:tr>
        <w:tc>
          <w:tcPr>
            <w:tcW w:type="dxa" w:w="5112"/>
            <w:vAlign w:val="center"/>
          </w:tcPr>
          <w:p>
            <w:r>
              <w:t>Owner</w:t>
            </w:r>
          </w:p>
        </w:tc>
        <w:tc>
          <w:tcPr>
            <w:tcW w:type="dxa" w:w="5112"/>
            <w:vAlign w:val="center"/>
          </w:tcPr>
          <w:p>
            <w:r>
              <w:t>People Operations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Approver</w:t>
            </w:r>
          </w:p>
        </w:tc>
        <w:tc>
          <w:tcPr>
            <w:tcW w:type="dxa" w:w="5112"/>
            <w:vAlign w:val="center"/>
          </w:tcPr>
          <w:p>
            <w:r>
              <w:t>Chief People Officer</w:t>
            </w:r>
          </w:p>
        </w:tc>
      </w:tr>
      <w:tr>
        <w:tc>
          <w:tcPr>
            <w:tcW w:type="dxa" w:w="5112"/>
            <w:vAlign w:val="center"/>
          </w:tcPr>
          <w:p>
            <w:r>
              <w:t>Classification</w:t>
            </w:r>
          </w:p>
        </w:tc>
        <w:tc>
          <w:tcPr>
            <w:tcW w:type="dxa" w:w="5112"/>
            <w:vAlign w:val="center"/>
          </w:tcPr>
          <w:p>
            <w:r>
              <w:t>Internal Use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Active</w:t>
            </w:r>
          </w:p>
        </w:tc>
      </w:tr>
    </w:tbl>
    <w:p/>
    <w:p>
      <w:r>
        <w:rPr>
          <w:b/>
        </w:rPr>
        <w:t xml:space="preserve">Purpose: </w:t>
      </w:r>
      <w:r>
        <w:t>This fictional handbook is designed as a comprehensive RAG demonstration dataset. It contains policies, tables, dates, thresholds, exceptions, contacts, and version changes so a document-intelligence system can be tested for retrieval, citations, comparison, extraction, summarization, and grounded answering.</w:t>
      </w:r>
    </w:p>
    <w:p>
      <w:r>
        <w:rPr>
          <w:b/>
        </w:rPr>
        <w:t xml:space="preserve">Important: </w:t>
      </w:r>
      <w:r>
        <w:t>All people, companies, figures, addresses, and policies in this document are fictional and created solely for software testing.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1. Employee Classification &amp; Eligibility</w:t>
      </w:r>
    </w:p>
    <w:p>
      <w:r>
        <w:t>2. Working Hours, Attendance &amp; Flexible Work</w:t>
      </w:r>
    </w:p>
    <w:p>
      <w:r>
        <w:t>3. Leave &amp; Holidays</w:t>
      </w:r>
    </w:p>
    <w:p>
      <w:r>
        <w:t>4. Remote &amp; Hybrid Work</w:t>
      </w:r>
    </w:p>
    <w:p>
      <w:r>
        <w:t>5. Compensation, Payroll &amp; Benefits</w:t>
      </w:r>
    </w:p>
    <w:p>
      <w:r>
        <w:t>6. Business Travel &amp; Expense Reimbursement</w:t>
      </w:r>
    </w:p>
    <w:p>
      <w:r>
        <w:t>7. Code of Conduct &amp; Workplace Behaviour</w:t>
      </w:r>
    </w:p>
    <w:p>
      <w:r>
        <w:t>8. Information Security &amp; Acceptable Use</w:t>
      </w:r>
    </w:p>
    <w:p>
      <w:r>
        <w:t>9. Data Privacy &amp; Records Retention</w:t>
      </w:r>
    </w:p>
    <w:p>
      <w:r>
        <w:t>10. Performance Management &amp; Learning</w:t>
      </w:r>
    </w:p>
    <w:p>
      <w:r>
        <w:t>11. Recruitment, Probation &amp; Confirmation</w:t>
      </w:r>
    </w:p>
    <w:p>
      <w:r>
        <w:t>12. Grievance, Whistleblowing &amp; Disciplinary Process</w:t>
      </w:r>
    </w:p>
    <w:p>
      <w:r>
        <w:t>13. Health, Safety &amp; Emergency Procedures</w:t>
      </w:r>
    </w:p>
    <w:p>
      <w:r>
        <w:t>14. Separation, Notice &amp; Final Settlement</w:t>
      </w:r>
    </w:p>
    <w:p>
      <w:r>
        <w:t>15. Policy Exceptions &amp; Approval Matrix</w:t>
      </w:r>
    </w:p>
    <w:p>
      <w:r>
        <w:t>16. Contacts, Forms &amp; Quick Reference</w:t>
      </w:r>
    </w:p>
    <w:p>
      <w:r>
        <w:t>17. Version History</w:t>
      </w:r>
    </w:p>
    <w:p>
      <w:r>
        <w:t>18. RAG Testing Facts &amp; Expected Answers</w:t>
      </w:r>
    </w:p>
    <w:p>
      <w:r>
        <w:br w:type="page"/>
      </w:r>
    </w:p>
    <w:p>
      <w:pPr>
        <w:pStyle w:val="Heading1"/>
      </w:pPr>
      <w:r>
        <w:t>1. Employee Classification &amp; Eligibility</w:t>
      </w:r>
    </w:p>
    <w:p>
      <w:r>
        <w:t>Northstar Technologies Private Limited classifies workers as full-time, part-time, fixed-term, interns, or contractors. Benefits described in this handbook apply according to the employee's classification and written employment agreement.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Core Eligibility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Full-time</w:t>
            </w:r>
          </w:p>
        </w:tc>
        <w:tc>
          <w:tcPr>
            <w:tcW w:type="dxa" w:w="3408"/>
            <w:vAlign w:val="center"/>
          </w:tcPr>
          <w:p>
            <w:r>
              <w:t>Regular employee working the standard weekly schedule.</w:t>
            </w:r>
          </w:p>
        </w:tc>
        <w:tc>
          <w:tcPr>
            <w:tcW w:type="dxa" w:w="3408"/>
            <w:vAlign w:val="center"/>
          </w:tcPr>
          <w:p>
            <w:r>
              <w:t>Eligible for standard leave, insurance and retirement benefits after applicable waiting periods.</w:t>
            </w:r>
          </w:p>
        </w:tc>
      </w:tr>
      <w:tr>
        <w:tc>
          <w:tcPr>
            <w:tcW w:type="dxa" w:w="3408"/>
            <w:vAlign w:val="center"/>
          </w:tcPr>
          <w:p>
            <w:r>
              <w:t>Part-time</w:t>
            </w:r>
          </w:p>
        </w:tc>
        <w:tc>
          <w:tcPr>
            <w:tcW w:type="dxa" w:w="3408"/>
            <w:vAlign w:val="center"/>
          </w:tcPr>
          <w:p>
            <w:r>
              <w:t>Employee working fewer than 30 hours per week.</w:t>
            </w:r>
          </w:p>
        </w:tc>
        <w:tc>
          <w:tcPr>
            <w:tcW w:type="dxa" w:w="3408"/>
            <w:vAlign w:val="center"/>
          </w:tcPr>
          <w:p>
            <w:r>
              <w:t>Benefits are prorated or limited according to the employment agreement.</w:t>
            </w:r>
          </w:p>
        </w:tc>
      </w:tr>
      <w:tr>
        <w:tc>
          <w:tcPr>
            <w:tcW w:type="dxa" w:w="3408"/>
            <w:vAlign w:val="center"/>
          </w:tcPr>
          <w:p>
            <w:r>
              <w:t>Fixed-term</w:t>
            </w:r>
          </w:p>
        </w:tc>
        <w:tc>
          <w:tcPr>
            <w:tcW w:type="dxa" w:w="3408"/>
            <w:vAlign w:val="center"/>
          </w:tcPr>
          <w:p>
            <w:r>
              <w:t>Employee hired for a defined period.</w:t>
            </w:r>
          </w:p>
        </w:tc>
        <w:tc>
          <w:tcPr>
            <w:tcW w:type="dxa" w:w="3408"/>
            <w:vAlign w:val="center"/>
          </w:tcPr>
          <w:p>
            <w:r>
              <w:t>Eligible for benefits stated in the fixed-term agreement.</w:t>
            </w:r>
          </w:p>
        </w:tc>
      </w:tr>
      <w:tr>
        <w:tc>
          <w:tcPr>
            <w:tcW w:type="dxa" w:w="3408"/>
            <w:vAlign w:val="center"/>
          </w:tcPr>
          <w:p>
            <w:r>
              <w:t>Intern</w:t>
            </w:r>
          </w:p>
        </w:tc>
        <w:tc>
          <w:tcPr>
            <w:tcW w:type="dxa" w:w="3408"/>
            <w:vAlign w:val="center"/>
          </w:tcPr>
          <w:p>
            <w:r>
              <w:t>Student/trainee engaged for structured learning.</w:t>
            </w:r>
          </w:p>
        </w:tc>
        <w:tc>
          <w:tcPr>
            <w:tcW w:type="dxa" w:w="3408"/>
            <w:vAlign w:val="center"/>
          </w:tcPr>
          <w:p>
            <w:r>
              <w:t>Receives stipend and approved benefits stated in internship letter.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Contractor</w:t>
            </w:r>
          </w:p>
        </w:tc>
        <w:tc>
          <w:tcPr>
            <w:tcW w:type="dxa" w:w="3408"/>
            <w:vAlign w:val="center"/>
          </w:tcPr>
          <w:p>
            <w:r>
              <w:t>External service provider.</w:t>
            </w:r>
          </w:p>
        </w:tc>
        <w:tc>
          <w:tcPr>
            <w:tcW w:type="dxa" w:w="3408"/>
            <w:vAlign w:val="center"/>
          </w:tcPr>
          <w:p>
            <w:r>
              <w:t>Not an employee; benefits do not apply unless contract states otherwise.</w:t>
            </w:r>
          </w:p>
        </w:tc>
      </w:tr>
    </w:tbl>
    <w:p>
      <w:pPr>
        <w:pStyle w:val="Heading2"/>
      </w:pPr>
      <w:r>
        <w:t>Employee Master Record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t>Employee ID</w:t>
            </w:r>
          </w:p>
        </w:tc>
        <w:tc>
          <w:tcPr>
            <w:tcW w:type="dxa" w:w="5112"/>
            <w:vAlign w:val="center"/>
          </w:tcPr>
          <w:p>
            <w:r>
              <w:t>NST-EMP-1048</w:t>
            </w:r>
          </w:p>
        </w:tc>
      </w:tr>
      <w:tr>
        <w:tc>
          <w:tcPr>
            <w:tcW w:type="dxa" w:w="5112"/>
            <w:vAlign w:val="center"/>
          </w:tcPr>
          <w:p>
            <w:r>
              <w:t>Employee Name</w:t>
            </w:r>
          </w:p>
        </w:tc>
        <w:tc>
          <w:tcPr>
            <w:tcW w:type="dxa" w:w="5112"/>
            <w:vAlign w:val="center"/>
          </w:tcPr>
          <w:p>
            <w:r>
              <w:t>Aarav Menon</w:t>
            </w:r>
          </w:p>
        </w:tc>
      </w:tr>
      <w:tr>
        <w:tc>
          <w:tcPr>
            <w:tcW w:type="dxa" w:w="5112"/>
            <w:vAlign w:val="center"/>
          </w:tcPr>
          <w:p>
            <w:r>
              <w:t>Department</w:t>
            </w:r>
          </w:p>
        </w:tc>
        <w:tc>
          <w:tcPr>
            <w:tcW w:type="dxa" w:w="5112"/>
            <w:vAlign w:val="center"/>
          </w:tcPr>
          <w:p>
            <w:r>
              <w:t>Product Engineering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Job Title</w:t>
            </w:r>
          </w:p>
        </w:tc>
        <w:tc>
          <w:tcPr>
            <w:tcW w:type="dxa" w:w="5112"/>
            <w:vAlign w:val="center"/>
          </w:tcPr>
          <w:p>
            <w:r>
              <w:t>Software Engineer II</w:t>
            </w:r>
          </w:p>
        </w:tc>
      </w:tr>
      <w:tr>
        <w:tc>
          <w:tcPr>
            <w:tcW w:type="dxa" w:w="5112"/>
            <w:vAlign w:val="center"/>
          </w:tcPr>
          <w:p>
            <w:r>
              <w:t>Employment Type</w:t>
            </w:r>
          </w:p>
        </w:tc>
        <w:tc>
          <w:tcPr>
            <w:tcW w:type="dxa" w:w="5112"/>
            <w:vAlign w:val="center"/>
          </w:tcPr>
          <w:p>
            <w:r>
              <w:t>Full-time</w:t>
            </w:r>
          </w:p>
        </w:tc>
      </w:tr>
      <w:tr>
        <w:tc>
          <w:tcPr>
            <w:tcW w:type="dxa" w:w="5112"/>
            <w:vAlign w:val="center"/>
          </w:tcPr>
          <w:p>
            <w:r>
              <w:t>Work Location</w:t>
            </w:r>
          </w:p>
        </w:tc>
        <w:tc>
          <w:tcPr>
            <w:tcW w:type="dxa" w:w="5112"/>
            <w:vAlign w:val="center"/>
          </w:tcPr>
          <w:p>
            <w:r>
              <w:t>Bengaluru</w:t>
            </w:r>
          </w:p>
        </w:tc>
      </w:tr>
      <w:tr>
        <w:tc>
          <w:tcPr>
            <w:tcW w:type="dxa" w:w="5112"/>
            <w:vAlign w:val="center"/>
          </w:tcPr>
          <w:p>
            <w:r>
              <w:t>Joining Date</w:t>
            </w:r>
          </w:p>
        </w:tc>
        <w:tc>
          <w:tcPr>
            <w:tcW w:type="dxa" w:w="5112"/>
            <w:vAlign w:val="center"/>
          </w:tcPr>
          <w:p>
            <w:r>
              <w:t>14-Apr-2023</w:t>
            </w:r>
          </w:p>
        </w:tc>
      </w:tr>
      <w:tr>
        <w:tc>
          <w:tcPr>
            <w:tcW w:type="dxa" w:w="5112"/>
            <w:vAlign w:val="center"/>
          </w:tcPr>
          <w:p>
            <w:r>
              <w:t>Manager</w:t>
            </w:r>
          </w:p>
        </w:tc>
        <w:tc>
          <w:tcPr>
            <w:tcW w:type="dxa" w:w="5112"/>
            <w:vAlign w:val="center"/>
          </w:tcPr>
          <w:p>
            <w:r>
              <w:t>Priya Nair</w:t>
            </w:r>
          </w:p>
        </w:tc>
      </w:tr>
      <w:tr>
        <w:tc>
          <w:tcPr>
            <w:tcW w:type="dxa" w:w="5112"/>
            <w:vAlign w:val="center"/>
          </w:tcPr>
          <w:p>
            <w:r>
              <w:t>Grade</w:t>
            </w:r>
          </w:p>
        </w:tc>
        <w:tc>
          <w:tcPr>
            <w:tcW w:type="dxa" w:w="5112"/>
            <w:vAlign w:val="center"/>
          </w:tcPr>
          <w:p>
            <w:r>
              <w:t>G6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Active</w:t>
            </w:r>
          </w:p>
        </w:tc>
      </w:tr>
    </w:tbl>
    <w:p>
      <w:r>
        <w:br w:type="page"/>
      </w:r>
    </w:p>
    <w:p>
      <w:pPr>
        <w:pStyle w:val="Heading1"/>
      </w:pPr>
      <w:r>
        <w:t>2. Working Hours, Attendance &amp; Flexible Work</w:t>
      </w:r>
    </w:p>
    <w:p>
      <w:r>
        <w:t>The standard working week is Monday through Friday. Core collaboration hours are 10:00 AM to 4:00 PM local time. Employees are expected to maintain accurate attendance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Rule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Policy 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Standard weekly hours</w:t>
            </w:r>
          </w:p>
        </w:tc>
        <w:tc>
          <w:tcPr>
            <w:tcW w:type="dxa" w:w="5112"/>
            <w:vAlign w:val="center"/>
          </w:tcPr>
          <w:p>
            <w:r>
              <w:t>40 hours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Standard workdays</w:t>
            </w:r>
          </w:p>
        </w:tc>
        <w:tc>
          <w:tcPr>
            <w:tcW w:type="dxa" w:w="5112"/>
            <w:vAlign w:val="center"/>
          </w:tcPr>
          <w:p>
            <w:r>
              <w:t>Monday-Friday</w:t>
            </w:r>
          </w:p>
        </w:tc>
      </w:tr>
      <w:tr>
        <w:tc>
          <w:tcPr>
            <w:tcW w:type="dxa" w:w="5112"/>
            <w:vAlign w:val="center"/>
          </w:tcPr>
          <w:p>
            <w:r>
              <w:t>Core hours</w:t>
            </w:r>
          </w:p>
        </w:tc>
        <w:tc>
          <w:tcPr>
            <w:tcW w:type="dxa" w:w="5112"/>
            <w:vAlign w:val="center"/>
          </w:tcPr>
          <w:p>
            <w:r>
              <w:t>10:00 AM-4:00 PM</w:t>
            </w:r>
          </w:p>
        </w:tc>
      </w:tr>
      <w:tr>
        <w:tc>
          <w:tcPr>
            <w:tcW w:type="dxa" w:w="5112"/>
            <w:vAlign w:val="center"/>
          </w:tcPr>
          <w:p>
            <w:r>
              <w:t>Lunch break</w:t>
            </w:r>
          </w:p>
        </w:tc>
        <w:tc>
          <w:tcPr>
            <w:tcW w:type="dxa" w:w="5112"/>
            <w:vAlign w:val="center"/>
          </w:tcPr>
          <w:p>
            <w:r>
              <w:t>60 minutes</w:t>
            </w:r>
          </w:p>
        </w:tc>
      </w:tr>
      <w:tr>
        <w:tc>
          <w:tcPr>
            <w:tcW w:type="dxa" w:w="5112"/>
            <w:vAlign w:val="center"/>
          </w:tcPr>
          <w:p>
            <w:r>
              <w:t>Late arrival threshold</w:t>
            </w:r>
          </w:p>
        </w:tc>
        <w:tc>
          <w:tcPr>
            <w:tcW w:type="dxa" w:w="5112"/>
            <w:vAlign w:val="center"/>
          </w:tcPr>
          <w:p>
            <w:r>
              <w:t>More than 15 minutes</w:t>
            </w:r>
          </w:p>
        </w:tc>
      </w:tr>
      <w:tr>
        <w:tc>
          <w:tcPr>
            <w:tcW w:type="dxa" w:w="5112"/>
            <w:vAlign w:val="center"/>
          </w:tcPr>
          <w:p>
            <w:r>
              <w:t>Attendance correction window</w:t>
            </w:r>
          </w:p>
        </w:tc>
        <w:tc>
          <w:tcPr>
            <w:tcW w:type="dxa" w:w="5112"/>
            <w:vAlign w:val="center"/>
          </w:tcPr>
          <w:p>
            <w:r>
              <w:t>Within 3 business days</w:t>
            </w:r>
          </w:p>
        </w:tc>
      </w:tr>
      <w:tr>
        <w:tc>
          <w:tcPr>
            <w:tcW w:type="dxa" w:w="5112"/>
            <w:vAlign w:val="center"/>
          </w:tcPr>
          <w:p>
            <w:r>
              <w:t>Overtime pre-approval</w:t>
            </w:r>
          </w:p>
        </w:tc>
        <w:tc>
          <w:tcPr>
            <w:tcW w:type="dxa" w:w="5112"/>
            <w:vAlign w:val="center"/>
          </w:tcPr>
          <w:p>
            <w:r>
              <w:t>Required from reporting manager</w:t>
            </w:r>
          </w:p>
        </w:tc>
      </w:tr>
      <w:tr>
        <w:tc>
          <w:tcPr>
            <w:tcW w:type="dxa" w:w="5112"/>
            <w:vAlign w:val="center"/>
          </w:tcPr>
          <w:p>
            <w:r>
              <w:t>Maximum standard workday</w:t>
            </w:r>
          </w:p>
        </w:tc>
        <w:tc>
          <w:tcPr>
            <w:tcW w:type="dxa" w:w="5112"/>
            <w:vAlign w:val="center"/>
          </w:tcPr>
          <w:p>
            <w:r>
              <w:t>10 hours unless approved</w:t>
            </w:r>
          </w:p>
        </w:tc>
      </w:tr>
    </w:tbl>
    <w:p>
      <w:pPr>
        <w:pStyle w:val="Heading2"/>
      </w:pPr>
      <w:r>
        <w:t>Attendance Rules</w:t>
      </w:r>
    </w:p>
    <w:p>
      <w:pPr>
        <w:pStyle w:val="ListBullet"/>
      </w:pPr>
      <w:r>
        <w:t>Employees must record attendance through the approved HR system.</w:t>
      </w:r>
    </w:p>
    <w:p>
      <w:pPr>
        <w:pStyle w:val="ListBullet"/>
      </w:pPr>
      <w:r>
        <w:t>Missing attendance must be corrected within 3 business days.</w:t>
      </w:r>
    </w:p>
    <w:p>
      <w:pPr>
        <w:pStyle w:val="ListBullet"/>
      </w:pPr>
      <w:r>
        <w:t>Repeated unexplained attendance exceptions may trigger manager review.</w:t>
      </w:r>
    </w:p>
    <w:p>
      <w:pPr>
        <w:pStyle w:val="ListBullet"/>
      </w:pPr>
      <w:r>
        <w:t>Overtime without prior approval is not automatically payable.</w:t>
      </w:r>
    </w:p>
    <w:p>
      <w:pPr>
        <w:pStyle w:val="Heading2"/>
      </w:pPr>
      <w:r>
        <w:t>Flexible Schedule</w:t>
      </w:r>
    </w:p>
    <w:p>
      <w:r>
        <w:t>Employees may request a flexible schedule between 8:00 AM and 7:00 PM, provided core hours are covered and the manager approves the arrangement.</w:t>
      </w:r>
    </w:p>
    <w:p>
      <w:r>
        <w:br w:type="page"/>
      </w:r>
    </w:p>
    <w:p>
      <w:pPr>
        <w:pStyle w:val="Heading1"/>
      </w:pPr>
      <w:r>
        <w:t>3. Leave &amp; Holidays</w:t>
      </w:r>
    </w:p>
    <w:p>
      <w:r>
        <w:t>Leave balances are maintained in the HR system. Leave must normally be requested before absence, except in emergencies.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Leave Type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Annual Entitlement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Carry Forward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Approval</w:t>
            </w:r>
          </w:p>
        </w:tc>
      </w:tr>
      <w:tr>
        <w:tc>
          <w:tcPr>
            <w:tcW w:type="dxa" w:w="2556"/>
            <w:vAlign w:val="center"/>
          </w:tcPr>
          <w:p>
            <w:r>
              <w:t>Annual/Earned Leave</w:t>
            </w:r>
          </w:p>
        </w:tc>
        <w:tc>
          <w:tcPr>
            <w:tcW w:type="dxa" w:w="2556"/>
            <w:vAlign w:val="center"/>
          </w:tcPr>
          <w:p>
            <w:r>
              <w:t>24 working days</w:t>
            </w:r>
          </w:p>
        </w:tc>
        <w:tc>
          <w:tcPr>
            <w:tcW w:type="dxa" w:w="2556"/>
            <w:vAlign w:val="center"/>
          </w:tcPr>
          <w:p>
            <w:r>
              <w:t>Up to 12 days</w:t>
            </w:r>
          </w:p>
        </w:tc>
        <w:tc>
          <w:tcPr>
            <w:tcW w:type="dxa" w:w="2556"/>
            <w:vAlign w:val="center"/>
          </w:tcPr>
          <w:p>
            <w:r>
              <w:t>Manager</w:t>
            </w:r>
          </w:p>
        </w:tc>
      </w:tr>
      <w:tr>
        <w:tc>
          <w:tcPr>
            <w:tcW w:type="dxa" w:w="2556"/>
            <w:vAlign w:val="center"/>
          </w:tcPr>
          <w:p>
            <w:r>
              <w:t>Sick Leave</w:t>
            </w:r>
          </w:p>
        </w:tc>
        <w:tc>
          <w:tcPr>
            <w:tcW w:type="dxa" w:w="2556"/>
            <w:vAlign w:val="center"/>
          </w:tcPr>
          <w:p>
            <w:r>
              <w:t>12 working days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  <w:tc>
          <w:tcPr>
            <w:tcW w:type="dxa" w:w="2556"/>
            <w:vAlign w:val="center"/>
          </w:tcPr>
          <w:p>
            <w:r>
              <w:t>Manager/HR for extended absence</w:t>
            </w:r>
          </w:p>
        </w:tc>
      </w:tr>
      <w:tr>
        <w:tc>
          <w:tcPr>
            <w:tcW w:type="dxa" w:w="2556"/>
            <w:vAlign w:val="center"/>
          </w:tcPr>
          <w:p>
            <w:r>
              <w:t>Casual Leave</w:t>
            </w:r>
          </w:p>
        </w:tc>
        <w:tc>
          <w:tcPr>
            <w:tcW w:type="dxa" w:w="2556"/>
            <w:vAlign w:val="center"/>
          </w:tcPr>
          <w:p>
            <w:r>
              <w:t>6 working days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  <w:tc>
          <w:tcPr>
            <w:tcW w:type="dxa" w:w="2556"/>
            <w:vAlign w:val="center"/>
          </w:tcPr>
          <w:p>
            <w:r>
              <w:t>Manager</w:t>
            </w:r>
          </w:p>
        </w:tc>
      </w:tr>
      <w:tr>
        <w:tc>
          <w:tcPr>
            <w:tcW w:type="dxa" w:w="2556"/>
            <w:vAlign w:val="center"/>
          </w:tcPr>
          <w:p>
            <w:r>
              <w:t>Parental Leave</w:t>
            </w:r>
          </w:p>
        </w:tc>
        <w:tc>
          <w:tcPr>
            <w:tcW w:type="dxa" w:w="2556"/>
            <w:vAlign w:val="center"/>
          </w:tcPr>
          <w:p>
            <w:r>
              <w:t>26 weeks</w:t>
            </w:r>
          </w:p>
        </w:tc>
        <w:tc>
          <w:tcPr>
            <w:tcW w:type="dxa" w:w="2556"/>
            <w:vAlign w:val="center"/>
          </w:tcPr>
          <w:p>
            <w:r>
              <w:t>Not applicable</w:t>
            </w:r>
          </w:p>
        </w:tc>
        <w:tc>
          <w:tcPr>
            <w:tcW w:type="dxa" w:w="2556"/>
            <w:vAlign w:val="center"/>
          </w:tcPr>
          <w:p>
            <w:r>
              <w:t>HR</w:t>
            </w:r>
          </w:p>
        </w:tc>
      </w:tr>
      <w:tr>
        <w:tc>
          <w:tcPr>
            <w:tcW w:type="dxa" w:w="2556"/>
            <w:vAlign w:val="center"/>
          </w:tcPr>
          <w:p>
            <w:r>
              <w:t>Bereavement Leave</w:t>
            </w:r>
          </w:p>
        </w:tc>
        <w:tc>
          <w:tcPr>
            <w:tcW w:type="dxa" w:w="2556"/>
            <w:vAlign w:val="center"/>
          </w:tcPr>
          <w:p>
            <w:r>
              <w:t>5 working days</w:t>
            </w:r>
          </w:p>
        </w:tc>
        <w:tc>
          <w:tcPr>
            <w:tcW w:type="dxa" w:w="2556"/>
            <w:vAlign w:val="center"/>
          </w:tcPr>
          <w:p>
            <w:r>
              <w:t>Not applicable</w:t>
            </w:r>
          </w:p>
        </w:tc>
        <w:tc>
          <w:tcPr>
            <w:tcW w:type="dxa" w:w="2556"/>
            <w:vAlign w:val="center"/>
          </w:tcPr>
          <w:p>
            <w:r>
              <w:t>Manager</w:t>
            </w:r>
          </w:p>
        </w:tc>
      </w:tr>
      <w:tr>
        <w:tc>
          <w:tcPr>
            <w:tcW w:type="dxa" w:w="2556"/>
            <w:vAlign w:val="center"/>
          </w:tcPr>
          <w:p>
            <w:r>
              <w:t>Unpaid Leave</w:t>
            </w:r>
          </w:p>
        </w:tc>
        <w:tc>
          <w:tcPr>
            <w:tcW w:type="dxa" w:w="2556"/>
            <w:vAlign w:val="center"/>
          </w:tcPr>
          <w:p>
            <w:r>
              <w:t>Case-specific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  <w:tc>
          <w:tcPr>
            <w:tcW w:type="dxa" w:w="2556"/>
            <w:vAlign w:val="center"/>
          </w:tcPr>
          <w:p>
            <w:r>
              <w:t>HR + Manager</w:t>
            </w:r>
          </w:p>
        </w:tc>
      </w:tr>
    </w:tbl>
    <w:p>
      <w:pPr>
        <w:pStyle w:val="Heading2"/>
      </w:pPr>
      <w:r>
        <w:t>Annual Leave Rules</w:t>
      </w:r>
    </w:p>
    <w:p>
      <w:pPr>
        <w:pStyle w:val="ListBullet"/>
      </w:pPr>
      <w:r>
        <w:t>Annual leave should normally be requested at least 5 calendar days in advance.</w:t>
      </w:r>
    </w:p>
    <w:p>
      <w:pPr>
        <w:pStyle w:val="ListBullet"/>
      </w:pPr>
      <w:r>
        <w:t>Employees may carry forward a maximum of 12 unused annual-leave days into the next calendar year.</w:t>
      </w:r>
    </w:p>
    <w:p>
      <w:pPr>
        <w:pStyle w:val="ListBullet"/>
      </w:pPr>
      <w:r>
        <w:t>Any carried-forward balance must be used by 31 March unless HR approves an exception.</w:t>
      </w:r>
    </w:p>
    <w:p>
      <w:pPr>
        <w:pStyle w:val="ListBullet"/>
      </w:pPr>
      <w:r>
        <w:t>Leave taken without approval may be treated as unauthorized absence.</w:t>
      </w:r>
    </w:p>
    <w:p>
      <w:pPr>
        <w:pStyle w:val="Heading2"/>
      </w:pPr>
      <w:r>
        <w:t>Holiday Calendar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Day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Holiday</w:t>
            </w:r>
          </w:p>
        </w:tc>
      </w:tr>
      <w:tr>
        <w:tc>
          <w:tcPr>
            <w:tcW w:type="dxa" w:w="3408"/>
            <w:vAlign w:val="center"/>
          </w:tcPr>
          <w:p>
            <w:r>
              <w:t>26-Jan-2026</w:t>
            </w:r>
          </w:p>
        </w:tc>
        <w:tc>
          <w:tcPr>
            <w:tcW w:type="dxa" w:w="3408"/>
            <w:vAlign w:val="center"/>
          </w:tcPr>
          <w:p>
            <w:r>
              <w:t>Monday</w:t>
            </w:r>
          </w:p>
        </w:tc>
        <w:tc>
          <w:tcPr>
            <w:tcW w:type="dxa" w:w="3408"/>
            <w:vAlign w:val="center"/>
          </w:tcPr>
          <w:p>
            <w:r>
              <w:t>Republic Day</w:t>
            </w:r>
          </w:p>
        </w:tc>
      </w:tr>
      <w:tr>
        <w:tc>
          <w:tcPr>
            <w:tcW w:type="dxa" w:w="3408"/>
            <w:vAlign w:val="center"/>
          </w:tcPr>
          <w:p>
            <w:r>
              <w:t>03-Apr-2026</w:t>
            </w:r>
          </w:p>
        </w:tc>
        <w:tc>
          <w:tcPr>
            <w:tcW w:type="dxa" w:w="3408"/>
            <w:vAlign w:val="center"/>
          </w:tcPr>
          <w:p>
            <w:r>
              <w:t>Friday</w:t>
            </w:r>
          </w:p>
        </w:tc>
        <w:tc>
          <w:tcPr>
            <w:tcW w:type="dxa" w:w="3408"/>
            <w:vAlign w:val="center"/>
          </w:tcPr>
          <w:p>
            <w:r>
              <w:t>Good Friday</w:t>
            </w:r>
          </w:p>
        </w:tc>
      </w:tr>
      <w:tr>
        <w:tc>
          <w:tcPr>
            <w:tcW w:type="dxa" w:w="3408"/>
            <w:vAlign w:val="center"/>
          </w:tcPr>
          <w:p>
            <w:r>
              <w:t>01-May-2026</w:t>
            </w:r>
          </w:p>
        </w:tc>
        <w:tc>
          <w:tcPr>
            <w:tcW w:type="dxa" w:w="3408"/>
            <w:vAlign w:val="center"/>
          </w:tcPr>
          <w:p>
            <w:r>
              <w:t>Friday</w:t>
            </w:r>
          </w:p>
        </w:tc>
        <w:tc>
          <w:tcPr>
            <w:tcW w:type="dxa" w:w="3408"/>
            <w:vAlign w:val="center"/>
          </w:tcPr>
          <w:p>
            <w:r>
              <w:t>Labour Day</w:t>
            </w:r>
          </w:p>
        </w:tc>
      </w:tr>
      <w:tr>
        <w:tc>
          <w:tcPr>
            <w:tcW w:type="dxa" w:w="3408"/>
            <w:vAlign w:val="center"/>
          </w:tcPr>
          <w:p>
            <w:r>
              <w:t>15-Aug-2026</w:t>
            </w:r>
          </w:p>
        </w:tc>
        <w:tc>
          <w:tcPr>
            <w:tcW w:type="dxa" w:w="3408"/>
            <w:vAlign w:val="center"/>
          </w:tcPr>
          <w:p>
            <w:r>
              <w:t>Saturday</w:t>
            </w:r>
          </w:p>
        </w:tc>
        <w:tc>
          <w:tcPr>
            <w:tcW w:type="dxa" w:w="3408"/>
            <w:vAlign w:val="center"/>
          </w:tcPr>
          <w:p>
            <w:r>
              <w:t>Independence Day</w:t>
            </w:r>
          </w:p>
        </w:tc>
      </w:tr>
      <w:tr>
        <w:tc>
          <w:tcPr>
            <w:tcW w:type="dxa" w:w="3408"/>
            <w:vAlign w:val="center"/>
          </w:tcPr>
          <w:p>
            <w:r>
              <w:t>02-Oct-2026</w:t>
            </w:r>
          </w:p>
        </w:tc>
        <w:tc>
          <w:tcPr>
            <w:tcW w:type="dxa" w:w="3408"/>
            <w:vAlign w:val="center"/>
          </w:tcPr>
          <w:p>
            <w:r>
              <w:t>Friday</w:t>
            </w:r>
          </w:p>
        </w:tc>
        <w:tc>
          <w:tcPr>
            <w:tcW w:type="dxa" w:w="3408"/>
            <w:vAlign w:val="center"/>
          </w:tcPr>
          <w:p>
            <w:r>
              <w:t>Gandhi Jayanti</w:t>
            </w:r>
          </w:p>
        </w:tc>
      </w:tr>
      <w:tr>
        <w:tc>
          <w:tcPr>
            <w:tcW w:type="dxa" w:w="3408"/>
            <w:vAlign w:val="center"/>
          </w:tcPr>
          <w:p>
            <w:r>
              <w:t>25-Dec-2026</w:t>
            </w:r>
          </w:p>
        </w:tc>
        <w:tc>
          <w:tcPr>
            <w:tcW w:type="dxa" w:w="3408"/>
            <w:vAlign w:val="center"/>
          </w:tcPr>
          <w:p>
            <w:r>
              <w:t>Friday</w:t>
            </w:r>
          </w:p>
        </w:tc>
        <w:tc>
          <w:tcPr>
            <w:tcW w:type="dxa" w:w="3408"/>
            <w:vAlign w:val="center"/>
          </w:tcPr>
          <w:p>
            <w:r>
              <w:t>Christmas Day</w:t>
            </w:r>
          </w:p>
        </w:tc>
      </w:tr>
    </w:tbl>
    <w:p>
      <w:r>
        <w:br w:type="page"/>
      </w:r>
    </w:p>
    <w:p>
      <w:pPr>
        <w:pStyle w:val="Heading1"/>
      </w:pPr>
      <w:r>
        <w:t>4. Remote &amp; Hybrid Work</w:t>
      </w:r>
    </w:p>
    <w:p>
      <w:r>
        <w:t>Eligible employees may work remotely under an approved hybrid arrangement. Remote work is a work-location arrangement, not a reduction in performance or security obligations.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Rule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t>Default hybrid allowance</w:t>
            </w:r>
          </w:p>
        </w:tc>
        <w:tc>
          <w:tcPr>
            <w:tcW w:type="dxa" w:w="5112"/>
            <w:vAlign w:val="center"/>
          </w:tcPr>
          <w:p>
            <w:r>
              <w:t>Up to 3 remote days/week</w:t>
            </w:r>
          </w:p>
        </w:tc>
      </w:tr>
      <w:tr>
        <w:tc>
          <w:tcPr>
            <w:tcW w:type="dxa" w:w="5112"/>
            <w:vAlign w:val="center"/>
          </w:tcPr>
          <w:p>
            <w:r>
              <w:t>Minimum office collaboration</w:t>
            </w:r>
          </w:p>
        </w:tc>
        <w:tc>
          <w:tcPr>
            <w:tcW w:type="dxa" w:w="5112"/>
            <w:vAlign w:val="center"/>
          </w:tcPr>
          <w:p>
            <w:r>
              <w:t>2 days/week unless exception approved</w:t>
            </w:r>
          </w:p>
        </w:tc>
      </w:tr>
      <w:tr>
        <w:tc>
          <w:tcPr>
            <w:tcW w:type="dxa" w:w="5112"/>
            <w:vAlign w:val="center"/>
          </w:tcPr>
          <w:p>
            <w:r>
              <w:t>Remote work approval</w:t>
            </w:r>
          </w:p>
        </w:tc>
        <w:tc>
          <w:tcPr>
            <w:tcW w:type="dxa" w:w="5112"/>
            <w:vAlign w:val="center"/>
          </w:tcPr>
          <w:p>
            <w:r>
              <w:t>Reporting manager</w:t>
            </w:r>
          </w:p>
        </w:tc>
      </w:tr>
      <w:tr>
        <w:tc>
          <w:tcPr>
            <w:tcW w:type="dxa" w:w="5112"/>
            <w:vAlign w:val="center"/>
          </w:tcPr>
          <w:p>
            <w:r>
              <w:t>Long-term remote exception</w:t>
            </w:r>
          </w:p>
        </w:tc>
        <w:tc>
          <w:tcPr>
            <w:tcW w:type="dxa" w:w="5112"/>
            <w:vAlign w:val="center"/>
          </w:tcPr>
          <w:p>
            <w:r>
              <w:t>People Operations + Department Head</w:t>
            </w:r>
          </w:p>
        </w:tc>
      </w:tr>
      <w:tr>
        <w:tc>
          <w:tcPr>
            <w:tcW w:type="dxa" w:w="5112"/>
            <w:vAlign w:val="center"/>
          </w:tcPr>
          <w:p>
            <w:r>
              <w:t>Home-office equipment</w:t>
            </w:r>
          </w:p>
        </w:tc>
        <w:tc>
          <w:tcPr>
            <w:tcW w:type="dxa" w:w="5112"/>
            <w:vAlign w:val="center"/>
          </w:tcPr>
          <w:p>
            <w:r>
              <w:t>Company-issued where approved</w:t>
            </w:r>
          </w:p>
        </w:tc>
      </w:tr>
      <w:tr>
        <w:tc>
          <w:tcPr>
            <w:tcW w:type="dxa" w:w="5112"/>
            <w:vAlign w:val="center"/>
          </w:tcPr>
          <w:p>
            <w:r>
              <w:t>Public Wi-Fi for confidential work</w:t>
            </w:r>
          </w:p>
        </w:tc>
        <w:tc>
          <w:tcPr>
            <w:tcW w:type="dxa" w:w="5112"/>
            <w:vAlign w:val="center"/>
          </w:tcPr>
          <w:p>
            <w:r>
              <w:t>Prohibited unless company VPN is active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Remote work availability</w:t>
            </w:r>
          </w:p>
        </w:tc>
        <w:tc>
          <w:tcPr>
            <w:tcW w:type="dxa" w:w="5112"/>
            <w:vAlign w:val="center"/>
          </w:tcPr>
          <w:p>
            <w:r>
              <w:t>Core hours required</w:t>
            </w:r>
          </w:p>
        </w:tc>
      </w:tr>
    </w:tbl>
    <w:p>
      <w:pPr>
        <w:pStyle w:val="Heading2"/>
      </w:pPr>
      <w:r>
        <w:t>Remote Work Security</w:t>
      </w:r>
    </w:p>
    <w:p>
      <w:pPr>
        <w:pStyle w:val="ListBullet"/>
      </w:pPr>
      <w:r>
        <w:t>Use company-managed devices for company information.</w:t>
      </w:r>
    </w:p>
    <w:p>
      <w:pPr>
        <w:pStyle w:val="ListBullet"/>
      </w:pPr>
      <w:r>
        <w:t>Lock the screen whenever leaving the workstation.</w:t>
      </w:r>
    </w:p>
    <w:p>
      <w:pPr>
        <w:pStyle w:val="ListBullet"/>
      </w:pPr>
      <w:r>
        <w:t>Do not print confidential material at unsecured locations.</w:t>
      </w:r>
    </w:p>
    <w:p>
      <w:pPr>
        <w:pStyle w:val="ListBullet"/>
      </w:pPr>
      <w:r>
        <w:t>Do not use personal cloud storage for company files.</w:t>
      </w:r>
    </w:p>
    <w:p>
      <w:pPr>
        <w:pStyle w:val="ListBullet"/>
      </w:pPr>
      <w:r>
        <w:t>Report lost devices immediately to IT Security.</w:t>
      </w:r>
    </w:p>
    <w:p>
      <w:r>
        <w:br w:type="page"/>
      </w:r>
    </w:p>
    <w:p>
      <w:pPr>
        <w:pStyle w:val="Heading1"/>
      </w:pPr>
      <w:r>
        <w:t>5. Compensation, Payroll &amp; Benefits</w:t>
      </w:r>
    </w:p>
    <w:p>
      <w:r>
        <w:t>Payroll is processed monthly. Salary and benefit details are confidential and are provided in individual employment documentation.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Policy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Payroll date</w:t>
            </w:r>
          </w:p>
        </w:tc>
        <w:tc>
          <w:tcPr>
            <w:tcW w:type="dxa" w:w="5112"/>
            <w:vAlign w:val="center"/>
          </w:tcPr>
          <w:p>
            <w:r>
              <w:t>Last working day of each month</w:t>
            </w:r>
          </w:p>
        </w:tc>
      </w:tr>
      <w:tr>
        <w:tc>
          <w:tcPr>
            <w:tcW w:type="dxa" w:w="5112"/>
            <w:vAlign w:val="center"/>
          </w:tcPr>
          <w:p>
            <w:r>
              <w:t>Salary revision cycle</w:t>
            </w:r>
          </w:p>
        </w:tc>
        <w:tc>
          <w:tcPr>
            <w:tcW w:type="dxa" w:w="5112"/>
            <w:vAlign w:val="center"/>
          </w:tcPr>
          <w:p>
            <w:r>
              <w:t>Annual, subject to performance and business conditions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Expense reimbursement SLA</w:t>
            </w:r>
          </w:p>
        </w:tc>
        <w:tc>
          <w:tcPr>
            <w:tcW w:type="dxa" w:w="5112"/>
            <w:vAlign w:val="center"/>
          </w:tcPr>
          <w:p>
            <w:r>
              <w:t>7 business days after complete approval</w:t>
            </w:r>
          </w:p>
        </w:tc>
      </w:tr>
      <w:tr>
        <w:tc>
          <w:tcPr>
            <w:tcW w:type="dxa" w:w="5112"/>
            <w:vAlign w:val="center"/>
          </w:tcPr>
          <w:p>
            <w:r>
              <w:t>Health insurance</w:t>
            </w:r>
          </w:p>
        </w:tc>
        <w:tc>
          <w:tcPr>
            <w:tcW w:type="dxa" w:w="5112"/>
            <w:vAlign w:val="center"/>
          </w:tcPr>
          <w:p>
            <w:r>
              <w:t>Eligible employees and dependents per plan</w:t>
            </w:r>
          </w:p>
        </w:tc>
      </w:tr>
      <w:tr>
        <w:tc>
          <w:tcPr>
            <w:tcW w:type="dxa" w:w="5112"/>
            <w:vAlign w:val="center"/>
          </w:tcPr>
          <w:p>
            <w:r>
              <w:t>Retirement contribution</w:t>
            </w:r>
          </w:p>
        </w:tc>
        <w:tc>
          <w:tcPr>
            <w:tcW w:type="dxa" w:w="5112"/>
            <w:vAlign w:val="center"/>
          </w:tcPr>
          <w:p>
            <w:r>
              <w:t>According to applicable plan and law</w:t>
            </w:r>
          </w:p>
        </w:tc>
      </w:tr>
      <w:tr>
        <w:tc>
          <w:tcPr>
            <w:tcW w:type="dxa" w:w="5112"/>
            <w:vAlign w:val="center"/>
          </w:tcPr>
          <w:p>
            <w:r>
              <w:t>Bonus</w:t>
            </w:r>
          </w:p>
        </w:tc>
        <w:tc>
          <w:tcPr>
            <w:tcW w:type="dxa" w:w="5112"/>
            <w:vAlign w:val="center"/>
          </w:tcPr>
          <w:p>
            <w:r>
              <w:t>Discretionary/plan-based; not guaranteed unless stated in contract</w:t>
            </w:r>
          </w:p>
        </w:tc>
      </w:tr>
    </w:tbl>
    <w:p>
      <w:pPr>
        <w:pStyle w:val="Heading2"/>
      </w:pPr>
      <w:r>
        <w:t>Payroll Cut-off</w:t>
      </w:r>
    </w:p>
    <w:p>
      <w:r>
        <w:t>Payroll changes submitted after the 20th calendar day may be processed in the following payroll cycle.</w:t>
      </w:r>
    </w:p>
    <w:p>
      <w:r>
        <w:br w:type="page"/>
      </w:r>
    </w:p>
    <w:p>
      <w:pPr>
        <w:pStyle w:val="Heading1"/>
      </w:pPr>
      <w:r>
        <w:t>6. Business Travel &amp; Expense Reimbursement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Expense Type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Limit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t>Domestic hotel</w:t>
            </w:r>
          </w:p>
        </w:tc>
        <w:tc>
          <w:tcPr>
            <w:tcW w:type="dxa" w:w="3408"/>
            <w:vAlign w:val="center"/>
          </w:tcPr>
          <w:p>
            <w:r>
              <w:t>₹6,000/night</w:t>
            </w:r>
          </w:p>
        </w:tc>
        <w:tc>
          <w:tcPr>
            <w:tcW w:type="dxa" w:w="3408"/>
            <w:vAlign w:val="center"/>
          </w:tcPr>
          <w:p>
            <w:r>
              <w:t>Manager</w:t>
            </w:r>
          </w:p>
        </w:tc>
      </w:tr>
      <w:tr>
        <w:tc>
          <w:tcPr>
            <w:tcW w:type="dxa" w:w="3408"/>
            <w:vAlign w:val="center"/>
          </w:tcPr>
          <w:p>
            <w:r>
              <w:t>International hotel</w:t>
            </w:r>
          </w:p>
        </w:tc>
        <w:tc>
          <w:tcPr>
            <w:tcW w:type="dxa" w:w="3408"/>
            <w:vAlign w:val="center"/>
          </w:tcPr>
          <w:p>
            <w:r>
              <w:t>₹12,000/night equivalent</w:t>
            </w:r>
          </w:p>
        </w:tc>
        <w:tc>
          <w:tcPr>
            <w:tcW w:type="dxa" w:w="3408"/>
            <w:vAlign w:val="center"/>
          </w:tcPr>
          <w:p>
            <w:r>
              <w:t>Manager + Finance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Domestic meals</w:t>
            </w:r>
          </w:p>
        </w:tc>
        <w:tc>
          <w:tcPr>
            <w:tcW w:type="dxa" w:w="3408"/>
            <w:vAlign w:val="center"/>
          </w:tcPr>
          <w:p>
            <w:r>
              <w:t>₹1,200/day</w:t>
            </w:r>
          </w:p>
        </w:tc>
        <w:tc>
          <w:tcPr>
            <w:tcW w:type="dxa" w:w="3408"/>
            <w:vAlign w:val="center"/>
          </w:tcPr>
          <w:p>
            <w:r>
              <w:t>Manager</w:t>
            </w:r>
          </w:p>
        </w:tc>
      </w:tr>
      <w:tr>
        <w:tc>
          <w:tcPr>
            <w:tcW w:type="dxa" w:w="3408"/>
            <w:vAlign w:val="center"/>
          </w:tcPr>
          <w:p>
            <w:r>
              <w:t>Local transport</w:t>
            </w:r>
          </w:p>
        </w:tc>
        <w:tc>
          <w:tcPr>
            <w:tcW w:type="dxa" w:w="3408"/>
            <w:vAlign w:val="center"/>
          </w:tcPr>
          <w:p>
            <w:r>
              <w:t>Actuals with receipt</w:t>
            </w:r>
          </w:p>
        </w:tc>
        <w:tc>
          <w:tcPr>
            <w:tcW w:type="dxa" w:w="3408"/>
            <w:vAlign w:val="center"/>
          </w:tcPr>
          <w:p>
            <w:r>
              <w:t>Manager</w:t>
            </w:r>
          </w:p>
        </w:tc>
      </w:tr>
      <w:tr>
        <w:tc>
          <w:tcPr>
            <w:tcW w:type="dxa" w:w="3408"/>
            <w:vAlign w:val="center"/>
          </w:tcPr>
          <w:p>
            <w:r>
              <w:t>Air travel</w:t>
            </w:r>
          </w:p>
        </w:tc>
        <w:tc>
          <w:tcPr>
            <w:tcW w:type="dxa" w:w="3408"/>
            <w:vAlign w:val="center"/>
          </w:tcPr>
          <w:p>
            <w:r>
              <w:t>Economy class</w:t>
            </w:r>
          </w:p>
        </w:tc>
        <w:tc>
          <w:tcPr>
            <w:tcW w:type="dxa" w:w="3408"/>
            <w:vAlign w:val="center"/>
          </w:tcPr>
          <w:p>
            <w:r>
              <w:t>Manager</w:t>
            </w:r>
          </w:p>
        </w:tc>
      </w:tr>
      <w:tr>
        <w:tc>
          <w:tcPr>
            <w:tcW w:type="dxa" w:w="3408"/>
            <w:vAlign w:val="center"/>
          </w:tcPr>
          <w:p>
            <w:r>
              <w:t>Rail travel</w:t>
            </w:r>
          </w:p>
        </w:tc>
        <w:tc>
          <w:tcPr>
            <w:tcW w:type="dxa" w:w="3408"/>
            <w:vAlign w:val="center"/>
          </w:tcPr>
          <w:p>
            <w:r>
              <w:t>AC 2-tier or approved equivalent</w:t>
            </w:r>
          </w:p>
        </w:tc>
        <w:tc>
          <w:tcPr>
            <w:tcW w:type="dxa" w:w="3408"/>
            <w:vAlign w:val="center"/>
          </w:tcPr>
          <w:p>
            <w:r>
              <w:t>Manager</w:t>
            </w:r>
          </w:p>
        </w:tc>
      </w:tr>
      <w:tr>
        <w:tc>
          <w:tcPr>
            <w:tcW w:type="dxa" w:w="3408"/>
            <w:vAlign w:val="center"/>
          </w:tcPr>
          <w:p>
            <w:r>
              <w:t>Personal vehicle mileage</w:t>
            </w:r>
          </w:p>
        </w:tc>
        <w:tc>
          <w:tcPr>
            <w:tcW w:type="dxa" w:w="3408"/>
            <w:vAlign w:val="center"/>
          </w:tcPr>
          <w:p>
            <w:r>
              <w:t>₹10/km</w:t>
            </w:r>
          </w:p>
        </w:tc>
        <w:tc>
          <w:tcPr>
            <w:tcW w:type="dxa" w:w="3408"/>
            <w:vAlign w:val="center"/>
          </w:tcPr>
          <w:p>
            <w:r>
              <w:t>Manager</w:t>
            </w:r>
          </w:p>
        </w:tc>
      </w:tr>
    </w:tbl>
    <w:p>
      <w:pPr>
        <w:pStyle w:val="Heading2"/>
      </w:pPr>
      <w:r>
        <w:t>Expense Rules</w:t>
      </w:r>
    </w:p>
    <w:p>
      <w:pPr>
        <w:pStyle w:val="ListBullet"/>
      </w:pPr>
      <w:r>
        <w:t>Original receipts or valid digital receipts are required unless Finance approves an exception.</w:t>
      </w:r>
    </w:p>
    <w:p>
      <w:pPr>
        <w:pStyle w:val="ListBullet"/>
      </w:pPr>
      <w:r>
        <w:t>Expense claims must normally be submitted within 15 calendar days of return.</w:t>
      </w:r>
    </w:p>
    <w:p>
      <w:pPr>
        <w:pStyle w:val="ListBullet"/>
      </w:pPr>
      <w:r>
        <w:t>Alcohol, personal entertainment, traffic fines, and personal upgrades are not reimbursable.</w:t>
      </w:r>
    </w:p>
    <w:p>
      <w:pPr>
        <w:pStyle w:val="ListBullet"/>
      </w:pPr>
      <w:r>
        <w:t>Travel booked above policy limits requires written pre-approval.</w:t>
      </w:r>
    </w:p>
    <w:p>
      <w:r>
        <w:br w:type="page"/>
      </w:r>
    </w:p>
    <w:p>
      <w:pPr>
        <w:pStyle w:val="Heading1"/>
      </w:pPr>
      <w:r>
        <w:t>7. Code of Conduct &amp; Workplace Behaviour</w:t>
      </w:r>
    </w:p>
    <w:p>
      <w:r>
        <w:t>Employees must act professionally, honestly, respectfully, and in the best interests of the organization.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Harassment</w:t>
            </w:r>
          </w:p>
        </w:tc>
        <w:tc>
          <w:tcPr>
            <w:tcW w:type="dxa" w:w="5112"/>
            <w:vAlign w:val="center"/>
          </w:tcPr>
          <w:p>
            <w:r>
              <w:t>Zero tolerance for harassment and retaliation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Discrimination</w:t>
            </w:r>
          </w:p>
        </w:tc>
        <w:tc>
          <w:tcPr>
            <w:tcW w:type="dxa" w:w="5112"/>
            <w:vAlign w:val="center"/>
          </w:tcPr>
          <w:p>
            <w:r>
              <w:t>Employment decisions must not discriminate on protected grounds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Conflict of interest</w:t>
            </w:r>
          </w:p>
        </w:tc>
        <w:tc>
          <w:tcPr>
            <w:tcW w:type="dxa" w:w="5112"/>
            <w:vAlign w:val="center"/>
          </w:tcPr>
          <w:p>
            <w:r>
              <w:t>Must be disclosed to manager/People Operations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Gifts</w:t>
            </w:r>
          </w:p>
        </w:tc>
        <w:tc>
          <w:tcPr>
            <w:tcW w:type="dxa" w:w="5112"/>
            <w:vAlign w:val="center"/>
          </w:tcPr>
          <w:p>
            <w:r>
              <w:t>Gifts that may influence business decisions are prohibited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Confidentiality</w:t>
            </w:r>
          </w:p>
        </w:tc>
        <w:tc>
          <w:tcPr>
            <w:tcW w:type="dxa" w:w="5112"/>
            <w:vAlign w:val="center"/>
          </w:tcPr>
          <w:p>
            <w:r>
              <w:t>Confidential company information must be protected</w:t>
            </w:r>
          </w:p>
        </w:tc>
      </w:tr>
      <w:tr>
        <w:tc>
          <w:tcPr>
            <w:tcW w:type="dxa" w:w="5112"/>
            <w:vAlign w:val="center"/>
          </w:tcPr>
          <w:p>
            <w:r>
              <w:t>Fraud</w:t>
            </w:r>
          </w:p>
        </w:tc>
        <w:tc>
          <w:tcPr>
            <w:tcW w:type="dxa" w:w="5112"/>
            <w:vAlign w:val="center"/>
          </w:tcPr>
          <w:p>
            <w:r>
              <w:t>Fraudulent activity may result in disciplinary action</w:t>
            </w:r>
          </w:p>
        </w:tc>
      </w:tr>
    </w:tbl>
    <w:p>
      <w:pPr>
        <w:pStyle w:val="Heading2"/>
      </w:pPr>
      <w:r>
        <w:t>Reporting</w:t>
      </w:r>
    </w:p>
    <w:p>
      <w:r>
        <w:t>Concerns may be reported to People Operations, the Ethics Officer, or through the confidential reporting channel listed in Section 16.</w:t>
      </w:r>
    </w:p>
    <w:p>
      <w:r>
        <w:br w:type="page"/>
      </w:r>
    </w:p>
    <w:p>
      <w:pPr>
        <w:pStyle w:val="Heading1"/>
      </w:pPr>
      <w:r>
        <w:t>8. Information Security &amp; Acceptable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Password</w:t>
            </w:r>
          </w:p>
        </w:tc>
        <w:tc>
          <w:tcPr>
            <w:tcW w:type="dxa" w:w="5112"/>
            <w:vAlign w:val="center"/>
          </w:tcPr>
          <w:p>
            <w:r>
              <w:t>Minimum 12 characters; never share passwords</w:t>
            </w:r>
          </w:p>
        </w:tc>
      </w:tr>
      <w:tr>
        <w:tc>
          <w:tcPr>
            <w:tcW w:type="dxa" w:w="5112"/>
            <w:vAlign w:val="center"/>
          </w:tcPr>
          <w:p>
            <w:r>
              <w:t>MFA</w:t>
            </w:r>
          </w:p>
        </w:tc>
        <w:tc>
          <w:tcPr>
            <w:tcW w:type="dxa" w:w="5112"/>
            <w:vAlign w:val="center"/>
          </w:tcPr>
          <w:p>
            <w:r>
              <w:t>Required for corporate systems where enabled</w:t>
            </w:r>
          </w:p>
        </w:tc>
      </w:tr>
      <w:tr>
        <w:tc>
          <w:tcPr>
            <w:tcW w:type="dxa" w:w="5112"/>
            <w:vAlign w:val="center"/>
          </w:tcPr>
          <w:p>
            <w:r>
              <w:t>Device lock</w:t>
            </w:r>
          </w:p>
        </w:tc>
        <w:tc>
          <w:tcPr>
            <w:tcW w:type="dxa" w:w="5112"/>
            <w:vAlign w:val="center"/>
          </w:tcPr>
          <w:p>
            <w:r>
              <w:t>Automatic lock within 10 minutes</w:t>
            </w:r>
          </w:p>
        </w:tc>
      </w:tr>
      <w:tr>
        <w:tc>
          <w:tcPr>
            <w:tcW w:type="dxa" w:w="5112"/>
            <w:vAlign w:val="center"/>
          </w:tcPr>
          <w:p>
            <w:r>
              <w:t>Phishing</w:t>
            </w:r>
          </w:p>
        </w:tc>
        <w:tc>
          <w:tcPr>
            <w:tcW w:type="dxa" w:w="5112"/>
            <w:vAlign w:val="center"/>
          </w:tcPr>
          <w:p>
            <w:r>
              <w:t>Report suspected phishing to security@northstar.example</w:t>
            </w:r>
          </w:p>
        </w:tc>
      </w:tr>
      <w:tr>
        <w:tc>
          <w:tcPr>
            <w:tcW w:type="dxa" w:w="5112"/>
            <w:vAlign w:val="center"/>
          </w:tcPr>
          <w:p>
            <w:r>
              <w:t>USB storage</w:t>
            </w:r>
          </w:p>
        </w:tc>
        <w:tc>
          <w:tcPr>
            <w:tcW w:type="dxa" w:w="5112"/>
            <w:vAlign w:val="center"/>
          </w:tcPr>
          <w:p>
            <w:r>
              <w:t>Restricted for confidential data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Personal email</w:t>
            </w:r>
          </w:p>
        </w:tc>
        <w:tc>
          <w:tcPr>
            <w:tcW w:type="dxa" w:w="5112"/>
            <w:vAlign w:val="center"/>
          </w:tcPr>
          <w:p>
            <w:r>
              <w:t>Company confidential files must not be sent to personal email</w:t>
            </w:r>
          </w:p>
        </w:tc>
      </w:tr>
      <w:tr>
        <w:tc>
          <w:tcPr>
            <w:tcW w:type="dxa" w:w="5112"/>
            <w:vAlign w:val="center"/>
          </w:tcPr>
          <w:p>
            <w:r>
              <w:t>Software</w:t>
            </w:r>
          </w:p>
        </w:tc>
        <w:tc>
          <w:tcPr>
            <w:tcW w:type="dxa" w:w="5112"/>
            <w:vAlign w:val="center"/>
          </w:tcPr>
          <w:p>
            <w:r>
              <w:t>Only approved/licensed software may be installed</w:t>
            </w:r>
          </w:p>
        </w:tc>
      </w:tr>
      <w:tr>
        <w:tc>
          <w:tcPr>
            <w:tcW w:type="dxa" w:w="5112"/>
            <w:vAlign w:val="center"/>
          </w:tcPr>
          <w:p>
            <w:r>
              <w:t>Incident reporting</w:t>
            </w:r>
          </w:p>
        </w:tc>
        <w:tc>
          <w:tcPr>
            <w:tcW w:type="dxa" w:w="5112"/>
            <w:vAlign w:val="center"/>
          </w:tcPr>
          <w:p>
            <w:r>
              <w:t>Immediately; target within 1 hour of discovery</w:t>
            </w:r>
          </w:p>
        </w:tc>
      </w:tr>
    </w:tbl>
    <w:p>
      <w:pPr>
        <w:pStyle w:val="Heading2"/>
      </w:pPr>
      <w:r>
        <w:t>Data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Handling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Public</w:t>
            </w:r>
          </w:p>
        </w:tc>
        <w:tc>
          <w:tcPr>
            <w:tcW w:type="dxa" w:w="3408"/>
            <w:vAlign w:val="center"/>
          </w:tcPr>
          <w:p>
            <w:r>
              <w:t>Published marketing content</w:t>
            </w:r>
          </w:p>
        </w:tc>
        <w:tc>
          <w:tcPr>
            <w:tcW w:type="dxa" w:w="3408"/>
            <w:vAlign w:val="center"/>
          </w:tcPr>
          <w:p>
            <w:r>
              <w:t>May be shared publicly</w:t>
            </w:r>
          </w:p>
        </w:tc>
      </w:tr>
      <w:tr>
        <w:tc>
          <w:tcPr>
            <w:tcW w:type="dxa" w:w="3408"/>
            <w:vAlign w:val="center"/>
          </w:tcPr>
          <w:p>
            <w:r>
              <w:t>Internal</w:t>
            </w:r>
          </w:p>
        </w:tc>
        <w:tc>
          <w:tcPr>
            <w:tcW w:type="dxa" w:w="3408"/>
            <w:vAlign w:val="center"/>
          </w:tcPr>
          <w:p>
            <w:r>
              <w:t>Routine internal procedures</w:t>
            </w:r>
          </w:p>
        </w:tc>
        <w:tc>
          <w:tcPr>
            <w:tcW w:type="dxa" w:w="3408"/>
            <w:vAlign w:val="center"/>
          </w:tcPr>
          <w:p>
            <w:r>
              <w:t>Employees only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Confidential</w:t>
            </w:r>
          </w:p>
        </w:tc>
        <w:tc>
          <w:tcPr>
            <w:tcW w:type="dxa" w:w="3408"/>
            <w:vAlign w:val="center"/>
          </w:tcPr>
          <w:p>
            <w:r>
              <w:t>Customer/employee records</w:t>
            </w:r>
          </w:p>
        </w:tc>
        <w:tc>
          <w:tcPr>
            <w:tcW w:type="dxa" w:w="3408"/>
            <w:vAlign w:val="center"/>
          </w:tcPr>
          <w:p>
            <w:r>
              <w:t>Authorized users only</w:t>
            </w:r>
          </w:p>
        </w:tc>
      </w:tr>
      <w:tr>
        <w:tc>
          <w:tcPr>
            <w:tcW w:type="dxa" w:w="3408"/>
            <w:vAlign w:val="center"/>
          </w:tcPr>
          <w:p>
            <w:r>
              <w:t>Restricted</w:t>
            </w:r>
          </w:p>
        </w:tc>
        <w:tc>
          <w:tcPr>
            <w:tcW w:type="dxa" w:w="3408"/>
            <w:vAlign w:val="center"/>
          </w:tcPr>
          <w:p>
            <w:r>
              <w:t>Secrets, credentials, highly sensitive records</w:t>
            </w:r>
          </w:p>
        </w:tc>
        <w:tc>
          <w:tcPr>
            <w:tcW w:type="dxa" w:w="3408"/>
            <w:vAlign w:val="center"/>
          </w:tcPr>
          <w:p>
            <w:r>
              <w:t>Strictly limited; encryption required</w:t>
            </w:r>
          </w:p>
        </w:tc>
      </w:tr>
    </w:tbl>
    <w:p>
      <w:r>
        <w:br w:type="page"/>
      </w:r>
    </w:p>
    <w:p>
      <w:pPr>
        <w:pStyle w:val="Heading1"/>
      </w:pPr>
      <w:r>
        <w:t>9. Data Privacy &amp; Records Retention</w:t>
      </w:r>
    </w:p>
    <w:p>
      <w:r>
        <w:t>Personal and business records must be collected, used, stored, and deleted according to approved business purposes and applicable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Record Type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Default Retention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Employee personnel records</w:t>
            </w:r>
          </w:p>
        </w:tc>
        <w:tc>
          <w:tcPr>
            <w:tcW w:type="dxa" w:w="5112"/>
            <w:vAlign w:val="center"/>
          </w:tcPr>
          <w:p>
            <w:r>
              <w:t>7 years after separation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Payroll records</w:t>
            </w:r>
          </w:p>
        </w:tc>
        <w:tc>
          <w:tcPr>
            <w:tcW w:type="dxa" w:w="5112"/>
            <w:vAlign w:val="center"/>
          </w:tcPr>
          <w:p>
            <w:r>
              <w:t>7 years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Expense records</w:t>
            </w:r>
          </w:p>
        </w:tc>
        <w:tc>
          <w:tcPr>
            <w:tcW w:type="dxa" w:w="5112"/>
            <w:vAlign w:val="center"/>
          </w:tcPr>
          <w:p>
            <w:r>
              <w:t>7 years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Security incident records</w:t>
            </w:r>
          </w:p>
        </w:tc>
        <w:tc>
          <w:tcPr>
            <w:tcW w:type="dxa" w:w="5112"/>
            <w:vAlign w:val="center"/>
          </w:tcPr>
          <w:p>
            <w:r>
              <w:t>5 years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Recruitment records - unsuccessful candidates</w:t>
            </w:r>
          </w:p>
        </w:tc>
        <w:tc>
          <w:tcPr>
            <w:tcW w:type="dxa" w:w="5112"/>
            <w:vAlign w:val="center"/>
          </w:tcPr>
          <w:p>
            <w:r>
              <w:t>2 years</w:t>
            </w:r>
          </w:p>
        </w:tc>
      </w:tr>
      <w:tr>
        <w:tc>
          <w:tcPr>
            <w:tcW w:type="dxa" w:w="5112"/>
            <w:vAlign w:val="center"/>
          </w:tcPr>
          <w:p>
            <w:r>
              <w:t>Audit logs</w:t>
            </w:r>
          </w:p>
        </w:tc>
        <w:tc>
          <w:tcPr>
            <w:tcW w:type="dxa" w:w="5112"/>
            <w:vAlign w:val="center"/>
          </w:tcPr>
          <w:p>
            <w:r>
              <w:t>2 years</w:t>
            </w:r>
          </w:p>
        </w:tc>
      </w:tr>
    </w:tbl>
    <w:p>
      <w:r>
        <w:t>Retention periods may be extended where a legal hold, investigation, audit, or contractual requirement applies.</w:t>
      </w:r>
    </w:p>
    <w:p>
      <w:r>
        <w:br w:type="page"/>
      </w:r>
    </w:p>
    <w:p>
      <w:pPr>
        <w:pStyle w:val="Heading1"/>
      </w:pPr>
      <w:r>
        <w:t>10. Performance Management &amp;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Frequency/Deadline</w:t>
            </w:r>
          </w:p>
        </w:tc>
      </w:tr>
      <w:tr>
        <w:tc>
          <w:tcPr>
            <w:tcW w:type="dxa" w:w="5112"/>
            <w:vAlign w:val="center"/>
          </w:tcPr>
          <w:p>
            <w:r>
              <w:t>Goal setting</w:t>
            </w:r>
          </w:p>
        </w:tc>
        <w:tc>
          <w:tcPr>
            <w:tcW w:type="dxa" w:w="5112"/>
            <w:vAlign w:val="center"/>
          </w:tcPr>
          <w:p>
            <w:r>
              <w:t>Within 30 days of joining or annual cycle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Quarterly check-in</w:t>
            </w:r>
          </w:p>
        </w:tc>
        <w:tc>
          <w:tcPr>
            <w:tcW w:type="dxa" w:w="5112"/>
            <w:vAlign w:val="center"/>
          </w:tcPr>
          <w:p>
            <w:r>
              <w:t>Once per quarter</w:t>
            </w:r>
          </w:p>
        </w:tc>
      </w:tr>
      <w:tr>
        <w:tc>
          <w:tcPr>
            <w:tcW w:type="dxa" w:w="5112"/>
            <w:vAlign w:val="center"/>
          </w:tcPr>
          <w:p>
            <w:r>
              <w:t>Annual performance review</w:t>
            </w:r>
          </w:p>
        </w:tc>
        <w:tc>
          <w:tcPr>
            <w:tcW w:type="dxa" w:w="5112"/>
            <w:vAlign w:val="center"/>
          </w:tcPr>
          <w:p>
            <w:r>
              <w:t>By 31 March for prior year</w:t>
            </w:r>
          </w:p>
        </w:tc>
      </w:tr>
      <w:tr>
        <w:tc>
          <w:tcPr>
            <w:tcW w:type="dxa" w:w="5112"/>
            <w:vAlign w:val="center"/>
          </w:tcPr>
          <w:p>
            <w:r>
              <w:t>Learning target</w:t>
            </w:r>
          </w:p>
        </w:tc>
        <w:tc>
          <w:tcPr>
            <w:tcW w:type="dxa" w:w="5112"/>
            <w:vAlign w:val="center"/>
          </w:tcPr>
          <w:p>
            <w:r>
              <w:t>Minimum 24 hours/year for eligible employees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Performance improvement plan</w:t>
            </w:r>
          </w:p>
        </w:tc>
        <w:tc>
          <w:tcPr>
            <w:tcW w:type="dxa" w:w="5112"/>
            <w:vAlign w:val="center"/>
          </w:tcPr>
          <w:p>
            <w:r>
              <w:t>Typically 30-90 days depending on case</w:t>
            </w:r>
          </w:p>
        </w:tc>
      </w:tr>
    </w:tbl>
    <w:p>
      <w:r>
        <w:t>Performance decisions should be evidence-based, documented, and communicated clearly to the employee.</w:t>
      </w:r>
    </w:p>
    <w:p>
      <w:r>
        <w:br w:type="page"/>
      </w:r>
    </w:p>
    <w:p>
      <w:pPr>
        <w:pStyle w:val="Heading1"/>
      </w:pPr>
      <w:r>
        <w:t>11. Recruitment, Probation &amp;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Rule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Policy 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Standard probation</w:t>
            </w:r>
          </w:p>
        </w:tc>
        <w:tc>
          <w:tcPr>
            <w:tcW w:type="dxa" w:w="5112"/>
            <w:vAlign w:val="center"/>
          </w:tcPr>
          <w:p>
            <w:r>
              <w:t>6 months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Probation review</w:t>
            </w:r>
          </w:p>
        </w:tc>
        <w:tc>
          <w:tcPr>
            <w:tcW w:type="dxa" w:w="5112"/>
            <w:vAlign w:val="center"/>
          </w:tcPr>
          <w:p>
            <w:r>
              <w:t>At least 15 days before probation end</w:t>
            </w:r>
          </w:p>
        </w:tc>
      </w:tr>
      <w:tr>
        <w:tc>
          <w:tcPr>
            <w:tcW w:type="dxa" w:w="5112"/>
            <w:vAlign w:val="center"/>
          </w:tcPr>
          <w:p>
            <w:r>
              <w:t>Extension</w:t>
            </w:r>
          </w:p>
        </w:tc>
        <w:tc>
          <w:tcPr>
            <w:tcW w:type="dxa" w:w="5112"/>
            <w:vAlign w:val="center"/>
          </w:tcPr>
          <w:p>
            <w:r>
              <w:t>Up to 3 additional months with written justification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Confirmation</w:t>
            </w:r>
          </w:p>
        </w:tc>
        <w:tc>
          <w:tcPr>
            <w:tcW w:type="dxa" w:w="5112"/>
            <w:vAlign w:val="center"/>
          </w:tcPr>
          <w:p>
            <w:r>
              <w:t>Written confirmation after successful review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Background verification</w:t>
            </w:r>
          </w:p>
        </w:tc>
        <w:tc>
          <w:tcPr>
            <w:tcW w:type="dxa" w:w="5112"/>
            <w:vAlign w:val="center"/>
          </w:tcPr>
          <w:p>
            <w:r>
              <w:t>Required for designated roles</w:t>
            </w:r>
          </w:p>
        </w:tc>
      </w:tr>
    </w:tbl>
    <w:p>
      <w:r>
        <w:t>Probation completion does not automatically guarantee confirmation; the employee must receive formal written confirmation.</w:t>
      </w:r>
    </w:p>
    <w:p>
      <w:r>
        <w:br w:type="page"/>
      </w:r>
    </w:p>
    <w:p>
      <w:pPr>
        <w:pStyle w:val="Heading1"/>
      </w:pPr>
      <w:r>
        <w:t>12. Grievance, Whistleblowing &amp; Disciplinary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5112"/>
            <w:vAlign w:val="center"/>
          </w:tcPr>
          <w:p>
            <w:r>
              <w:t>Acknowledge grievance</w:t>
            </w:r>
          </w:p>
        </w:tc>
        <w:tc>
          <w:tcPr>
            <w:tcW w:type="dxa" w:w="5112"/>
            <w:vAlign w:val="center"/>
          </w:tcPr>
          <w:p>
            <w:r>
              <w:t>Within 2 business days</w:t>
            </w:r>
          </w:p>
        </w:tc>
      </w:tr>
      <w:tr>
        <w:tc>
          <w:tcPr>
            <w:tcW w:type="dxa" w:w="5112"/>
            <w:vAlign w:val="center"/>
          </w:tcPr>
          <w:p>
            <w:r>
              <w:t>Initial review</w:t>
            </w:r>
          </w:p>
        </w:tc>
        <w:tc>
          <w:tcPr>
            <w:tcW w:type="dxa" w:w="5112"/>
            <w:vAlign w:val="center"/>
          </w:tcPr>
          <w:p>
            <w:r>
              <w:t>Within 7 business days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Investigation</w:t>
            </w:r>
          </w:p>
        </w:tc>
        <w:tc>
          <w:tcPr>
            <w:tcW w:type="dxa" w:w="5112"/>
            <w:vAlign w:val="center"/>
          </w:tcPr>
          <w:p>
            <w:r>
              <w:t>Normally within 30 calendar days</w:t>
            </w:r>
          </w:p>
        </w:tc>
      </w:tr>
      <w:tr>
        <w:tc>
          <w:tcPr>
            <w:tcW w:type="dxa" w:w="5112"/>
            <w:vAlign w:val="center"/>
          </w:tcPr>
          <w:p>
            <w:r>
              <w:t>Outcome communication</w:t>
            </w:r>
          </w:p>
        </w:tc>
        <w:tc>
          <w:tcPr>
            <w:tcW w:type="dxa" w:w="5112"/>
            <w:vAlign w:val="center"/>
          </w:tcPr>
          <w:p>
            <w:r>
              <w:t>Within 7 business days after investigation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Appeal submission</w:t>
            </w:r>
          </w:p>
        </w:tc>
        <w:tc>
          <w:tcPr>
            <w:tcW w:type="dxa" w:w="5112"/>
            <w:vAlign w:val="center"/>
          </w:tcPr>
          <w:p>
            <w:r>
              <w:t>Within 10 business days of outcome</w:t>
            </w:r>
          </w:p>
        </w:tc>
      </w:tr>
    </w:tbl>
    <w:p>
      <w:pPr>
        <w:pStyle w:val="Heading2"/>
      </w:pPr>
      <w:r>
        <w:t>Disciplinary Outcomes</w:t>
      </w:r>
    </w:p>
    <w:p>
      <w:pPr>
        <w:pStyle w:val="ListBullet"/>
      </w:pPr>
      <w:r>
        <w:t>Coaching or counseling</w:t>
      </w:r>
    </w:p>
    <w:p>
      <w:pPr>
        <w:pStyle w:val="ListBullet"/>
      </w:pPr>
      <w:r>
        <w:t>Written warning</w:t>
      </w:r>
    </w:p>
    <w:p>
      <w:pPr>
        <w:pStyle w:val="ListBullet"/>
      </w:pPr>
      <w:r>
        <w:t>Final warning</w:t>
      </w:r>
    </w:p>
    <w:p>
      <w:pPr>
        <w:pStyle w:val="ListBullet"/>
      </w:pPr>
      <w:r>
        <w:t>Suspension where appropriate</w:t>
      </w:r>
    </w:p>
    <w:p>
      <w:pPr>
        <w:pStyle w:val="ListBullet"/>
      </w:pPr>
      <w:r>
        <w:t>Termination for serious or repeated violations</w:t>
      </w:r>
    </w:p>
    <w:p>
      <w:r>
        <w:t>The process may vary based on severity, evidence, applicable law, and contractual terms.</w:t>
      </w:r>
    </w:p>
    <w:p>
      <w:r>
        <w:br w:type="page"/>
      </w:r>
    </w:p>
    <w:p>
      <w:pPr>
        <w:pStyle w:val="Heading1"/>
      </w:pPr>
      <w:r>
        <w:t>13. Health, Safety &amp; Emergency Procedures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Emergency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Fire</w:t>
            </w:r>
          </w:p>
        </w:tc>
        <w:tc>
          <w:tcPr>
            <w:tcW w:type="dxa" w:w="5112"/>
            <w:vAlign w:val="center"/>
          </w:tcPr>
          <w:p>
            <w:r>
              <w:t>Evacuate using nearest marked exit; do not use elevators</w:t>
            </w:r>
          </w:p>
        </w:tc>
      </w:tr>
      <w:tr>
        <w:tc>
          <w:tcPr>
            <w:tcW w:type="dxa" w:w="5112"/>
            <w:vAlign w:val="center"/>
          </w:tcPr>
          <w:p>
            <w:r>
              <w:t>Medical emergency</w:t>
            </w:r>
          </w:p>
        </w:tc>
        <w:tc>
          <w:tcPr>
            <w:tcW w:type="dxa" w:w="5112"/>
            <w:vAlign w:val="center"/>
          </w:tcPr>
          <w:p>
            <w:r>
              <w:t>Contact local emergency services and notify site security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Security threat</w:t>
            </w:r>
          </w:p>
        </w:tc>
        <w:tc>
          <w:tcPr>
            <w:tcW w:type="dxa" w:w="5112"/>
            <w:vAlign w:val="center"/>
          </w:tcPr>
          <w:p>
            <w:r>
              <w:t>Follow site security instructions and move to designated safe area</w:t>
            </w:r>
          </w:p>
        </w:tc>
      </w:tr>
      <w:tr>
        <w:tc>
          <w:tcPr>
            <w:tcW w:type="dxa" w:w="5112"/>
            <w:vAlign w:val="center"/>
          </w:tcPr>
          <w:p>
            <w:r>
              <w:t>Workplace accident</w:t>
            </w:r>
          </w:p>
        </w:tc>
        <w:tc>
          <w:tcPr>
            <w:tcW w:type="dxa" w:w="5112"/>
            <w:vAlign w:val="center"/>
          </w:tcPr>
          <w:p>
            <w:r>
              <w:t>Report to manager and Safety Officer immediately</w:t>
            </w:r>
          </w:p>
        </w:tc>
      </w:tr>
      <w:tr>
        <w:tc>
          <w:tcPr>
            <w:tcW w:type="dxa" w:w="5112"/>
            <w:vAlign w:val="center"/>
          </w:tcPr>
          <w:p>
            <w:r>
              <w:t>Emergency assembly</w:t>
            </w:r>
          </w:p>
        </w:tc>
        <w:tc>
          <w:tcPr>
            <w:tcW w:type="dxa" w:w="5112"/>
            <w:vAlign w:val="center"/>
          </w:tcPr>
          <w:p>
            <w:r>
              <w:t>Proceed to designated assembly point</w:t>
            </w:r>
          </w:p>
        </w:tc>
      </w:tr>
    </w:tbl>
    <w:p>
      <w:r>
        <w:t>Emergency contact details and assembly points must be displayed at each office location.</w:t>
      </w:r>
    </w:p>
    <w:p>
      <w:r>
        <w:br w:type="page"/>
      </w:r>
    </w:p>
    <w:p>
      <w:pPr>
        <w:pStyle w:val="Heading1"/>
      </w:pPr>
      <w:r>
        <w:t>14. Separation, Notice &amp; Final Settlement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Standard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Employee resignation notice</w:t>
            </w:r>
          </w:p>
        </w:tc>
        <w:tc>
          <w:tcPr>
            <w:tcW w:type="dxa" w:w="5112"/>
            <w:vAlign w:val="center"/>
          </w:tcPr>
          <w:p>
            <w:r>
              <w:t>60 calendar days unless contract states otherwise</w:t>
            </w:r>
          </w:p>
        </w:tc>
      </w:tr>
      <w:tr>
        <w:tc>
          <w:tcPr>
            <w:tcW w:type="dxa" w:w="5112"/>
            <w:vAlign w:val="center"/>
          </w:tcPr>
          <w:p>
            <w:r>
              <w:t>Manager acknowledgment</w:t>
            </w:r>
          </w:p>
        </w:tc>
        <w:tc>
          <w:tcPr>
            <w:tcW w:type="dxa" w:w="5112"/>
            <w:vAlign w:val="center"/>
          </w:tcPr>
          <w:p>
            <w:r>
              <w:t>Within 2 business days</w:t>
            </w:r>
          </w:p>
        </w:tc>
      </w:tr>
      <w:tr>
        <w:tc>
          <w:tcPr>
            <w:tcW w:type="dxa" w:w="5112"/>
            <w:vAlign w:val="center"/>
          </w:tcPr>
          <w:p>
            <w:r>
              <w:t>Knowledge transfer</w:t>
            </w:r>
          </w:p>
        </w:tc>
        <w:tc>
          <w:tcPr>
            <w:tcW w:type="dxa" w:w="5112"/>
            <w:vAlign w:val="center"/>
          </w:tcPr>
          <w:p>
            <w:r>
              <w:t>Required before final working day</w:t>
            </w:r>
          </w:p>
        </w:tc>
      </w:tr>
      <w:tr>
        <w:tc>
          <w:tcPr>
            <w:tcW w:type="dxa" w:w="5112"/>
            <w:vAlign w:val="center"/>
          </w:tcPr>
          <w:p>
            <w:r>
              <w:t>Asset return</w:t>
            </w:r>
          </w:p>
        </w:tc>
        <w:tc>
          <w:tcPr>
            <w:tcW w:type="dxa" w:w="5112"/>
            <w:vAlign w:val="center"/>
          </w:tcPr>
          <w:p>
            <w:r>
              <w:t>Before clearance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Access removal</w:t>
            </w:r>
          </w:p>
        </w:tc>
        <w:tc>
          <w:tcPr>
            <w:tcW w:type="dxa" w:w="5112"/>
            <w:vAlign w:val="center"/>
          </w:tcPr>
          <w:p>
            <w:r>
              <w:t>At or before separation time as appropriate</w:t>
            </w:r>
          </w:p>
        </w:tc>
      </w:tr>
      <w:tr>
        <w:tc>
          <w:tcPr>
            <w:tcW w:type="dxa" w:w="5112"/>
            <w:vAlign w:val="center"/>
          </w:tcPr>
          <w:p>
            <w:r>
              <w:t>Final settlement</w:t>
            </w:r>
          </w:p>
        </w:tc>
        <w:tc>
          <w:tcPr>
            <w:tcW w:type="dxa" w:w="5112"/>
            <w:vAlign w:val="center"/>
          </w:tcPr>
          <w:p>
            <w:r>
              <w:t>Target within 30 days, subject to applicable requirements and clearance</w:t>
            </w:r>
          </w:p>
        </w:tc>
      </w:tr>
    </w:tbl>
    <w:p>
      <w:r>
        <w:t>The employment agreement controls where it contains a specific contractual notice period that differs from this handbook.</w:t>
      </w:r>
    </w:p>
    <w:p>
      <w:r>
        <w:br w:type="page"/>
      </w:r>
    </w:p>
    <w:p>
      <w:pPr>
        <w:pStyle w:val="Heading1"/>
      </w:pPr>
      <w:r>
        <w:t>15. Policy Exceptions &amp; Approval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Exception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Required Approval</w:t>
            </w:r>
          </w:p>
        </w:tc>
      </w:tr>
      <w:tr>
        <w:tc>
          <w:tcPr>
            <w:tcW w:type="dxa" w:w="5112"/>
            <w:vAlign w:val="center"/>
          </w:tcPr>
          <w:p>
            <w:r>
              <w:t>Remote work beyond standard allowance</w:t>
            </w:r>
          </w:p>
        </w:tc>
        <w:tc>
          <w:tcPr>
            <w:tcW w:type="dxa" w:w="5112"/>
            <w:vAlign w:val="center"/>
          </w:tcPr>
          <w:p>
            <w:r>
              <w:t>Manager + Department Head</w:t>
            </w:r>
          </w:p>
        </w:tc>
      </w:tr>
      <w:tr>
        <w:tc>
          <w:tcPr>
            <w:tcW w:type="dxa" w:w="5112"/>
            <w:vAlign w:val="center"/>
          </w:tcPr>
          <w:p>
            <w:r>
              <w:t>Travel above stated limit</w:t>
            </w:r>
          </w:p>
        </w:tc>
        <w:tc>
          <w:tcPr>
            <w:tcW w:type="dxa" w:w="5112"/>
            <w:vAlign w:val="center"/>
          </w:tcPr>
          <w:p>
            <w:r>
              <w:t>Manager + Finance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Expense exception</w:t>
            </w:r>
          </w:p>
        </w:tc>
        <w:tc>
          <w:tcPr>
            <w:tcW w:type="dxa" w:w="5112"/>
            <w:vAlign w:val="center"/>
          </w:tcPr>
          <w:p>
            <w:r>
              <w:t>Finance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Leave policy exception</w:t>
            </w:r>
          </w:p>
        </w:tc>
        <w:tc>
          <w:tcPr>
            <w:tcW w:type="dxa" w:w="5112"/>
            <w:vAlign w:val="center"/>
          </w:tcPr>
          <w:p>
            <w:r>
              <w:t>People Operations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Retention extension</w:t>
            </w:r>
          </w:p>
        </w:tc>
        <w:tc>
          <w:tcPr>
            <w:tcW w:type="dxa" w:w="5112"/>
            <w:vAlign w:val="center"/>
          </w:tcPr>
          <w:p>
            <w:r>
              <w:t>Legal/Compliance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Access to Restricted data</w:t>
            </w:r>
          </w:p>
        </w:tc>
        <w:tc>
          <w:tcPr>
            <w:tcW w:type="dxa" w:w="5112"/>
            <w:vAlign w:val="center"/>
          </w:tcPr>
          <w:p>
            <w:r>
              <w:t>Data Owner + Security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Probation extension</w:t>
            </w:r>
          </w:p>
        </w:tc>
        <w:tc>
          <w:tcPr>
            <w:tcW w:type="dxa" w:w="5112"/>
            <w:vAlign w:val="center"/>
          </w:tcPr>
          <w:p>
            <w:r>
              <w:t>Manager + People Operations</w:t>
            </w:r>
          </w:p>
        </w:tc>
      </w:tr>
    </w:tbl>
    <w:p>
      <w:r>
        <w:t>All exceptions must be documented, have a stated business reason, identify the approver, and include an expiry/review date where applicable.</w:t>
      </w:r>
    </w:p>
    <w:p>
      <w:r>
        <w:br w:type="page"/>
      </w:r>
    </w:p>
    <w:p>
      <w:pPr>
        <w:pStyle w:val="Heading1"/>
      </w:pPr>
      <w:r>
        <w:t>16. Contacts, Forms &amp;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Contact</w:t>
            </w:r>
          </w:p>
        </w:tc>
      </w:tr>
      <w:tr>
        <w:tc>
          <w:tcPr>
            <w:tcW w:type="dxa" w:w="5112"/>
            <w:vAlign w:val="center"/>
          </w:tcPr>
          <w:p>
            <w:r>
              <w:t>People Operations</w:t>
            </w:r>
          </w:p>
        </w:tc>
        <w:tc>
          <w:tcPr>
            <w:tcW w:type="dxa" w:w="5112"/>
            <w:vAlign w:val="center"/>
          </w:tcPr>
          <w:p>
            <w:r>
              <w:t>peopleops@northstar.example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IT Support</w:t>
            </w:r>
          </w:p>
        </w:tc>
        <w:tc>
          <w:tcPr>
            <w:tcW w:type="dxa" w:w="5112"/>
            <w:vAlign w:val="center"/>
          </w:tcPr>
          <w:p>
            <w:r>
              <w:t>ithelp@northstar.example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Information Security</w:t>
            </w:r>
          </w:p>
        </w:tc>
        <w:tc>
          <w:tcPr>
            <w:tcW w:type="dxa" w:w="5112"/>
            <w:vAlign w:val="center"/>
          </w:tcPr>
          <w:p>
            <w:r>
              <w:t>security@northstar.example</w:t>
            </w:r>
          </w:p>
        </w:tc>
      </w:tr>
      <w:tr>
        <w:tc>
          <w:tcPr>
            <w:tcW w:type="dxa" w:w="5112"/>
            <w:vAlign w:val="center"/>
          </w:tcPr>
          <w:p>
            <w:r>
              <w:t>Finance</w:t>
            </w:r>
          </w:p>
        </w:tc>
        <w:tc>
          <w:tcPr>
            <w:tcW w:type="dxa" w:w="5112"/>
            <w:vAlign w:val="center"/>
          </w:tcPr>
          <w:p>
            <w:r>
              <w:t>finance@northstar.example</w:t>
            </w:r>
          </w:p>
        </w:tc>
      </w:tr>
      <w:tr>
        <w:tc>
          <w:tcPr>
            <w:tcW w:type="dxa" w:w="5112"/>
            <w:vAlign w:val="center"/>
          </w:tcPr>
          <w:p>
            <w:r>
              <w:t>Ethics &amp; Compliance</w:t>
            </w:r>
          </w:p>
        </w:tc>
        <w:tc>
          <w:tcPr>
            <w:tcW w:type="dxa" w:w="5112"/>
            <w:vAlign w:val="center"/>
          </w:tcPr>
          <w:p>
            <w:r>
              <w:t>ethics@northstar.example</w:t>
            </w:r>
          </w:p>
        </w:tc>
      </w:tr>
      <w:tr>
        <w:tc>
          <w:tcPr>
            <w:tcW w:type="dxa" w:w="5112"/>
            <w:vAlign w:val="center"/>
          </w:tcPr>
          <w:p>
            <w:r>
              <w:t>Emergency - internal</w:t>
            </w:r>
          </w:p>
        </w:tc>
        <w:tc>
          <w:tcPr>
            <w:tcW w:type="dxa" w:w="5112"/>
            <w:vAlign w:val="center"/>
          </w:tcPr>
          <w:p>
            <w:r>
              <w:t>securitydesk@northstar.example</w:t>
            </w:r>
          </w:p>
        </w:tc>
      </w:tr>
    </w:tbl>
    <w:p>
      <w:pPr>
        <w:pStyle w:val="Heading2"/>
      </w:pPr>
      <w:r>
        <w:t>Quick Reference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5112"/>
            <w:vAlign w:val="center"/>
          </w:tcPr>
          <w:p>
            <w:r>
              <w:t>Annual leave entitlement?</w:t>
            </w:r>
          </w:p>
        </w:tc>
        <w:tc>
          <w:tcPr>
            <w:tcW w:type="dxa" w:w="5112"/>
            <w:vAlign w:val="center"/>
          </w:tcPr>
          <w:p>
            <w:r>
              <w:t>24 working days</w:t>
            </w:r>
          </w:p>
        </w:tc>
      </w:tr>
      <w:tr>
        <w:tc>
          <w:tcPr>
            <w:tcW w:type="dxa" w:w="5112"/>
            <w:vAlign w:val="center"/>
          </w:tcPr>
          <w:p>
            <w:r>
              <w:t>Sick leave entitlement?</w:t>
            </w:r>
          </w:p>
        </w:tc>
        <w:tc>
          <w:tcPr>
            <w:tcW w:type="dxa" w:w="5112"/>
            <w:vAlign w:val="center"/>
          </w:tcPr>
          <w:p>
            <w:r>
              <w:t>12 working days</w:t>
            </w:r>
          </w:p>
        </w:tc>
      </w:tr>
      <w:tr>
        <w:tc>
          <w:tcPr>
            <w:tcW w:type="dxa" w:w="5112"/>
            <w:vAlign w:val="center"/>
          </w:tcPr>
          <w:p>
            <w:r>
              <w:t>Casual leave entitlement?</w:t>
            </w:r>
          </w:p>
        </w:tc>
        <w:tc>
          <w:tcPr>
            <w:tcW w:type="dxa" w:w="5112"/>
            <w:vAlign w:val="center"/>
          </w:tcPr>
          <w:p>
            <w:r>
              <w:t>6 working days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Carry-forward annual leave?</w:t>
            </w:r>
          </w:p>
        </w:tc>
        <w:tc>
          <w:tcPr>
            <w:tcW w:type="dxa" w:w="5112"/>
            <w:vAlign w:val="center"/>
          </w:tcPr>
          <w:p>
            <w:r>
              <w:t>Maximum 12 days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Carry-forward expiry?</w:t>
            </w:r>
          </w:p>
        </w:tc>
        <w:tc>
          <w:tcPr>
            <w:tcW w:type="dxa" w:w="5112"/>
            <w:vAlign w:val="center"/>
          </w:tcPr>
          <w:p>
            <w:r>
              <w:t>31 March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Standard work week?</w:t>
            </w:r>
          </w:p>
        </w:tc>
        <w:tc>
          <w:tcPr>
            <w:tcW w:type="dxa" w:w="5112"/>
            <w:vAlign w:val="center"/>
          </w:tcPr>
          <w:p>
            <w:r>
              <w:t>40 hours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Core hours?</w:t>
            </w:r>
          </w:p>
        </w:tc>
        <w:tc>
          <w:tcPr>
            <w:tcW w:type="dxa" w:w="5112"/>
            <w:vAlign w:val="center"/>
          </w:tcPr>
          <w:p>
            <w:r>
              <w:t>10:00 AM-4:00 PM</w:t>
            </w:r>
          </w:p>
        </w:tc>
      </w:tr>
      <w:tr>
        <w:tc>
          <w:tcPr>
            <w:tcW w:type="dxa" w:w="5112"/>
            <w:vAlign w:val="center"/>
          </w:tcPr>
          <w:p>
            <w:r>
              <w:t>Remote days?</w:t>
            </w:r>
          </w:p>
        </w:tc>
        <w:tc>
          <w:tcPr>
            <w:tcW w:type="dxa" w:w="5112"/>
            <w:vAlign w:val="center"/>
          </w:tcPr>
          <w:p>
            <w:r>
              <w:t>Up to 3/week by default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Expense submission deadline?</w:t>
            </w:r>
          </w:p>
        </w:tc>
        <w:tc>
          <w:tcPr>
            <w:tcW w:type="dxa" w:w="5112"/>
            <w:vAlign w:val="center"/>
          </w:tcPr>
          <w:p>
            <w:r>
              <w:t>15 calendar days</w:t>
            </w:r>
          </w:p>
        </w:tc>
      </w:tr>
      <w:tr>
        <w:tc>
          <w:tcPr>
            <w:tcW w:type="dxa" w:w="5112"/>
            <w:vAlign w:val="center"/>
          </w:tcPr>
          <w:p>
            <w:r>
              <w:t>Domestic hotel limit?</w:t>
            </w:r>
          </w:p>
        </w:tc>
        <w:tc>
          <w:tcPr>
            <w:tcW w:type="dxa" w:w="5112"/>
            <w:vAlign w:val="center"/>
          </w:tcPr>
          <w:p>
            <w:r>
              <w:t>₹6,000/night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Standard probation?</w:t>
            </w:r>
          </w:p>
        </w:tc>
        <w:tc>
          <w:tcPr>
            <w:tcW w:type="dxa" w:w="5112"/>
            <w:vAlign w:val="center"/>
          </w:tcPr>
          <w:p>
            <w:r>
              <w:t>6 months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Resignation notice?</w:t>
            </w:r>
          </w:p>
        </w:tc>
        <w:tc>
          <w:tcPr>
            <w:tcW w:type="dxa" w:w="5112"/>
            <w:vAlign w:val="center"/>
          </w:tcPr>
          <w:p>
            <w:r>
              <w:t>60 calendar days unless contract differs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Security incident target?</w:t>
            </w:r>
          </w:p>
        </w:tc>
        <w:tc>
          <w:tcPr>
            <w:tcW w:type="dxa" w:w="5112"/>
            <w:vAlign w:val="center"/>
          </w:tcPr>
          <w:p>
            <w:r>
              <w:t>Within 1 hour of discovery</w:t>
            </w:r>
          </w:p>
        </w:tc>
      </w:tr>
    </w:tbl>
    <w:p>
      <w:r>
        <w:br w:type="page"/>
      </w:r>
    </w:p>
    <w:p>
      <w:pPr>
        <w:pStyle w:val="Heading1"/>
      </w:pPr>
      <w:r>
        <w:t>17.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045"/>
            <w:vAlign w:val="center"/>
          </w:tcPr>
          <w:p>
            <w:r>
              <w:t>1.0</w:t>
            </w:r>
          </w:p>
        </w:tc>
        <w:tc>
          <w:tcPr>
            <w:tcW w:type="dxa" w:w="2045"/>
            <w:vAlign w:val="center"/>
          </w:tcPr>
          <w:p>
            <w:r>
              <w:t>01-Jan-2025</w:t>
            </w:r>
          </w:p>
        </w:tc>
        <w:tc>
          <w:tcPr>
            <w:tcW w:type="dxa" w:w="2045"/>
            <w:vAlign w:val="center"/>
          </w:tcPr>
          <w:p>
            <w:r>
              <w:t>Initial handbook</w:t>
            </w:r>
          </w:p>
        </w:tc>
        <w:tc>
          <w:tcPr>
            <w:tcW w:type="dxa" w:w="2045"/>
            <w:vAlign w:val="center"/>
          </w:tcPr>
          <w:p>
            <w:r>
              <w:t>People Operations</w:t>
            </w:r>
          </w:p>
        </w:tc>
        <w:tc>
          <w:tcPr>
            <w:tcW w:type="dxa" w:w="2045"/>
            <w:vAlign w:val="center"/>
          </w:tcPr>
          <w:p>
            <w:r>
              <w:t>Superseded</w:t>
            </w:r>
          </w:p>
        </w:tc>
      </w:tr>
      <w:tr>
        <w:tc>
          <w:tcPr>
            <w:tcW w:type="dxa" w:w="2045"/>
            <w:vAlign w:val="center"/>
          </w:tcPr>
          <w:p>
            <w:r>
              <w:t>1.1</w:t>
            </w:r>
          </w:p>
        </w:tc>
        <w:tc>
          <w:tcPr>
            <w:tcW w:type="dxa" w:w="2045"/>
            <w:vAlign w:val="center"/>
          </w:tcPr>
          <w:p>
            <w:r>
              <w:t>15-Jun-2025</w:t>
            </w:r>
          </w:p>
        </w:tc>
        <w:tc>
          <w:tcPr>
            <w:tcW w:type="dxa" w:w="2045"/>
            <w:vAlign w:val="center"/>
          </w:tcPr>
          <w:p>
            <w:r>
              <w:t>Updated travel limits</w:t>
            </w:r>
          </w:p>
        </w:tc>
        <w:tc>
          <w:tcPr>
            <w:tcW w:type="dxa" w:w="2045"/>
            <w:vAlign w:val="center"/>
          </w:tcPr>
          <w:p>
            <w:r>
              <w:t>Finance</w:t>
            </w:r>
          </w:p>
        </w:tc>
        <w:tc>
          <w:tcPr>
            <w:tcW w:type="dxa" w:w="2045"/>
            <w:vAlign w:val="center"/>
          </w:tcPr>
          <w:p>
            <w:r>
              <w:t>Superseded</w:t>
            </w:r>
          </w:p>
        </w:tc>
      </w:tr>
      <w:tr>
        <w:tc>
          <w:tcPr>
            <w:tcW w:type="dxa" w:w="2045"/>
            <w:vAlign w:val="center"/>
          </w:tcPr>
          <w:p>
            <w:r>
              <w:t>1.2</w:t>
            </w:r>
          </w:p>
        </w:tc>
        <w:tc>
          <w:tcPr>
            <w:tcW w:type="dxa" w:w="2045"/>
            <w:vAlign w:val="center"/>
          </w:tcPr>
          <w:p>
            <w:r>
              <w:t>01-Oct-2025</w:t>
            </w:r>
          </w:p>
        </w:tc>
        <w:tc>
          <w:tcPr>
            <w:tcW w:type="dxa" w:w="2045"/>
            <w:vAlign w:val="center"/>
          </w:tcPr>
          <w:p>
            <w:r>
              <w:t>Updated security controls</w:t>
            </w:r>
          </w:p>
        </w:tc>
        <w:tc>
          <w:tcPr>
            <w:tcW w:type="dxa" w:w="2045"/>
            <w:vAlign w:val="center"/>
          </w:tcPr>
          <w:p>
            <w:r>
              <w:t>Information Security</w:t>
            </w:r>
          </w:p>
        </w:tc>
        <w:tc>
          <w:tcPr>
            <w:tcW w:type="dxa" w:w="2045"/>
            <w:vAlign w:val="center"/>
          </w:tcPr>
          <w:p>
            <w:r>
              <w:t>Superseded</w:t>
            </w:r>
          </w:p>
        </w:tc>
      </w:tr>
      <w:tr>
        <w:tc>
          <w:tcPr>
            <w:tcW w:type="dxa" w:w="2045"/>
            <w:vAlign w:val="center"/>
          </w:tcPr>
          <w:p>
            <w:r>
              <w:t>2.0</w:t>
            </w:r>
          </w:p>
        </w:tc>
        <w:tc>
          <w:tcPr>
            <w:tcW w:type="dxa" w:w="2045"/>
            <w:vAlign w:val="center"/>
          </w:tcPr>
          <w:p>
            <w:r>
              <w:t>01-Jan-2026</w:t>
            </w:r>
          </w:p>
        </w:tc>
        <w:tc>
          <w:tcPr>
            <w:tcW w:type="dxa" w:w="2045"/>
            <w:vAlign w:val="center"/>
          </w:tcPr>
          <w:p>
            <w:r>
              <w:t>Major annual revision; updated leave, remote work, expenses, security and retention</w:t>
            </w:r>
          </w:p>
        </w:tc>
        <w:tc>
          <w:tcPr>
            <w:tcW w:type="dxa" w:w="2045"/>
            <w:vAlign w:val="center"/>
          </w:tcPr>
          <w:p>
            <w:r>
              <w:t>People Operations</w:t>
            </w:r>
          </w:p>
        </w:tc>
        <w:tc>
          <w:tcPr>
            <w:tcW w:type="dxa" w:w="2045"/>
            <w:vAlign w:val="center"/>
          </w:tcPr>
          <w:p>
            <w:r>
              <w:t>Active</w:t>
            </w:r>
          </w:p>
        </w:tc>
      </w:tr>
    </w:tbl>
    <w:p>
      <w:pPr>
        <w:pStyle w:val="Heading2"/>
      </w:pPr>
      <w:r>
        <w:t>Key Version 1.2 → 2.0 Changes</w:t>
      </w:r>
    </w:p>
    <w:p>
      <w:pPr>
        <w:pStyle w:val="ListBullet"/>
      </w:pPr>
      <w:r>
        <w:t>Annual leave increased from 22 to 24 working days.</w:t>
      </w:r>
    </w:p>
    <w:p>
      <w:pPr>
        <w:pStyle w:val="ListBullet"/>
      </w:pPr>
      <w:r>
        <w:t>Remote work default allowance changed from 2 to 3 days per week.</w:t>
      </w:r>
    </w:p>
    <w:p>
      <w:pPr>
        <w:pStyle w:val="ListBullet"/>
      </w:pPr>
      <w:r>
        <w:t>Domestic hotel limit changed from ₹5,000 to ₹6,000 per night.</w:t>
      </w:r>
    </w:p>
    <w:p>
      <w:pPr>
        <w:pStyle w:val="ListBullet"/>
      </w:pPr>
      <w:r>
        <w:t>Security incident reporting target changed from 4 hours to 1 hour.</w:t>
      </w:r>
    </w:p>
    <w:p>
      <w:pPr>
        <w:pStyle w:val="ListBullet"/>
      </w:pPr>
      <w:r>
        <w:t>Attendance correction window changed from 5 to 3 business days.</w:t>
      </w:r>
    </w:p>
    <w:p>
      <w:pPr>
        <w:pStyle w:val="ListBullet"/>
      </w:pPr>
      <w:r>
        <w:t>Annual leave carry-forward changed from 10 to 12 days.</w:t>
      </w:r>
    </w:p>
    <w:p>
      <w:r>
        <w:br w:type="page"/>
      </w:r>
    </w:p>
    <w:p>
      <w:pPr>
        <w:pStyle w:val="Heading1"/>
      </w:pPr>
      <w:r>
        <w:t>18. RAG Testing Facts &amp; Expected Answers</w:t>
      </w:r>
    </w:p>
    <w:p>
      <w:r>
        <w:t>This section is intentionally included to make the document useful for evaluating retrieval accuracy. A RAG system should retrieve the relevant policy sections rather than relying on this page alone.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Expected Grounded Fact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Source Section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RAG-001</w:t>
            </w:r>
          </w:p>
        </w:tc>
        <w:tc>
          <w:tcPr>
            <w:tcW w:type="dxa" w:w="2556"/>
            <w:vAlign w:val="center"/>
          </w:tcPr>
          <w:p>
            <w:r>
              <w:t>How many annual leave days are available?</w:t>
            </w:r>
          </w:p>
        </w:tc>
        <w:tc>
          <w:tcPr>
            <w:tcW w:type="dxa" w:w="2556"/>
            <w:vAlign w:val="center"/>
          </w:tcPr>
          <w:p>
            <w:r>
              <w:t>24 working days per year.</w:t>
            </w:r>
          </w:p>
        </w:tc>
        <w:tc>
          <w:tcPr>
            <w:tcW w:type="dxa" w:w="2556"/>
            <w:vAlign w:val="center"/>
          </w:tcPr>
          <w:p>
            <w:r>
              <w:t>Section 3 - Leave &amp; Holidays</w:t>
            </w:r>
          </w:p>
        </w:tc>
      </w:tr>
      <w:tr>
        <w:tc>
          <w:tcPr>
            <w:tcW w:type="dxa" w:w="2556"/>
            <w:vAlign w:val="center"/>
          </w:tcPr>
          <w:p>
            <w:r>
              <w:t>RAG-002</w:t>
            </w:r>
          </w:p>
        </w:tc>
        <w:tc>
          <w:tcPr>
            <w:tcW w:type="dxa" w:w="2556"/>
            <w:vAlign w:val="center"/>
          </w:tcPr>
          <w:p>
            <w:r>
              <w:t>How many annual leave days can be carried forward?</w:t>
            </w:r>
          </w:p>
        </w:tc>
        <w:tc>
          <w:tcPr>
            <w:tcW w:type="dxa" w:w="2556"/>
            <w:vAlign w:val="center"/>
          </w:tcPr>
          <w:p>
            <w:r>
              <w:t>Up to 12 days.</w:t>
            </w:r>
          </w:p>
        </w:tc>
        <w:tc>
          <w:tcPr>
            <w:tcW w:type="dxa" w:w="2556"/>
            <w:vAlign w:val="center"/>
          </w:tcPr>
          <w:p>
            <w:r>
              <w:t>Section 3 - Leave &amp; Holidays</w:t>
            </w:r>
          </w:p>
        </w:tc>
      </w:tr>
      <w:tr>
        <w:tc>
          <w:tcPr>
            <w:tcW w:type="dxa" w:w="2556"/>
            <w:vAlign w:val="center"/>
          </w:tcPr>
          <w:p>
            <w:r>
              <w:t>RAG-003</w:t>
            </w:r>
          </w:p>
        </w:tc>
        <w:tc>
          <w:tcPr>
            <w:tcW w:type="dxa" w:w="2556"/>
            <w:vAlign w:val="center"/>
          </w:tcPr>
          <w:p>
            <w:r>
              <w:t>When must carried-forward leave be used?</w:t>
            </w:r>
          </w:p>
        </w:tc>
        <w:tc>
          <w:tcPr>
            <w:tcW w:type="dxa" w:w="2556"/>
            <w:vAlign w:val="center"/>
          </w:tcPr>
          <w:p>
            <w:r>
              <w:t>By 31 March unless HR approves an exception.</w:t>
            </w:r>
          </w:p>
        </w:tc>
        <w:tc>
          <w:tcPr>
            <w:tcW w:type="dxa" w:w="2556"/>
            <w:vAlign w:val="center"/>
          </w:tcPr>
          <w:p>
            <w:r>
              <w:t>Section 3 - Leave &amp; Holidays</w:t>
            </w:r>
          </w:p>
        </w:tc>
      </w:tr>
      <w:tr>
        <w:tc>
          <w:tcPr>
            <w:tcW w:type="dxa" w:w="2556"/>
            <w:vAlign w:val="center"/>
          </w:tcPr>
          <w:p>
            <w:r>
              <w:t>RAG-004</w:t>
            </w:r>
          </w:p>
        </w:tc>
        <w:tc>
          <w:tcPr>
            <w:tcW w:type="dxa" w:w="2556"/>
            <w:vAlign w:val="center"/>
          </w:tcPr>
          <w:p>
            <w:r>
              <w:t>How many remote days are allowed by default?</w:t>
            </w:r>
          </w:p>
        </w:tc>
        <w:tc>
          <w:tcPr>
            <w:tcW w:type="dxa" w:w="2556"/>
            <w:vAlign w:val="center"/>
          </w:tcPr>
          <w:p>
            <w:r>
              <w:t>Up to 3 remote days per week.</w:t>
            </w:r>
          </w:p>
        </w:tc>
        <w:tc>
          <w:tcPr>
            <w:tcW w:type="dxa" w:w="2556"/>
            <w:vAlign w:val="center"/>
          </w:tcPr>
          <w:p>
            <w:r>
              <w:t>Section 4 - Remote &amp; Hybrid Work</w:t>
            </w:r>
          </w:p>
        </w:tc>
      </w:tr>
      <w:tr>
        <w:tc>
          <w:tcPr>
            <w:tcW w:type="dxa" w:w="2556"/>
            <w:vAlign w:val="center"/>
          </w:tcPr>
          <w:p>
            <w:r>
              <w:t>RAG-005</w:t>
            </w:r>
          </w:p>
        </w:tc>
        <w:tc>
          <w:tcPr>
            <w:tcW w:type="dxa" w:w="2556"/>
            <w:vAlign w:val="center"/>
          </w:tcPr>
          <w:p>
            <w:r>
              <w:t>What are core collaboration hours?</w:t>
            </w:r>
          </w:p>
        </w:tc>
        <w:tc>
          <w:tcPr>
            <w:tcW w:type="dxa" w:w="2556"/>
            <w:vAlign w:val="center"/>
          </w:tcPr>
          <w:p>
            <w:r>
              <w:t>10:00 AM to 4:00 PM.</w:t>
            </w:r>
          </w:p>
        </w:tc>
        <w:tc>
          <w:tcPr>
            <w:tcW w:type="dxa" w:w="2556"/>
            <w:vAlign w:val="center"/>
          </w:tcPr>
          <w:p>
            <w:r>
              <w:t>Section 2 - Working Hours</w:t>
            </w:r>
          </w:p>
        </w:tc>
      </w:tr>
      <w:tr>
        <w:tc>
          <w:tcPr>
            <w:tcW w:type="dxa" w:w="2556"/>
            <w:vAlign w:val="center"/>
          </w:tcPr>
          <w:p>
            <w:r>
              <w:t>RAG-006</w:t>
            </w:r>
          </w:p>
        </w:tc>
        <w:tc>
          <w:tcPr>
            <w:tcW w:type="dxa" w:w="2556"/>
            <w:vAlign w:val="center"/>
          </w:tcPr>
          <w:p>
            <w:r>
              <w:t>What is the domestic hotel limit?</w:t>
            </w:r>
          </w:p>
        </w:tc>
        <w:tc>
          <w:tcPr>
            <w:tcW w:type="dxa" w:w="2556"/>
            <w:vAlign w:val="center"/>
          </w:tcPr>
          <w:p>
            <w:r>
              <w:t>₹6,000 per night.</w:t>
            </w:r>
          </w:p>
        </w:tc>
        <w:tc>
          <w:tcPr>
            <w:tcW w:type="dxa" w:w="2556"/>
            <w:vAlign w:val="center"/>
          </w:tcPr>
          <w:p>
            <w:r>
              <w:t>Section 6 - Travel &amp; Expenses</w:t>
            </w:r>
          </w:p>
        </w:tc>
      </w:tr>
      <w:tr>
        <w:tc>
          <w:tcPr>
            <w:tcW w:type="dxa" w:w="2556"/>
            <w:vAlign w:val="center"/>
          </w:tcPr>
          <w:p>
            <w:r>
              <w:t>RAG-007</w:t>
            </w:r>
          </w:p>
        </w:tc>
        <w:tc>
          <w:tcPr>
            <w:tcW w:type="dxa" w:w="2556"/>
            <w:vAlign w:val="center"/>
          </w:tcPr>
          <w:p>
            <w:r>
              <w:t>How long is standard probation?</w:t>
            </w:r>
          </w:p>
        </w:tc>
        <w:tc>
          <w:tcPr>
            <w:tcW w:type="dxa" w:w="2556"/>
            <w:vAlign w:val="center"/>
          </w:tcPr>
          <w:p>
            <w:r>
              <w:t>6 months.</w:t>
            </w:r>
          </w:p>
        </w:tc>
        <w:tc>
          <w:tcPr>
            <w:tcW w:type="dxa" w:w="2556"/>
            <w:vAlign w:val="center"/>
          </w:tcPr>
          <w:p>
            <w:r>
              <w:t>Section 11 - Recruitment</w:t>
            </w:r>
          </w:p>
        </w:tc>
      </w:tr>
      <w:tr>
        <w:tc>
          <w:tcPr>
            <w:tcW w:type="dxa" w:w="2556"/>
            <w:vAlign w:val="center"/>
          </w:tcPr>
          <w:p>
            <w:r>
              <w:t>RAG-008</w:t>
            </w:r>
          </w:p>
        </w:tc>
        <w:tc>
          <w:tcPr>
            <w:tcW w:type="dxa" w:w="2556"/>
            <w:vAlign w:val="center"/>
          </w:tcPr>
          <w:p>
            <w:r>
              <w:t>What is the standard resignation notice?</w:t>
            </w:r>
          </w:p>
        </w:tc>
        <w:tc>
          <w:tcPr>
            <w:tcW w:type="dxa" w:w="2556"/>
            <w:vAlign w:val="center"/>
          </w:tcPr>
          <w:p>
            <w:r>
              <w:t>60 calendar days unless the contract states otherwise.</w:t>
            </w:r>
          </w:p>
        </w:tc>
        <w:tc>
          <w:tcPr>
            <w:tcW w:type="dxa" w:w="2556"/>
            <w:vAlign w:val="center"/>
          </w:tcPr>
          <w:p>
            <w:r>
              <w:t>Section 14 - Separation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RAG-009</w:t>
            </w:r>
          </w:p>
        </w:tc>
        <w:tc>
          <w:tcPr>
            <w:tcW w:type="dxa" w:w="2556"/>
            <w:vAlign w:val="center"/>
          </w:tcPr>
          <w:p>
            <w:r>
              <w:t>How quickly should security incidents be reported?</w:t>
            </w:r>
          </w:p>
        </w:tc>
        <w:tc>
          <w:tcPr>
            <w:tcW w:type="dxa" w:w="2556"/>
            <w:vAlign w:val="center"/>
          </w:tcPr>
          <w:p>
            <w:r>
              <w:t>Immediately, with a target of within 1 hour of discovery.</w:t>
            </w:r>
          </w:p>
        </w:tc>
        <w:tc>
          <w:tcPr>
            <w:tcW w:type="dxa" w:w="2556"/>
            <w:vAlign w:val="center"/>
          </w:tcPr>
          <w:p>
            <w:r>
              <w:t>Section 8 - Information Security</w:t>
            </w:r>
          </w:p>
        </w:tc>
      </w:tr>
      <w:tr>
        <w:tc>
          <w:tcPr>
            <w:tcW w:type="dxa" w:w="2556"/>
            <w:vAlign w:val="center"/>
          </w:tcPr>
          <w:p>
            <w:r>
              <w:t>RAG-010</w:t>
            </w:r>
          </w:p>
        </w:tc>
        <w:tc>
          <w:tcPr>
            <w:tcW w:type="dxa" w:w="2556"/>
            <w:vAlign w:val="center"/>
          </w:tcPr>
          <w:p>
            <w:r>
              <w:t>What is the payroll cut-off?</w:t>
            </w:r>
          </w:p>
        </w:tc>
        <w:tc>
          <w:tcPr>
            <w:tcW w:type="dxa" w:w="2556"/>
            <w:vAlign w:val="center"/>
          </w:tcPr>
          <w:p>
            <w:r>
              <w:t>Changes after the 20th calendar day may move to the next payroll cycle.</w:t>
            </w:r>
          </w:p>
        </w:tc>
        <w:tc>
          <w:tcPr>
            <w:tcW w:type="dxa" w:w="2556"/>
            <w:vAlign w:val="center"/>
          </w:tcPr>
          <w:p>
            <w:r>
              <w:t>Section 5 - Compensation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RAG-011</w:t>
            </w:r>
          </w:p>
        </w:tc>
        <w:tc>
          <w:tcPr>
            <w:tcW w:type="dxa" w:w="2556"/>
            <w:vAlign w:val="center"/>
          </w:tcPr>
          <w:p>
            <w:r>
              <w:t>What is the employee learning target?</w:t>
            </w:r>
          </w:p>
        </w:tc>
        <w:tc>
          <w:tcPr>
            <w:tcW w:type="dxa" w:w="2556"/>
            <w:vAlign w:val="center"/>
          </w:tcPr>
          <w:p>
            <w:r>
              <w:t>Minimum 24 hours per year for eligible employees.</w:t>
            </w:r>
          </w:p>
        </w:tc>
        <w:tc>
          <w:tcPr>
            <w:tcW w:type="dxa" w:w="2556"/>
            <w:vAlign w:val="center"/>
          </w:tcPr>
          <w:p>
            <w:r>
              <w:t>Section 10 - Performance</w:t>
            </w:r>
          </w:p>
        </w:tc>
      </w:tr>
      <w:tr>
        <w:tc>
          <w:tcPr>
            <w:tcW w:type="dxa" w:w="2556"/>
            <w:vAlign w:val="center"/>
          </w:tcPr>
          <w:p>
            <w:r>
              <w:t>RAG-012</w:t>
            </w:r>
          </w:p>
        </w:tc>
        <w:tc>
          <w:tcPr>
            <w:tcW w:type="dxa" w:w="2556"/>
            <w:vAlign w:val="center"/>
          </w:tcPr>
          <w:p>
            <w:r>
              <w:t>How long are employee personnel records retained?</w:t>
            </w:r>
          </w:p>
        </w:tc>
        <w:tc>
          <w:tcPr>
            <w:tcW w:type="dxa" w:w="2556"/>
            <w:vAlign w:val="center"/>
          </w:tcPr>
          <w:p>
            <w:r>
              <w:t>7 years after separation by default.</w:t>
            </w:r>
          </w:p>
        </w:tc>
        <w:tc>
          <w:tcPr>
            <w:tcW w:type="dxa" w:w="2556"/>
            <w:vAlign w:val="center"/>
          </w:tcPr>
          <w:p>
            <w:r>
              <w:t>Section 9 - Data Privacy</w:t>
            </w:r>
          </w:p>
        </w:tc>
      </w:tr>
    </w:tbl>
    <w:p>
      <w:pPr>
        <w:pStyle w:val="Heading2"/>
      </w:pPr>
      <w:r>
        <w:t>Multi-hop Test Cases</w:t>
      </w:r>
    </w:p>
    <w:p>
      <w:pPr>
        <w:pStyle w:val="ListNumber"/>
      </w:pPr>
      <w:r>
        <w:t>Compare the 2025 and 2026 annual leave rules. Identify the exact change and cite the version history and current leave policy.</w:t>
      </w:r>
    </w:p>
    <w:p>
      <w:pPr>
        <w:pStyle w:val="ListNumber"/>
      </w:pPr>
      <w:r>
        <w:t>An employee wants 4 remote days per week. What approvals are required?</w:t>
      </w:r>
    </w:p>
    <w:p>
      <w:pPr>
        <w:pStyle w:val="ListNumber"/>
      </w:pPr>
      <w:r>
        <w:t>An employee submits a ₹7,000 domestic hotel expense. Is it within the standard limit and what approval is needed?</w:t>
      </w:r>
    </w:p>
    <w:p>
      <w:pPr>
        <w:pStyle w:val="ListNumber"/>
      </w:pPr>
      <w:r>
        <w:t>A security incident is discovered at 11:00 AM. By what target time should it be reported?</w:t>
      </w:r>
    </w:p>
    <w:p>
      <w:pPr>
        <w:pStyle w:val="ListNumber"/>
      </w:pPr>
      <w:r>
        <w:t>An employee has 14 unused annual leave days at year-end. How many can be carried forward and by when must they be used?</w:t>
      </w:r>
    </w:p>
    <w:p>
      <w:pPr>
        <w:pStyle w:val="Heading2"/>
      </w:pPr>
      <w:r>
        <w:t>Expected RAG Behavior</w:t>
      </w:r>
    </w:p>
    <w:p>
      <w:pPr>
        <w:pStyle w:val="ListBullet"/>
      </w:pPr>
      <w:r>
        <w:t>The assistant must cite the actual document section/page chunk used.</w:t>
      </w:r>
    </w:p>
    <w:p>
      <w:pPr>
        <w:pStyle w:val="ListBullet"/>
      </w:pPr>
      <w:r>
        <w:t>The assistant must refuse to invent a rule when evidence is missing.</w:t>
      </w:r>
    </w:p>
    <w:p>
      <w:pPr>
        <w:pStyle w:val="ListBullet"/>
      </w:pPr>
      <w:r>
        <w:t>For comparison questions, the assistant should retrieve both the version history and current policy.</w:t>
      </w:r>
    </w:p>
    <w:p>
      <w:pPr>
        <w:pStyle w:val="ListBullet"/>
      </w:pPr>
      <w:r>
        <w:t>For numerical questions, the assistant should preserve exact values such as 24 days, 12 days, ₹6,000 and 60 days.</w:t>
      </w:r>
    </w:p>
    <w:p>
      <w:pPr>
        <w:pStyle w:val="ListBullet"/>
      </w:pPr>
      <w:r>
        <w:t>For multi-hop questions, the assistant should combine evidence from multiple sections when necessary.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Northstar Technologies | Fictional RAG Demo Dataset | Internal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