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41AE" w14:textId="1E38E2BF" w:rsidR="00DA3907" w:rsidRDefault="00DA3907" w:rsidP="00DA3907">
      <w:pPr>
        <w:pStyle w:val="Heading2"/>
        <w:numPr>
          <w:ilvl w:val="0"/>
          <w:numId w:val="0"/>
        </w:numPr>
        <w:rPr>
          <w:lang w:val="en-US" w:eastAsia="en-US" w:bidi="ar-SA"/>
        </w:rPr>
      </w:pPr>
      <w:bookmarkStart w:id="0" w:name="_Toc135752574"/>
      <w:r>
        <w:rPr>
          <w:lang w:val="en-US" w:eastAsia="en-US" w:bidi="ar-SA"/>
        </w:rPr>
        <w:t>Purpose</w:t>
      </w:r>
    </w:p>
    <w:p w14:paraId="24D425AD" w14:textId="148179DE" w:rsidR="00DA3907" w:rsidRPr="00DA3907" w:rsidRDefault="00DA3907" w:rsidP="00DA3907">
      <w:pPr>
        <w:rPr>
          <w:lang w:val="en-US" w:eastAsia="en-US" w:bidi="ar-SA"/>
        </w:rPr>
      </w:pPr>
      <w:r>
        <w:rPr>
          <w:lang w:val="en-US" w:eastAsia="en-US" w:bidi="ar-SA"/>
        </w:rPr>
        <w:t>This document summarized the c</w:t>
      </w:r>
      <w:r>
        <w:rPr>
          <w:lang w:val="en-US" w:eastAsia="en-US" w:bidi="ar-SA"/>
        </w:rPr>
        <w:t>leaned up methodology that does not consider the hiccups and side analysis along the way</w:t>
      </w:r>
      <w:r>
        <w:rPr>
          <w:lang w:val="en-US" w:eastAsia="en-US" w:bidi="ar-SA"/>
        </w:rPr>
        <w:t xml:space="preserve"> for historical and future hydropower potential analysis work presented in Dhaubanjar et al. (2023a, 2023b)</w:t>
      </w:r>
      <w:r>
        <w:rPr>
          <w:lang w:val="en-US" w:eastAsia="en-US" w:bidi="ar-SA"/>
        </w:rPr>
        <w:t>.</w:t>
      </w:r>
      <w:r w:rsidR="00A74100">
        <w:rPr>
          <w:lang w:val="en-US" w:eastAsia="en-US" w:bidi="ar-SA"/>
        </w:rPr>
        <w:t xml:space="preserve"> Post processing scripts for plotting and analysis are not fully documented. Refer to scrips in postprocess folder for all scripts.</w:t>
      </w:r>
    </w:p>
    <w:p w14:paraId="12D8B5A7" w14:textId="4D58ADB1" w:rsidR="00E004F9" w:rsidRDefault="00DA3907" w:rsidP="00DA3907">
      <w:pPr>
        <w:pStyle w:val="Heading2"/>
        <w:numPr>
          <w:ilvl w:val="0"/>
          <w:numId w:val="0"/>
        </w:numPr>
        <w:rPr>
          <w:lang w:val="en-US" w:eastAsia="en-US" w:bidi="ar-SA"/>
        </w:rPr>
      </w:pPr>
      <w:r>
        <w:rPr>
          <w:lang w:val="en-US" w:eastAsia="en-US" w:bidi="ar-SA"/>
        </w:rPr>
        <w:t>C</w:t>
      </w:r>
      <w:r w:rsidR="00E004F9">
        <w:rPr>
          <w:lang w:val="en-US" w:eastAsia="en-US" w:bidi="ar-SA"/>
        </w:rPr>
        <w:t>ode flow for future hydropower potential analysis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4232"/>
        <w:gridCol w:w="1786"/>
        <w:gridCol w:w="1692"/>
      </w:tblGrid>
      <w:tr w:rsidR="00E004F9" w14:paraId="41AC5032" w14:textId="77777777" w:rsidTr="00E004F9">
        <w:tc>
          <w:tcPr>
            <w:tcW w:w="877" w:type="pct"/>
            <w:shd w:val="clear" w:color="auto" w:fill="EDEDED" w:themeFill="accent3" w:themeFillTint="33"/>
          </w:tcPr>
          <w:p w14:paraId="1EBD88B5" w14:textId="77777777" w:rsidR="00E004F9" w:rsidRDefault="00E004F9" w:rsidP="009F422B">
            <w:pPr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SPHY modeling</w:t>
            </w:r>
          </w:p>
        </w:tc>
        <w:tc>
          <w:tcPr>
            <w:tcW w:w="2263" w:type="pct"/>
            <w:shd w:val="clear" w:color="auto" w:fill="FFE599" w:themeFill="accent4" w:themeFillTint="66"/>
          </w:tcPr>
          <w:p w14:paraId="683254B4" w14:textId="77777777" w:rsidR="00E004F9" w:rsidRDefault="00E004F9" w:rsidP="009F422B">
            <w:pPr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SPHY post-processing, HyPE pre-processing</w:t>
            </w:r>
          </w:p>
        </w:tc>
        <w:tc>
          <w:tcPr>
            <w:tcW w:w="955" w:type="pct"/>
            <w:shd w:val="clear" w:color="auto" w:fill="BDD6EE" w:themeFill="accent5" w:themeFillTint="66"/>
          </w:tcPr>
          <w:p w14:paraId="6DE86C22" w14:textId="77777777" w:rsidR="00E004F9" w:rsidRDefault="00E004F9" w:rsidP="009F422B">
            <w:pPr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HyPE future runs</w:t>
            </w:r>
          </w:p>
        </w:tc>
        <w:tc>
          <w:tcPr>
            <w:tcW w:w="905" w:type="pct"/>
            <w:shd w:val="clear" w:color="auto" w:fill="E2EFD9" w:themeFill="accent6" w:themeFillTint="33"/>
          </w:tcPr>
          <w:p w14:paraId="08894007" w14:textId="77777777" w:rsidR="00E004F9" w:rsidRDefault="00E004F9" w:rsidP="009F422B">
            <w:pPr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Post-processing</w:t>
            </w:r>
          </w:p>
        </w:tc>
      </w:tr>
    </w:tbl>
    <w:p w14:paraId="0A8D64B6" w14:textId="77777777" w:rsidR="00E004F9" w:rsidRPr="009605BA" w:rsidRDefault="00E004F9" w:rsidP="00E004F9">
      <w:pPr>
        <w:rPr>
          <w:lang w:val="en-US" w:eastAsia="en-US" w:bidi="ar-SA"/>
        </w:rPr>
      </w:pPr>
    </w:p>
    <w:tbl>
      <w:tblPr>
        <w:tblStyle w:val="TableGrid"/>
        <w:tblW w:w="1056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369"/>
        <w:gridCol w:w="2719"/>
        <w:gridCol w:w="4472"/>
      </w:tblGrid>
      <w:tr w:rsidR="00E004F9" w:rsidRPr="00450DFA" w14:paraId="179C7A27" w14:textId="77777777" w:rsidTr="006A56C1">
        <w:trPr>
          <w:tblHeader/>
        </w:trPr>
        <w:tc>
          <w:tcPr>
            <w:tcW w:w="3369" w:type="dxa"/>
          </w:tcPr>
          <w:p w14:paraId="6D5D45B9" w14:textId="77777777" w:rsidR="00E004F9" w:rsidRPr="00450DFA" w:rsidRDefault="00E004F9" w:rsidP="009F422B">
            <w:pPr>
              <w:pStyle w:val="NoSpacing"/>
              <w:ind w:left="284"/>
              <w:jc w:val="center"/>
              <w:rPr>
                <w:b/>
                <w:lang w:val="en-US" w:eastAsia="en-US" w:bidi="ar-SA"/>
              </w:rPr>
            </w:pPr>
            <w:r w:rsidRPr="00450DFA">
              <w:rPr>
                <w:b/>
                <w:lang w:val="en-US" w:eastAsia="en-US" w:bidi="ar-SA"/>
              </w:rPr>
              <w:t>Step</w:t>
            </w:r>
            <w:r>
              <w:rPr>
                <w:b/>
                <w:lang w:val="en-US" w:eastAsia="en-US" w:bidi="ar-SA"/>
              </w:rPr>
              <w:t xml:space="preserve"> </w:t>
            </w:r>
            <w:r w:rsidRPr="00924A76">
              <w:rPr>
                <w:b/>
                <w:color w:val="FF0000"/>
                <w:lang w:val="en-US" w:eastAsia="en-US" w:bidi="ar-SA"/>
              </w:rPr>
              <w:t>(system)</w:t>
            </w:r>
          </w:p>
        </w:tc>
        <w:tc>
          <w:tcPr>
            <w:tcW w:w="2719" w:type="dxa"/>
          </w:tcPr>
          <w:p w14:paraId="2E48BF79" w14:textId="77777777" w:rsidR="00E004F9" w:rsidRPr="00450DFA" w:rsidRDefault="00E004F9" w:rsidP="009F422B">
            <w:pPr>
              <w:pStyle w:val="NoSpacing"/>
              <w:jc w:val="center"/>
              <w:rPr>
                <w:b/>
                <w:lang w:val="en-US" w:eastAsia="en-US" w:bidi="ar-SA"/>
              </w:rPr>
            </w:pPr>
            <w:r w:rsidRPr="00450DFA">
              <w:rPr>
                <w:b/>
                <w:lang w:val="en-US" w:eastAsia="en-US" w:bidi="ar-SA"/>
              </w:rPr>
              <w:t>Relevant script</w:t>
            </w:r>
          </w:p>
        </w:tc>
        <w:tc>
          <w:tcPr>
            <w:tcW w:w="4472" w:type="dxa"/>
          </w:tcPr>
          <w:p w14:paraId="37E642C6" w14:textId="77777777" w:rsidR="00E004F9" w:rsidRPr="00450DFA" w:rsidRDefault="00E004F9" w:rsidP="009F422B">
            <w:pPr>
              <w:pStyle w:val="NoSpacing"/>
              <w:jc w:val="center"/>
              <w:rPr>
                <w:b/>
                <w:lang w:val="en-US" w:eastAsia="en-US" w:bidi="ar-SA"/>
              </w:rPr>
            </w:pPr>
            <w:r w:rsidRPr="00450DFA">
              <w:rPr>
                <w:b/>
                <w:lang w:val="en-US" w:eastAsia="en-US" w:bidi="ar-SA"/>
              </w:rPr>
              <w:t>Purpose</w:t>
            </w:r>
          </w:p>
        </w:tc>
      </w:tr>
      <w:tr w:rsidR="00E004F9" w14:paraId="703046E6" w14:textId="77777777" w:rsidTr="009F422B">
        <w:tc>
          <w:tcPr>
            <w:tcW w:w="3369" w:type="dxa"/>
            <w:vMerge w:val="restart"/>
            <w:shd w:val="clear" w:color="auto" w:fill="EDEDED" w:themeFill="accent3" w:themeFillTint="33"/>
          </w:tcPr>
          <w:p w14:paraId="6906E3EF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Rename 365d calendar to leap year calendar</w:t>
            </w:r>
          </w:p>
          <w:p w14:paraId="486349C0" w14:textId="77777777" w:rsidR="00E004F9" w:rsidRDefault="00E004F9" w:rsidP="009F422B">
            <w:pPr>
              <w:pStyle w:val="NoSpacing"/>
              <w:ind w:left="284"/>
              <w:rPr>
                <w:i/>
                <w:lang w:val="en-US" w:eastAsia="en-US" w:bidi="ar-SA"/>
              </w:rPr>
            </w:pPr>
            <w:r w:rsidRPr="00450DFA">
              <w:rPr>
                <w:i/>
                <w:lang w:val="en-US" w:eastAsia="en-US" w:bidi="ar-SA"/>
              </w:rPr>
              <w:t>HadGEM was 360d first but later AL reran his codes to generate it in 365d calendar and run it as the rest</w:t>
            </w:r>
          </w:p>
          <w:p w14:paraId="2411233E" w14:textId="77777777" w:rsidR="00E004F9" w:rsidRPr="00450DFA" w:rsidRDefault="00E004F9" w:rsidP="009F422B">
            <w:pPr>
              <w:pStyle w:val="NoSpacing"/>
              <w:ind w:left="284"/>
              <w:rPr>
                <w:i/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</w:t>
            </w:r>
            <w:r w:rsidRPr="00450DFA">
              <w:rPr>
                <w:i/>
                <w:color w:val="FF0000"/>
                <w:lang w:val="en-US" w:eastAsia="en-US" w:bidi="ar-SA"/>
              </w:rPr>
              <w:t>EEJIT</w:t>
            </w:r>
            <w:r>
              <w:rPr>
                <w:i/>
                <w:color w:val="FF0000"/>
                <w:lang w:val="en-US" w:eastAsia="en-US" w:bidi="ar-SA"/>
              </w:rPr>
              <w:t>)</w:t>
            </w:r>
          </w:p>
        </w:tc>
        <w:tc>
          <w:tcPr>
            <w:tcW w:w="2719" w:type="dxa"/>
            <w:shd w:val="clear" w:color="auto" w:fill="EDEDED" w:themeFill="accent3" w:themeFillTint="33"/>
          </w:tcPr>
          <w:p w14:paraId="4081C8DB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re-index_365d.r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4E035066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Rename 365d GCMs to leap year and copy to my forcing dir</w:t>
            </w:r>
          </w:p>
        </w:tc>
      </w:tr>
      <w:tr w:rsidR="00E004F9" w14:paraId="3B4F0811" w14:textId="77777777" w:rsidTr="009F422B">
        <w:tc>
          <w:tcPr>
            <w:tcW w:w="3369" w:type="dxa"/>
            <w:vMerge/>
            <w:shd w:val="clear" w:color="auto" w:fill="EDEDED" w:themeFill="accent3" w:themeFillTint="33"/>
          </w:tcPr>
          <w:p w14:paraId="071CCA56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DEDED" w:themeFill="accent3" w:themeFillTint="33"/>
          </w:tcPr>
          <w:p w14:paraId="768B048E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re-index_360d_to_leap.R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4E3AA815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Rename 360d HadGEM GCMs to leap year and copy to my forcing dir</w:t>
            </w:r>
          </w:p>
        </w:tc>
      </w:tr>
      <w:tr w:rsidR="00E004F9" w14:paraId="77E16A9E" w14:textId="77777777" w:rsidTr="009F422B">
        <w:tc>
          <w:tcPr>
            <w:tcW w:w="3369" w:type="dxa"/>
            <w:vMerge/>
            <w:shd w:val="clear" w:color="auto" w:fill="EDEDED" w:themeFill="accent3" w:themeFillTint="33"/>
          </w:tcPr>
          <w:p w14:paraId="61F5573B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DEDED" w:themeFill="accent3" w:themeFillTint="33"/>
          </w:tcPr>
          <w:p w14:paraId="1C205138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countFiles.sh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1ED8A292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Check that file counts in my forcing dir are correct – 31411 files for 86 years</w:t>
            </w:r>
          </w:p>
        </w:tc>
      </w:tr>
      <w:tr w:rsidR="00E004F9" w14:paraId="38AF8233" w14:textId="77777777" w:rsidTr="009F422B">
        <w:tc>
          <w:tcPr>
            <w:tcW w:w="3369" w:type="dxa"/>
            <w:vMerge w:val="restart"/>
            <w:shd w:val="clear" w:color="auto" w:fill="EDEDED" w:themeFill="accent3" w:themeFillTint="33"/>
          </w:tcPr>
          <w:p w14:paraId="1DC4165A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Run SPHY model for future models for entire timeperiods</w:t>
            </w:r>
          </w:p>
          <w:p w14:paraId="069A445B" w14:textId="77777777" w:rsidR="00E004F9" w:rsidRPr="00450DFA" w:rsidRDefault="00E004F9" w:rsidP="009F422B">
            <w:pPr>
              <w:pStyle w:val="NoSpacing"/>
              <w:ind w:left="284"/>
              <w:rPr>
                <w:i/>
                <w:lang w:val="en-US" w:eastAsia="en-US" w:bidi="ar-SA"/>
              </w:rPr>
            </w:pPr>
            <w:r w:rsidRPr="00450DFA">
              <w:rPr>
                <w:i/>
                <w:lang w:val="en-US" w:eastAsia="en-US" w:bidi="ar-SA"/>
              </w:rPr>
              <w:t>R</w:t>
            </w:r>
            <w:r>
              <w:rPr>
                <w:i/>
                <w:lang w:val="en-US" w:eastAsia="en-US" w:bidi="ar-SA"/>
              </w:rPr>
              <w:t>an historical separately as it got overwritten somehow</w:t>
            </w:r>
          </w:p>
          <w:p w14:paraId="673CF960" w14:textId="77777777" w:rsidR="00E004F9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  <w:p w14:paraId="2937B90F" w14:textId="77777777" w:rsidR="00E004F9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  <w:p w14:paraId="59C33E7A" w14:textId="77777777" w:rsidR="00E004F9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  <w:p w14:paraId="3240B9D8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</w:t>
            </w:r>
            <w:r w:rsidRPr="00450DFA">
              <w:rPr>
                <w:i/>
                <w:color w:val="FF0000"/>
                <w:lang w:val="en-US" w:eastAsia="en-US" w:bidi="ar-SA"/>
              </w:rPr>
              <w:t>EEJIT</w:t>
            </w:r>
            <w:r>
              <w:rPr>
                <w:i/>
                <w:color w:val="FF0000"/>
                <w:lang w:val="en-US" w:eastAsia="en-US" w:bidi="ar-SA"/>
              </w:rPr>
              <w:t>)</w:t>
            </w:r>
          </w:p>
        </w:tc>
        <w:tc>
          <w:tcPr>
            <w:tcW w:w="2719" w:type="dxa"/>
            <w:shd w:val="clear" w:color="auto" w:fill="EDEDED" w:themeFill="accent3" w:themeFillTint="33"/>
          </w:tcPr>
          <w:p w14:paraId="7826600B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create_run_MultConfig.py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733F7842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Create file structure for output folder to be same a forcing dir.</w:t>
            </w:r>
          </w:p>
          <w:p w14:paraId="64F57C54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Add one config file for each ssp-GCM name</w:t>
            </w:r>
          </w:p>
        </w:tc>
      </w:tr>
      <w:tr w:rsidR="00E004F9" w14:paraId="488310C6" w14:textId="77777777" w:rsidTr="009F422B">
        <w:tc>
          <w:tcPr>
            <w:tcW w:w="3369" w:type="dxa"/>
            <w:vMerge/>
            <w:shd w:val="clear" w:color="auto" w:fill="EDEDED" w:themeFill="accent3" w:themeFillTint="33"/>
          </w:tcPr>
          <w:p w14:paraId="4022B6A5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DEDED" w:themeFill="accent3" w:themeFillTint="33"/>
          </w:tcPr>
          <w:p w14:paraId="0EC5A2CC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</w:p>
        </w:tc>
        <w:tc>
          <w:tcPr>
            <w:tcW w:w="4472" w:type="dxa"/>
            <w:shd w:val="clear" w:color="auto" w:fill="EDEDED" w:themeFill="accent3" w:themeFillTint="33"/>
          </w:tcPr>
          <w:p w14:paraId="4F033131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Manually create/relocate config file for hist and create output folder for hist</w:t>
            </w:r>
          </w:p>
        </w:tc>
      </w:tr>
      <w:tr w:rsidR="00E004F9" w14:paraId="5245C5E2" w14:textId="77777777" w:rsidTr="009F422B">
        <w:tc>
          <w:tcPr>
            <w:tcW w:w="3369" w:type="dxa"/>
            <w:vMerge/>
            <w:shd w:val="clear" w:color="auto" w:fill="EDEDED" w:themeFill="accent3" w:themeFillTint="33"/>
          </w:tcPr>
          <w:p w14:paraId="67274BF3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DEDED" w:themeFill="accent3" w:themeFillTint="33"/>
          </w:tcPr>
          <w:p w14:paraId="6999A92D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runSPHY_eejitparallel.sh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46FC25DF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Check if code needs any other changes to ensure all new config files are accessible. Do not run the code. It is called by the schedule_SPHY code instead.</w:t>
            </w:r>
          </w:p>
        </w:tc>
      </w:tr>
      <w:tr w:rsidR="00E004F9" w14:paraId="7A1C84A3" w14:textId="77777777" w:rsidTr="009F422B">
        <w:tc>
          <w:tcPr>
            <w:tcW w:w="3369" w:type="dxa"/>
            <w:vMerge/>
            <w:shd w:val="clear" w:color="auto" w:fill="EDEDED" w:themeFill="accent3" w:themeFillTint="33"/>
          </w:tcPr>
          <w:p w14:paraId="59C56231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DEDED" w:themeFill="accent3" w:themeFillTint="33"/>
          </w:tcPr>
          <w:p w14:paraId="0454CBA5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/addons/</w:t>
            </w:r>
            <w:r w:rsidRPr="00AD1AF5">
              <w:rPr>
                <w:lang w:val="en-US" w:eastAsia="en-US" w:bidi="ar-SA"/>
              </w:rPr>
              <w:t>schedule_SPHY.sh</w:t>
            </w:r>
          </w:p>
        </w:tc>
        <w:tc>
          <w:tcPr>
            <w:tcW w:w="4472" w:type="dxa"/>
            <w:shd w:val="clear" w:color="auto" w:fill="EDEDED" w:themeFill="accent3" w:themeFillTint="33"/>
          </w:tcPr>
          <w:p w14:paraId="44152440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Change jobname, processors and time regd in the code. Use </w:t>
            </w:r>
            <w:r w:rsidRPr="00CE4F18">
              <w:rPr>
                <w:color w:val="FF0000"/>
                <w:lang w:val="en-US" w:eastAsia="en-US" w:bidi="ar-SA"/>
              </w:rPr>
              <w:t xml:space="preserve">sbatch </w:t>
            </w:r>
            <w:r>
              <w:rPr>
                <w:lang w:val="en-US" w:eastAsia="en-US" w:bidi="ar-SA"/>
              </w:rPr>
              <w:t>to submit job to eejit and run all sphy models in parallel</w:t>
            </w:r>
          </w:p>
        </w:tc>
      </w:tr>
      <w:tr w:rsidR="00E004F9" w14:paraId="75C23D99" w14:textId="77777777" w:rsidTr="009F422B">
        <w:tc>
          <w:tcPr>
            <w:tcW w:w="3369" w:type="dxa"/>
            <w:vMerge w:val="restart"/>
            <w:shd w:val="clear" w:color="auto" w:fill="FFE599" w:themeFill="accent4" w:themeFillTint="66"/>
          </w:tcPr>
          <w:p w14:paraId="331955CE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Take longterm monthly averages (LTMA) for specific 30 years mid and future timeframes</w:t>
            </w:r>
          </w:p>
          <w:p w14:paraId="6DFD8B96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</w:t>
            </w:r>
            <w:r w:rsidRPr="00450DFA">
              <w:rPr>
                <w:i/>
                <w:color w:val="FF0000"/>
                <w:lang w:val="en-US" w:eastAsia="en-US" w:bidi="ar-SA"/>
              </w:rPr>
              <w:t>EEJIT</w:t>
            </w:r>
            <w:r>
              <w:rPr>
                <w:i/>
                <w:color w:val="FF0000"/>
                <w:lang w:val="en-US" w:eastAsia="en-US" w:bidi="ar-SA"/>
              </w:rPr>
              <w:t>)</w:t>
            </w:r>
          </w:p>
        </w:tc>
        <w:tc>
          <w:tcPr>
            <w:tcW w:w="2719" w:type="dxa"/>
            <w:shd w:val="clear" w:color="auto" w:fill="FFE599" w:themeFill="accent4" w:themeFillTint="66"/>
          </w:tcPr>
          <w:p w14:paraId="32E0EBD5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/postprocess/</w:t>
            </w:r>
            <w:r w:rsidRPr="00450DFA">
              <w:rPr>
                <w:lang w:val="en-US" w:eastAsia="en-US" w:bidi="ar-SA"/>
              </w:rPr>
              <w:t>get_LTavgmonTS_from_monTS.py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79C42B68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Generate filename indices for selected time frame and take long term avgs. Files are read from UIB_output_all and saved to a new folder UIB_outputs_LTMavgs</w:t>
            </w:r>
          </w:p>
        </w:tc>
      </w:tr>
      <w:tr w:rsidR="00E004F9" w14:paraId="13D2BE2A" w14:textId="77777777" w:rsidTr="009F422B">
        <w:tc>
          <w:tcPr>
            <w:tcW w:w="3369" w:type="dxa"/>
            <w:vMerge/>
            <w:shd w:val="clear" w:color="auto" w:fill="FFE599" w:themeFill="accent4" w:themeFillTint="66"/>
          </w:tcPr>
          <w:p w14:paraId="37C20A7F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FFE599" w:themeFill="accent4" w:themeFillTint="66"/>
          </w:tcPr>
          <w:p w14:paraId="2A1983FA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7A19DE">
              <w:rPr>
                <w:lang w:val="en-US" w:eastAsia="en-US" w:bidi="ar-SA"/>
              </w:rPr>
              <w:t>UIB_basic_model</w:t>
            </w:r>
            <w:r>
              <w:rPr>
                <w:lang w:val="en-US" w:eastAsia="en-US" w:bidi="ar-SA"/>
              </w:rPr>
              <w:t>/postprocess/</w:t>
            </w:r>
            <w:r w:rsidRPr="00450DFA">
              <w:rPr>
                <w:lang w:val="en-US" w:eastAsia="en-US" w:bidi="ar-SA"/>
              </w:rPr>
              <w:t>schedule_pyscript.sh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2FE8DF7E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 xml:space="preserve">Use </w:t>
            </w:r>
            <w:r w:rsidRPr="00CE4F18">
              <w:rPr>
                <w:color w:val="FF0000"/>
                <w:lang w:val="en-US" w:eastAsia="en-US" w:bidi="ar-SA"/>
              </w:rPr>
              <w:t xml:space="preserve">sbatch </w:t>
            </w:r>
            <w:r>
              <w:rPr>
                <w:lang w:val="en-US" w:eastAsia="en-US" w:bidi="ar-SA"/>
              </w:rPr>
              <w:t>to submit job to eejit and run the processing of all future time frames</w:t>
            </w:r>
          </w:p>
        </w:tc>
      </w:tr>
      <w:tr w:rsidR="00E004F9" w14:paraId="175BB4A7" w14:textId="77777777" w:rsidTr="009F422B">
        <w:tc>
          <w:tcPr>
            <w:tcW w:w="3369" w:type="dxa"/>
            <w:vMerge w:val="restart"/>
            <w:shd w:val="clear" w:color="auto" w:fill="FFE599" w:themeFill="accent4" w:themeFillTint="66"/>
          </w:tcPr>
          <w:p w14:paraId="16D61F7C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Route future LTMA files for 5km-Runoff to get 500m-Discharges for future timeframes</w:t>
            </w:r>
            <w:r>
              <w:rPr>
                <w:lang w:val="en-US" w:eastAsia="en-US" w:bidi="ar-SA"/>
              </w:rPr>
              <w:br/>
            </w:r>
          </w:p>
          <w:p w14:paraId="2F82A3CD" w14:textId="77777777" w:rsidR="00E004F9" w:rsidRPr="00924A76" w:rsidRDefault="00E004F9" w:rsidP="009F422B">
            <w:pPr>
              <w:pStyle w:val="NoSpacing"/>
              <w:ind w:left="284"/>
              <w:rPr>
                <w:i/>
                <w:lang w:val="en-US" w:eastAsia="en-US" w:bidi="ar-SA"/>
              </w:rPr>
            </w:pPr>
            <w:r w:rsidRPr="00924A76">
              <w:rPr>
                <w:i/>
                <w:lang w:val="en-US" w:eastAsia="en-US" w:bidi="ar-SA"/>
              </w:rPr>
              <w:t>HPC access was not setup at this time. Probably could be faster on HPC</w:t>
            </w:r>
          </w:p>
          <w:p w14:paraId="41D2BB73" w14:textId="77777777" w:rsidR="00E004F9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(UU_PC)</w:t>
            </w:r>
          </w:p>
        </w:tc>
        <w:tc>
          <w:tcPr>
            <w:tcW w:w="2719" w:type="dxa"/>
            <w:shd w:val="clear" w:color="auto" w:fill="FFE599" w:themeFill="accent4" w:themeFillTint="66"/>
          </w:tcPr>
          <w:p w14:paraId="4C6E0BA9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 w:rsidRPr="00914544">
              <w:rPr>
                <w:lang w:val="en-US" w:eastAsia="en-US" w:bidi="ar-SA"/>
              </w:rPr>
              <w:t>HPmodel</w:t>
            </w:r>
            <w:r>
              <w:rPr>
                <w:lang w:val="en-US" w:eastAsia="en-US" w:bidi="ar-SA"/>
              </w:rPr>
              <w:t>/</w:t>
            </w:r>
            <w:r w:rsidRPr="00914544">
              <w:rPr>
                <w:lang w:val="en-US" w:eastAsia="en-US" w:bidi="ar-SA"/>
              </w:rPr>
              <w:t>data</w:t>
            </w:r>
            <w:r>
              <w:rPr>
                <w:lang w:val="en-US" w:eastAsia="en-US" w:bidi="ar-SA"/>
              </w:rPr>
              <w:t>/</w:t>
            </w:r>
            <w:r w:rsidRPr="00914544">
              <w:rPr>
                <w:lang w:val="en-US" w:eastAsia="en-US" w:bidi="ar-SA"/>
              </w:rPr>
              <w:t>data_prep</w:t>
            </w:r>
            <w:r>
              <w:rPr>
                <w:lang w:val="en-US" w:eastAsia="en-US" w:bidi="ar-SA"/>
              </w:rPr>
              <w:t>/</w:t>
            </w:r>
            <w:r w:rsidRPr="00914544">
              <w:rPr>
                <w:lang w:val="en-US" w:eastAsia="en-US" w:bidi="ar-SA"/>
              </w:rPr>
              <w:t>UIB_outputs_LTMavgs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34C226EA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Manually download the LTMA .map files from eejit to data folder</w:t>
            </w:r>
          </w:p>
        </w:tc>
      </w:tr>
      <w:tr w:rsidR="00E004F9" w14:paraId="06066A33" w14:textId="77777777" w:rsidTr="009F422B">
        <w:tc>
          <w:tcPr>
            <w:tcW w:w="3369" w:type="dxa"/>
            <w:vMerge/>
            <w:shd w:val="clear" w:color="auto" w:fill="FFE599" w:themeFill="accent4" w:themeFillTint="66"/>
          </w:tcPr>
          <w:p w14:paraId="342E35BF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FFE599" w:themeFill="accent4" w:themeFillTint="66"/>
          </w:tcPr>
          <w:p w14:paraId="6BD0BA60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Hydrus/data_prep/</w:t>
            </w:r>
            <w:r w:rsidRPr="00924A76">
              <w:rPr>
                <w:lang w:val="en-US" w:eastAsia="en-US" w:bidi="ar-SA"/>
              </w:rPr>
              <w:t>data_prep_scripts_fut</w:t>
            </w:r>
            <w:r>
              <w:rPr>
                <w:lang w:val="en-US" w:eastAsia="en-US" w:bidi="ar-SA"/>
              </w:rPr>
              <w:t>/</w:t>
            </w:r>
            <w:r w:rsidRPr="00450DFA">
              <w:rPr>
                <w:lang w:val="en-US" w:eastAsia="en-US" w:bidi="ar-SA"/>
              </w:rPr>
              <w:t>ProcessSPHY_futureRmaps.m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418AD47C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Convert LTMA .map files to .tiff and save it as .mat for use in matlab</w:t>
            </w:r>
          </w:p>
        </w:tc>
      </w:tr>
      <w:tr w:rsidR="00E004F9" w14:paraId="38CFD839" w14:textId="77777777" w:rsidTr="009F422B">
        <w:tc>
          <w:tcPr>
            <w:tcW w:w="3369" w:type="dxa"/>
            <w:vMerge/>
            <w:shd w:val="clear" w:color="auto" w:fill="FFE599" w:themeFill="accent4" w:themeFillTint="66"/>
          </w:tcPr>
          <w:p w14:paraId="3F24CF24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FFE599" w:themeFill="accent4" w:themeFillTint="66"/>
          </w:tcPr>
          <w:p w14:paraId="022B5CCB" w14:textId="77777777" w:rsidR="00E004F9" w:rsidRPr="00AD1AF5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Hydrus/data_prep/</w:t>
            </w:r>
            <w:r>
              <w:t xml:space="preserve"> </w:t>
            </w:r>
            <w:r w:rsidRPr="007A19DE">
              <w:rPr>
                <w:lang w:val="en-US" w:eastAsia="en-US" w:bidi="ar-SA"/>
              </w:rPr>
              <w:t>downscale_Q</w:t>
            </w:r>
            <w:r>
              <w:rPr>
                <w:lang w:val="en-US" w:eastAsia="en-US" w:bidi="ar-SA"/>
              </w:rPr>
              <w:t>/</w:t>
            </w:r>
            <w:r w:rsidRPr="00450DFA">
              <w:rPr>
                <w:lang w:val="en-US" w:eastAsia="en-US" w:bidi="ar-SA"/>
              </w:rPr>
              <w:t>DownscaleQ_wWC_future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54937A83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Load .mat files and perform discharge routing to get 500m monthly Q LTMA .mat files</w:t>
            </w:r>
          </w:p>
        </w:tc>
      </w:tr>
      <w:tr w:rsidR="00E004F9" w14:paraId="4BC5D4A6" w14:textId="77777777" w:rsidTr="009F422B">
        <w:tc>
          <w:tcPr>
            <w:tcW w:w="3369" w:type="dxa"/>
            <w:shd w:val="clear" w:color="auto" w:fill="FFE599" w:themeFill="accent4" w:themeFillTint="66"/>
          </w:tcPr>
          <w:p w14:paraId="18A6CB04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Evaluate design discharge for future timeframes</w:t>
            </w:r>
          </w:p>
          <w:p w14:paraId="51C716CB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(HPC)</w:t>
            </w:r>
          </w:p>
        </w:tc>
        <w:tc>
          <w:tcPr>
            <w:tcW w:w="2719" w:type="dxa"/>
            <w:shd w:val="clear" w:color="auto" w:fill="FFE599" w:themeFill="accent4" w:themeFillTint="66"/>
          </w:tcPr>
          <w:p w14:paraId="5DC24861" w14:textId="77777777" w:rsidR="00E004F9" w:rsidRPr="00450DFA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Hydrus/data_prep/</w:t>
            </w:r>
            <w:r>
              <w:t xml:space="preserve"> </w:t>
            </w:r>
            <w:r>
              <w:rPr>
                <w:lang w:val="en-US" w:eastAsia="en-US" w:bidi="ar-SA"/>
              </w:rPr>
              <w:t>data_prep_scripts/</w:t>
            </w:r>
            <w:r w:rsidRPr="00450DFA">
              <w:rPr>
                <w:lang w:val="en-US" w:eastAsia="en-US" w:bidi="ar-SA"/>
              </w:rPr>
              <w:t>EvalDesignFlows_FutQ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015F9AE4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Evaluate design discharge using the 500m monthly Q .mat files</w:t>
            </w:r>
          </w:p>
        </w:tc>
      </w:tr>
      <w:tr w:rsidR="00E004F9" w14:paraId="0B422CF7" w14:textId="77777777" w:rsidTr="009F422B">
        <w:tc>
          <w:tcPr>
            <w:tcW w:w="3369" w:type="dxa"/>
            <w:shd w:val="clear" w:color="auto" w:fill="BDD6EE" w:themeFill="accent5" w:themeFillTint="66"/>
          </w:tcPr>
          <w:p w14:paraId="7F7BCA81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lastRenderedPageBreak/>
              <w:t>Run HyPE for future scenarios in parallel</w:t>
            </w:r>
          </w:p>
          <w:p w14:paraId="4B14B93D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(HPC)</w:t>
            </w:r>
          </w:p>
        </w:tc>
        <w:tc>
          <w:tcPr>
            <w:tcW w:w="2719" w:type="dxa"/>
            <w:shd w:val="clear" w:color="auto" w:fill="BDD6EE" w:themeFill="accent5" w:themeFillTint="66"/>
          </w:tcPr>
          <w:p w14:paraId="75133518" w14:textId="77777777" w:rsidR="00E004F9" w:rsidRPr="00450DFA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</w:t>
            </w:r>
            <w:r w:rsidRPr="009605BA">
              <w:rPr>
                <w:lang w:val="en-US" w:eastAsia="en-US" w:bidi="ar-SA"/>
              </w:rPr>
              <w:t>RunFutScenarios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BDD6EE" w:themeFill="accent5" w:themeFillTint="66"/>
          </w:tcPr>
          <w:p w14:paraId="7CE8D50C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Load old basin file, then load new Q files for each future scenarios to runHydrus model to get tech/fin/sust potential</w:t>
            </w:r>
          </w:p>
        </w:tc>
      </w:tr>
      <w:tr w:rsidR="00E004F9" w14:paraId="232A95FC" w14:textId="77777777" w:rsidTr="009F422B">
        <w:tc>
          <w:tcPr>
            <w:tcW w:w="3369" w:type="dxa"/>
            <w:vMerge w:val="restart"/>
            <w:shd w:val="clear" w:color="auto" w:fill="FFE599" w:themeFill="accent4" w:themeFillTint="66"/>
          </w:tcPr>
          <w:p w14:paraId="2E64A370" w14:textId="77777777" w:rsidR="00E004F9" w:rsidRDefault="00E004F9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Evaluate discharge time series (TS) for future timeframes</w:t>
            </w:r>
          </w:p>
          <w:p w14:paraId="65DEBCFA" w14:textId="77777777" w:rsidR="00E004F9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(UU_PC) (HPC)</w:t>
            </w:r>
          </w:p>
        </w:tc>
        <w:tc>
          <w:tcPr>
            <w:tcW w:w="2719" w:type="dxa"/>
            <w:shd w:val="clear" w:color="auto" w:fill="FFE599" w:themeFill="accent4" w:themeFillTint="66"/>
          </w:tcPr>
          <w:p w14:paraId="2D04B2FD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SPHY_UIB/UIB_outputs_all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28536A87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Manually download the monthly runoff TS .map files from eejit to data folder</w:t>
            </w:r>
          </w:p>
        </w:tc>
      </w:tr>
      <w:tr w:rsidR="00E004F9" w14:paraId="268452C8" w14:textId="77777777" w:rsidTr="009F422B">
        <w:tc>
          <w:tcPr>
            <w:tcW w:w="3369" w:type="dxa"/>
            <w:vMerge/>
            <w:shd w:val="clear" w:color="auto" w:fill="FFE599" w:themeFill="accent4" w:themeFillTint="66"/>
          </w:tcPr>
          <w:p w14:paraId="33C8AF54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FFE599" w:themeFill="accent4" w:themeFillTint="66"/>
          </w:tcPr>
          <w:p w14:paraId="34FAE7A2" w14:textId="77777777" w:rsidR="00E004F9" w:rsidRPr="00450DFA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Hydrus/data_prep/</w:t>
            </w:r>
            <w:r w:rsidRPr="00924A76">
              <w:rPr>
                <w:lang w:val="en-US" w:eastAsia="en-US" w:bidi="ar-SA"/>
              </w:rPr>
              <w:t>data_prep_scripts_fut</w:t>
            </w:r>
            <w:r>
              <w:rPr>
                <w:lang w:val="en-US" w:eastAsia="en-US" w:bidi="ar-SA"/>
              </w:rPr>
              <w:t>/</w:t>
            </w:r>
            <w:r w:rsidRPr="00FE27F1">
              <w:rPr>
                <w:lang w:val="en-US" w:eastAsia="en-US" w:bidi="ar-SA"/>
              </w:rPr>
              <w:t>ProcessSPHY_futureRmaps_TS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1894FB95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Convert 5km runoff TS .map files to .tiff</w:t>
            </w:r>
          </w:p>
        </w:tc>
      </w:tr>
      <w:tr w:rsidR="00E004F9" w14:paraId="295992FC" w14:textId="77777777" w:rsidTr="009F422B">
        <w:tc>
          <w:tcPr>
            <w:tcW w:w="3369" w:type="dxa"/>
            <w:vMerge/>
            <w:shd w:val="clear" w:color="auto" w:fill="FFE599" w:themeFill="accent4" w:themeFillTint="66"/>
          </w:tcPr>
          <w:p w14:paraId="3D68795B" w14:textId="77777777" w:rsidR="00E004F9" w:rsidRPr="00AD1AF5" w:rsidRDefault="00E004F9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FFE599" w:themeFill="accent4" w:themeFillTint="66"/>
          </w:tcPr>
          <w:p w14:paraId="6C046276" w14:textId="77777777" w:rsidR="00E004F9" w:rsidRPr="00450DFA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Hydrus/data_prep/</w:t>
            </w:r>
            <w:r>
              <w:t xml:space="preserve"> </w:t>
            </w:r>
            <w:r w:rsidRPr="007A19DE">
              <w:rPr>
                <w:lang w:val="en-US" w:eastAsia="en-US" w:bidi="ar-SA"/>
              </w:rPr>
              <w:t>downscale_Q</w:t>
            </w:r>
            <w:r>
              <w:rPr>
                <w:lang w:val="en-US" w:eastAsia="en-US" w:bidi="ar-SA"/>
              </w:rPr>
              <w:t>/DownscaleQ_TS</w:t>
            </w:r>
            <w:r w:rsidRPr="00450DFA">
              <w:rPr>
                <w:lang w:val="en-US" w:eastAsia="en-US" w:bidi="ar-SA"/>
              </w:rPr>
              <w:t>_future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shd w:val="clear" w:color="auto" w:fill="FFE599" w:themeFill="accent4" w:themeFillTint="66"/>
          </w:tcPr>
          <w:p w14:paraId="7F4230DD" w14:textId="77777777" w:rsidR="00E004F9" w:rsidRDefault="00E004F9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Load 5km tiff files and perform discharge routing to get 500m monthly Q TS .mat files</w:t>
            </w:r>
          </w:p>
        </w:tc>
      </w:tr>
      <w:tr w:rsidR="00DA3907" w14:paraId="5B040443" w14:textId="77777777" w:rsidTr="009F422B">
        <w:tc>
          <w:tcPr>
            <w:tcW w:w="3369" w:type="dxa"/>
            <w:vMerge w:val="restart"/>
            <w:shd w:val="clear" w:color="auto" w:fill="E2EFD9" w:themeFill="accent6" w:themeFillTint="33"/>
          </w:tcPr>
          <w:p w14:paraId="6C689B65" w14:textId="77777777" w:rsidR="00DA3907" w:rsidRDefault="00DA3907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Prepare plots</w:t>
            </w:r>
          </w:p>
          <w:p w14:paraId="041E6755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 xml:space="preserve">(UU_PC) </w:t>
            </w:r>
          </w:p>
        </w:tc>
        <w:tc>
          <w:tcPr>
            <w:tcW w:w="2719" w:type="dxa"/>
            <w:shd w:val="clear" w:color="auto" w:fill="E2EFD9" w:themeFill="accent6" w:themeFillTint="33"/>
          </w:tcPr>
          <w:p w14:paraId="1D6EE240" w14:textId="77777777" w:rsidR="00DA3907" w:rsidRPr="00450DFA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F33AD3">
              <w:rPr>
                <w:lang w:val="en-US" w:eastAsia="en-US" w:bidi="ar-SA"/>
              </w:rPr>
              <w:t>PlotTheoreticalPotential_Fut.m</w:t>
            </w:r>
          </w:p>
        </w:tc>
        <w:tc>
          <w:tcPr>
            <w:tcW w:w="4472" w:type="dxa"/>
            <w:vMerge w:val="restart"/>
            <w:shd w:val="clear" w:color="auto" w:fill="E2EFD9" w:themeFill="accent6" w:themeFillTint="33"/>
          </w:tcPr>
          <w:p w14:paraId="41EA77D5" w14:textId="4B03512F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Refer to in code documentation</w:t>
            </w:r>
          </w:p>
        </w:tc>
      </w:tr>
      <w:tr w:rsidR="00DA3907" w14:paraId="539C7257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44246F08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44C466F0" w14:textId="77777777" w:rsidR="00DA3907" w:rsidRPr="00450DFA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F33AD3">
              <w:rPr>
                <w:lang w:val="en-US" w:eastAsia="en-US" w:bidi="ar-SA"/>
              </w:rPr>
              <w:t>GetTotals_Fut.m</w:t>
            </w:r>
            <w:r w:rsidRPr="00F33AD3">
              <w:rPr>
                <w:lang w:val="en-US" w:eastAsia="en-US" w:bidi="ar-SA"/>
              </w:rPr>
              <w:tab/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3DADE7A5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0ACEA0BB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33DB65CC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02DD160F" w14:textId="77777777" w:rsidR="00DA3907" w:rsidRPr="00F33AD3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F33AD3">
              <w:rPr>
                <w:lang w:val="en-US" w:eastAsia="en-US" w:bidi="ar-SA"/>
              </w:rPr>
              <w:t>PlotSubBasinWisePotential_Fut.m</w:t>
            </w:r>
            <w:r w:rsidRPr="00F33AD3">
              <w:rPr>
                <w:lang w:val="en-US" w:eastAsia="en-US" w:bidi="ar-SA"/>
              </w:rPr>
              <w:tab/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76A3F3D8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023E6C18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33F8E8B2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6F03C86E" w14:textId="77777777" w:rsidR="00DA3907" w:rsidRPr="00A8181A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A8181A">
              <w:rPr>
                <w:lang w:val="en-US" w:eastAsia="en-US" w:bidi="ar-SA"/>
              </w:rPr>
              <w:t>PlotMultCostCurves_Fut.m</w:t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7F2D2702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4BCED633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2FC58BA4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488AF1E4" w14:textId="77777777" w:rsidR="00DA3907" w:rsidRPr="00A8181A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A8181A">
              <w:rPr>
                <w:lang w:val="en-US" w:eastAsia="en-US" w:bidi="ar-SA"/>
              </w:rPr>
              <w:t>PlotCostvsSizeScatter_Fut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156E841C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249F1640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58FC4CED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621FF73D" w14:textId="77777777" w:rsidR="00DA3907" w:rsidRPr="00A8181A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A8181A">
              <w:rPr>
                <w:lang w:val="en-US" w:eastAsia="en-US" w:bidi="ar-SA"/>
              </w:rPr>
              <w:t>CompareQ_future.m</w:t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7F5CC283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0A16BB54" w14:textId="77777777" w:rsidTr="009F422B">
        <w:tc>
          <w:tcPr>
            <w:tcW w:w="3369" w:type="dxa"/>
            <w:vMerge/>
            <w:shd w:val="clear" w:color="auto" w:fill="E2EFD9" w:themeFill="accent6" w:themeFillTint="33"/>
          </w:tcPr>
          <w:p w14:paraId="06255611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61638238" w14:textId="77777777" w:rsidR="00DA3907" w:rsidRPr="00F33AD3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9C3539">
              <w:rPr>
                <w:lang w:val="en-US" w:eastAsia="en-US" w:bidi="ar-SA"/>
              </w:rPr>
              <w:t>ProcessFutPopEnergyData</w:t>
            </w:r>
            <w:r>
              <w:rPr>
                <w:lang w:val="en-US" w:eastAsia="en-US" w:bidi="ar-SA"/>
              </w:rPr>
              <w:t>.m</w:t>
            </w:r>
          </w:p>
        </w:tc>
        <w:tc>
          <w:tcPr>
            <w:tcW w:w="4472" w:type="dxa"/>
            <w:vMerge/>
            <w:shd w:val="clear" w:color="auto" w:fill="E2EFD9" w:themeFill="accent6" w:themeFillTint="33"/>
          </w:tcPr>
          <w:p w14:paraId="41879973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</w:p>
        </w:tc>
      </w:tr>
      <w:tr w:rsidR="00DA3907" w14:paraId="001F194A" w14:textId="77777777" w:rsidTr="00E004F9">
        <w:tc>
          <w:tcPr>
            <w:tcW w:w="3369" w:type="dxa"/>
            <w:vMerge w:val="restart"/>
            <w:shd w:val="clear" w:color="auto" w:fill="E2EFD9" w:themeFill="accent6" w:themeFillTint="33"/>
          </w:tcPr>
          <w:p w14:paraId="251D443C" w14:textId="77777777" w:rsidR="00DA3907" w:rsidRDefault="00DA3907" w:rsidP="00E004F9">
            <w:pPr>
              <w:pStyle w:val="NoSpacing"/>
              <w:numPr>
                <w:ilvl w:val="0"/>
                <w:numId w:val="2"/>
              </w:numPr>
              <w:ind w:left="284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Evaluate HP performance</w:t>
            </w:r>
          </w:p>
          <w:p w14:paraId="6ECF668B" w14:textId="77777777" w:rsidR="00DA3907" w:rsidRPr="00AD1AF5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  <w:r>
              <w:rPr>
                <w:i/>
                <w:color w:val="FF0000"/>
                <w:lang w:val="en-US" w:eastAsia="en-US" w:bidi="ar-SA"/>
              </w:rPr>
              <w:t>(UU_PC) (HPC)</w:t>
            </w:r>
          </w:p>
        </w:tc>
        <w:tc>
          <w:tcPr>
            <w:tcW w:w="2719" w:type="dxa"/>
            <w:shd w:val="clear" w:color="auto" w:fill="E2EFD9" w:themeFill="accent6" w:themeFillTint="33"/>
          </w:tcPr>
          <w:p w14:paraId="259DDDE8" w14:textId="77777777" w:rsidR="00DA3907" w:rsidRPr="00F33AD3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FE28FD">
              <w:rPr>
                <w:lang w:val="en-US" w:eastAsia="en-US" w:bidi="ar-SA"/>
              </w:rPr>
              <w:t>SimulateHPproduction.m</w:t>
            </w:r>
          </w:p>
        </w:tc>
        <w:tc>
          <w:tcPr>
            <w:tcW w:w="4472" w:type="dxa"/>
            <w:shd w:val="clear" w:color="auto" w:fill="E2EFD9" w:themeFill="accent6" w:themeFillTint="33"/>
          </w:tcPr>
          <w:p w14:paraId="3456C70D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Compile optimal portfolios for all future scenarios and e</w:t>
            </w:r>
            <w:r w:rsidRPr="00E548B3">
              <w:rPr>
                <w:lang w:val="en-US" w:eastAsia="en-US" w:bidi="ar-SA"/>
              </w:rPr>
              <w:t>valuate actual energy generation at optimal HP projects under historical and future climate</w:t>
            </w:r>
          </w:p>
        </w:tc>
      </w:tr>
      <w:tr w:rsidR="00DA3907" w14:paraId="10CCBBEB" w14:textId="77777777" w:rsidTr="00E004F9">
        <w:tc>
          <w:tcPr>
            <w:tcW w:w="3369" w:type="dxa"/>
            <w:vMerge/>
            <w:shd w:val="clear" w:color="auto" w:fill="E2EFD9" w:themeFill="accent6" w:themeFillTint="33"/>
          </w:tcPr>
          <w:p w14:paraId="4419DE03" w14:textId="77777777" w:rsidR="00DA3907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2F66E06D" w14:textId="77777777" w:rsidR="00DA3907" w:rsidRPr="00FE28FD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CD6241">
              <w:rPr>
                <w:lang w:val="en-US" w:eastAsia="en-US" w:bidi="ar-SA"/>
              </w:rPr>
              <w:t>CompareHPperformance</w:t>
            </w:r>
            <w:r>
              <w:rPr>
                <w:lang w:val="en-US" w:eastAsia="en-US" w:bidi="ar-SA"/>
              </w:rPr>
              <w:t>_Fut.m</w:t>
            </w:r>
          </w:p>
        </w:tc>
        <w:tc>
          <w:tcPr>
            <w:tcW w:w="4472" w:type="dxa"/>
            <w:shd w:val="clear" w:color="auto" w:fill="E2EFD9" w:themeFill="accent6" w:themeFillTint="33"/>
          </w:tcPr>
          <w:p w14:paraId="18BC7477" w14:textId="77777777" w:rsidR="00DA3907" w:rsidRPr="00E548B3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R</w:t>
            </w:r>
            <w:r w:rsidRPr="001C5CF7">
              <w:rPr>
                <w:lang w:val="en-US" w:eastAsia="en-US" w:bidi="ar-SA"/>
              </w:rPr>
              <w:t>eview outputs of SimulateHPproduction and making exploratory plots</w:t>
            </w:r>
          </w:p>
        </w:tc>
      </w:tr>
      <w:tr w:rsidR="00DA3907" w14:paraId="19E6BF2B" w14:textId="77777777" w:rsidTr="00E004F9">
        <w:tc>
          <w:tcPr>
            <w:tcW w:w="3369" w:type="dxa"/>
            <w:vMerge/>
            <w:shd w:val="clear" w:color="auto" w:fill="E2EFD9" w:themeFill="accent6" w:themeFillTint="33"/>
          </w:tcPr>
          <w:p w14:paraId="1951F32D" w14:textId="77777777" w:rsidR="00DA3907" w:rsidRDefault="00DA3907" w:rsidP="009F422B">
            <w:pPr>
              <w:pStyle w:val="NoSpacing"/>
              <w:ind w:left="284"/>
              <w:rPr>
                <w:lang w:val="en-US" w:eastAsia="en-US" w:bidi="ar-SA"/>
              </w:rPr>
            </w:pPr>
          </w:p>
        </w:tc>
        <w:tc>
          <w:tcPr>
            <w:tcW w:w="2719" w:type="dxa"/>
            <w:shd w:val="clear" w:color="auto" w:fill="E2EFD9" w:themeFill="accent6" w:themeFillTint="33"/>
          </w:tcPr>
          <w:p w14:paraId="77EABFCA" w14:textId="77777777" w:rsidR="00DA3907" w:rsidRPr="00FE28FD" w:rsidRDefault="00DA3907" w:rsidP="009F422B">
            <w:pPr>
              <w:pStyle w:val="NoSpacing"/>
              <w:rPr>
                <w:lang w:val="en-US" w:eastAsia="en-US" w:bidi="ar-SA"/>
              </w:rPr>
            </w:pPr>
            <w:r w:rsidRPr="00CD6241">
              <w:rPr>
                <w:lang w:val="en-US" w:eastAsia="en-US" w:bidi="ar-SA"/>
              </w:rPr>
              <w:t>PlotHPperformance</w:t>
            </w:r>
            <w:r>
              <w:rPr>
                <w:lang w:val="en-US" w:eastAsia="en-US" w:bidi="ar-SA"/>
              </w:rPr>
              <w:t>_Fut.m</w:t>
            </w:r>
          </w:p>
        </w:tc>
        <w:tc>
          <w:tcPr>
            <w:tcW w:w="4472" w:type="dxa"/>
            <w:shd w:val="clear" w:color="auto" w:fill="E2EFD9" w:themeFill="accent6" w:themeFillTint="33"/>
          </w:tcPr>
          <w:p w14:paraId="03CC9C4D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TS analysis</w:t>
            </w:r>
          </w:p>
          <w:p w14:paraId="5B94E972" w14:textId="77777777" w:rsidR="00DA3907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Box plots</w:t>
            </w:r>
          </w:p>
          <w:p w14:paraId="7ACCB272" w14:textId="77777777" w:rsidR="00DA3907" w:rsidRPr="00E548B3" w:rsidRDefault="00DA3907" w:rsidP="009F422B">
            <w:pPr>
              <w:pStyle w:val="NoSpacing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Supply vs demand</w:t>
            </w:r>
          </w:p>
        </w:tc>
      </w:tr>
    </w:tbl>
    <w:p w14:paraId="37EC967B" w14:textId="77777777" w:rsidR="00EF0A45" w:rsidRDefault="00EF0A45"/>
    <w:p w14:paraId="257D998E" w14:textId="77777777" w:rsidR="00DA3907" w:rsidRDefault="00DA3907">
      <w:pPr>
        <w:spacing w:before="0" w:after="160" w:line="259" w:lineRule="auto"/>
        <w:rPr>
          <w:b/>
          <w:lang w:val="en-US" w:eastAsia="en-US" w:bidi="ar-SA"/>
        </w:rPr>
      </w:pPr>
      <w:r>
        <w:rPr>
          <w:lang w:val="en-US" w:eastAsia="en-US" w:bidi="ar-SA"/>
        </w:rPr>
        <w:br w:type="page"/>
      </w:r>
    </w:p>
    <w:p w14:paraId="4801E803" w14:textId="6079389C" w:rsidR="00DA3907" w:rsidRDefault="00DA3907" w:rsidP="00DA3907">
      <w:pPr>
        <w:pStyle w:val="Heading2"/>
        <w:numPr>
          <w:ilvl w:val="0"/>
          <w:numId w:val="0"/>
        </w:numPr>
        <w:rPr>
          <w:lang w:val="en-US" w:eastAsia="en-US" w:bidi="ar-SA"/>
        </w:rPr>
      </w:pPr>
      <w:r>
        <w:rPr>
          <w:lang w:val="en-US" w:eastAsia="en-US" w:bidi="ar-SA"/>
        </w:rPr>
        <w:lastRenderedPageBreak/>
        <w:t>Code flow for historical hydropower potential analysis</w:t>
      </w:r>
    </w:p>
    <w:p w14:paraId="0FCE5590" w14:textId="77777777" w:rsidR="00DA3907" w:rsidRPr="00DA3907" w:rsidRDefault="00DA3907" w:rsidP="00DA3907">
      <w:pPr>
        <w:rPr>
          <w:lang w:val="en-US" w:eastAsia="en-US" w:bidi="ar-SA"/>
        </w:rPr>
      </w:pPr>
    </w:p>
    <w:tbl>
      <w:tblPr>
        <w:tblW w:w="5686" w:type="pct"/>
        <w:tblInd w:w="-147" w:type="dxa"/>
        <w:tblLayout w:type="fixed"/>
        <w:tblLook w:val="04A0" w:firstRow="1" w:lastRow="0" w:firstColumn="1" w:lastColumn="0" w:noHBand="0" w:noVBand="1"/>
      </w:tblPr>
      <w:tblGrid>
        <w:gridCol w:w="2977"/>
        <w:gridCol w:w="3262"/>
        <w:gridCol w:w="4394"/>
      </w:tblGrid>
      <w:tr w:rsidR="00DA3907" w:rsidRPr="00DA3907" w14:paraId="352864A9" w14:textId="77777777" w:rsidTr="00DA3907">
        <w:trPr>
          <w:trHeight w:val="300"/>
          <w:tblHeader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14:paraId="2B5F15CF" w14:textId="4098804F" w:rsidR="00DA3907" w:rsidRPr="00DA3907" w:rsidRDefault="00DA3907" w:rsidP="00DA3907">
            <w:pPr>
              <w:spacing w:before="0"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  <w:t>Step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185E94D" w14:textId="6DC20621" w:rsidR="00DA3907" w:rsidRPr="00DA3907" w:rsidRDefault="00DA3907" w:rsidP="00DA3907">
            <w:pPr>
              <w:spacing w:before="0"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  <w:t>Relevant script</w:t>
            </w:r>
          </w:p>
        </w:tc>
        <w:tc>
          <w:tcPr>
            <w:tcW w:w="20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953F69B" w14:textId="1AC247F6" w:rsidR="00DA3907" w:rsidRPr="00DA3907" w:rsidRDefault="00DA3907" w:rsidP="00DA3907">
            <w:pPr>
              <w:spacing w:before="0"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  <w:lang w:val="en-US" w:eastAsia="en-NL" w:bidi="ar-SA"/>
              </w:rPr>
              <w:t>Purpose</w:t>
            </w:r>
          </w:p>
        </w:tc>
      </w:tr>
      <w:tr w:rsidR="00DA3907" w:rsidRPr="00DA3907" w14:paraId="04CEC1D9" w14:textId="77777777" w:rsidTr="00837735">
        <w:trPr>
          <w:trHeight w:val="300"/>
        </w:trPr>
        <w:tc>
          <w:tcPr>
            <w:tcW w:w="14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632C8F8" w14:textId="5A81F8F9" w:rsidR="00DA3907" w:rsidRPr="00DA3907" w:rsidRDefault="00DA3907" w:rsidP="00DA390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56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Prepare DEM and Q based datasets</w:t>
            </w: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84C1" w14:textId="79D47253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PrepRawDatasets_Rasters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C664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%% Compile all raster datasets into matlab arrays </w:t>
            </w:r>
          </w:p>
        </w:tc>
      </w:tr>
      <w:tr w:rsidR="00DA3907" w:rsidRPr="00DA3907" w14:paraId="44ABF227" w14:textId="77777777" w:rsidTr="00837735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0F168F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5B4E" w14:textId="4554C4CF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CreateUIboundaries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7F07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Create catchment boundaries for UI at 5km and 500m and merge them. Generate 500m accuflux and ldds in same extent as 5km.</w:t>
            </w:r>
          </w:p>
        </w:tc>
      </w:tr>
      <w:tr w:rsidR="00DA3907" w:rsidRPr="00DA3907" w14:paraId="6A3ADBA8" w14:textId="77777777" w:rsidTr="00837735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1C5297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AE5E" w14:textId="3DE1523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ProcessSPHYoutputs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F0AB7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Compile SPHY and PCRASTER based .map files for Q/R and .tiff files for acc, ldd and dem into one .mat file</w:t>
            </w:r>
          </w:p>
        </w:tc>
      </w:tr>
      <w:tr w:rsidR="00DA3907" w:rsidRPr="00DA3907" w14:paraId="1508E2F0" w14:textId="77777777" w:rsidTr="00837735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136A3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9950" w14:textId="41992453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DownscaleQ_wWC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97BC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Route runoff to get Q or Qwc. Use preloaded 5km and 500m R to get Q</w:t>
            </w:r>
          </w:p>
        </w:tc>
      </w:tr>
      <w:tr w:rsidR="00DA3907" w:rsidRPr="00DA3907" w14:paraId="323D7E27" w14:textId="77777777" w:rsidTr="00837735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54B7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CA49" w14:textId="22DE35DE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CompareR_Q.m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B15B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Create plots comparing R and Q at diff outlets for observed and simulated</w:t>
            </w:r>
          </w:p>
        </w:tc>
      </w:tr>
      <w:tr w:rsidR="00DA3907" w:rsidRPr="00DA3907" w14:paraId="55BE7885" w14:textId="77777777" w:rsidTr="00837735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5E36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6220" w14:textId="48ED929D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Compare_Q_Qwc.m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A5C2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Create plots comparing Q at diff outlets for observed and simulated (Q vs Qwc)</w:t>
            </w:r>
          </w:p>
        </w:tc>
      </w:tr>
      <w:tr w:rsidR="00DA3907" w:rsidRPr="00DA3907" w14:paraId="672AC130" w14:textId="77777777" w:rsidTr="003E2B13">
        <w:trPr>
          <w:trHeight w:val="300"/>
        </w:trPr>
        <w:tc>
          <w:tcPr>
            <w:tcW w:w="14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04E9E05" w14:textId="24CC4F74" w:rsidR="00DA3907" w:rsidRPr="00DA3907" w:rsidRDefault="00DA3907" w:rsidP="00DA390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56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Evaluate theoretical potential</w:t>
            </w: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9A693" w14:textId="21BF3B31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PrepareTheoryPotData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7FFBC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compile arcgis processed dem, acc, fdir, outlet. Create and rename basins </w:t>
            </w:r>
          </w:p>
        </w:tc>
      </w:tr>
      <w:tr w:rsidR="00DA3907" w:rsidRPr="00DA3907" w14:paraId="44C4BBB8" w14:textId="77777777" w:rsidTr="003E2B13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E54777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3756" w14:textId="2310E9C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EvalTheoreticalPot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51C378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% Evaluate theoretical potential using cell or channel method for either of the 3 resolutions 15s (UI or all Indus), 500m and 5km</w:t>
            </w:r>
          </w:p>
        </w:tc>
      </w:tr>
      <w:tr w:rsidR="00DA3907" w:rsidRPr="00DA3907" w14:paraId="374EA506" w14:textId="77777777" w:rsidTr="003E2B13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A9FEAD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55B0" w14:textId="28F387B5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CompileTheoreticalPot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498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compare theory pot at 3 resolutions: 5km, 15sUI and 500m data</w:t>
            </w:r>
          </w:p>
        </w:tc>
      </w:tr>
      <w:tr w:rsidR="00DA3907" w:rsidRPr="00DA3907" w14:paraId="15BC7181" w14:textId="77777777" w:rsidTr="003E2B13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63B2D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DADCC" w14:textId="119BF71C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ForPaperFig_TheoryPot.m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440D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prep figs</w:t>
            </w:r>
          </w:p>
        </w:tc>
      </w:tr>
      <w:tr w:rsidR="00DA3907" w:rsidRPr="00DA3907" w14:paraId="271145A9" w14:textId="77777777" w:rsidTr="003E2B13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C0A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B1FFA" w14:textId="36D1528D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plotTheoreticalPotential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A9E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prep figs</w:t>
            </w:r>
          </w:p>
        </w:tc>
      </w:tr>
      <w:tr w:rsidR="00DA3907" w:rsidRPr="00DA3907" w14:paraId="1E4988FB" w14:textId="77777777" w:rsidTr="00147046">
        <w:trPr>
          <w:trHeight w:val="300"/>
        </w:trPr>
        <w:tc>
          <w:tcPr>
            <w:tcW w:w="14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722FDB2" w14:textId="5048A8AD" w:rsidR="00DA3907" w:rsidRPr="00DA3907" w:rsidRDefault="00DA3907" w:rsidP="00DA390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56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Prepare other multi-sectorial datasets</w:t>
            </w: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D3AA" w14:textId="7C90B955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PrepRawDatasets_Shapefiles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FF6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%% Compile shapefiles into matlab arrays. Project, clip and rasterize them to the UI extents. </w:t>
            </w:r>
          </w:p>
        </w:tc>
      </w:tr>
      <w:tr w:rsidR="00DA3907" w:rsidRPr="00DA3907" w14:paraId="6E9D4C39" w14:textId="77777777" w:rsidTr="0014704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50FD28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BD02" w14:textId="746B6D6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EvalDesignFlows 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B590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%% Evaluates design flow and related load factor.</w:t>
            </w:r>
          </w:p>
        </w:tc>
      </w:tr>
      <w:tr w:rsidR="00DA3907" w:rsidRPr="00DA3907" w14:paraId="6B2D77CB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632B30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0ABD" w14:textId="360CC15F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Distancemap_maker_roads.m</w:t>
            </w:r>
          </w:p>
        </w:tc>
        <w:tc>
          <w:tcPr>
            <w:tcW w:w="206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A79DA" w14:textId="4D3E2E6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  <w:r>
              <w:rPr>
                <w:lang w:val="en-US" w:eastAsia="en-US" w:bidi="ar-SA"/>
              </w:rPr>
              <w:t>Refer to in code documentation</w:t>
            </w:r>
          </w:p>
          <w:p w14:paraId="459165B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75F87FFC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5952EA92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5CFDBEF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0D9451C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0E128B7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787D79A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4EE2BB04" w14:textId="00B197B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</w:tc>
      </w:tr>
      <w:tr w:rsidR="00DA3907" w:rsidRPr="00DA3907" w14:paraId="1D3C8922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CC3A7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3CD" w14:textId="517C83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Distancemap_maker_settlements.m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CF74" w14:textId="189542A5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5AF9D544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BEBDF4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97B9" w14:textId="25EB6642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Distancemap_maker_transmission.m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5AC9" w14:textId="280F342E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06DD2E8F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285B33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78278" w14:textId="7A8A1A85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EvalAgriLandLossCost.m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1D99" w14:textId="03651A6C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659A9222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7E2811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CB5C" w14:textId="6A3F892B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EvalLandAcquisitionCost.m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7718" w14:textId="331CB0C0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338CAD42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A4E31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507F4" w14:textId="5CD3C7CD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EvalTreeLossCost.m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F012A" w14:textId="2532E822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5E252CC5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883A4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8057" w14:textId="27A86DC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EvalGLOFpath.m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4865" w14:textId="7763EFE6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1853A890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58F46B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78DA" w14:textId="1C302DC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EvalMainstreamvsTributaries.m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A0" w14:textId="2D155684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25417E4D" w14:textId="77777777" w:rsidTr="0011072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B7106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6478" w14:textId="12A5B7DE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GetExistingDams</w:t>
            </w:r>
          </w:p>
        </w:tc>
        <w:tc>
          <w:tcPr>
            <w:tcW w:w="206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265C" w14:textId="0DD31001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5F2A029C" w14:textId="77777777" w:rsidTr="0014704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716C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1D99" w14:textId="33E4754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CompileAllBasinData.m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7DD4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%% Compile all data layers into one big .map fil e</w:t>
            </w:r>
          </w:p>
        </w:tc>
      </w:tr>
      <w:tr w:rsidR="00DA3907" w:rsidRPr="00DA3907" w14:paraId="3823B339" w14:textId="77777777" w:rsidTr="00B11809">
        <w:trPr>
          <w:trHeight w:val="300"/>
        </w:trPr>
        <w:tc>
          <w:tcPr>
            <w:tcW w:w="14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6627E29" w14:textId="3F130700" w:rsidR="00DA3907" w:rsidRPr="00DA3907" w:rsidRDefault="00DA3907" w:rsidP="00DA390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56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 xml:space="preserve">Run HyPE for historical scenarios </w:t>
            </w:r>
            <w:r w:rsidR="00A74100"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to evaluate technical, financial and sustainable potential</w:t>
            </w: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61ED5" w14:textId="75D20DA6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RunMainScenarios.m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9872D" w14:textId="742518C2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 xml:space="preserve">%% Run main energy focus and geo hazard risk representation scenarios </w:t>
            </w:r>
          </w:p>
        </w:tc>
      </w:tr>
      <w:tr w:rsidR="00DA3907" w:rsidRPr="00DA3907" w14:paraId="48B7F6EE" w14:textId="77777777" w:rsidTr="00B11809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399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5E6F" w14:textId="5B8EB140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RunSAScenarios.m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A22A" w14:textId="5F8502E0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%% Run sensitivity analysis scenarios</w:t>
            </w:r>
          </w:p>
        </w:tc>
      </w:tr>
      <w:tr w:rsidR="00DA3907" w:rsidRPr="00DA3907" w14:paraId="07F5FC45" w14:textId="77777777" w:rsidTr="006A6371">
        <w:trPr>
          <w:trHeight w:val="300"/>
        </w:trPr>
        <w:tc>
          <w:tcPr>
            <w:tcW w:w="1400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70B4D3" w14:textId="62E0211B" w:rsidR="00DA3907" w:rsidRPr="00DA3907" w:rsidRDefault="00DA3907" w:rsidP="00DA3907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ind w:left="456"/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</w:pPr>
            <w:r>
              <w:rPr>
                <w:rFonts w:ascii="Calibri" w:eastAsia="Times New Roman" w:hAnsi="Calibri"/>
                <w:color w:val="000000"/>
                <w:sz w:val="22"/>
                <w:lang w:val="en-US" w:eastAsia="en-NL" w:bidi="ar-SA"/>
              </w:rPr>
              <w:t>Post process and plot output</w:t>
            </w: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10B6" w14:textId="2135D673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PlotTheoreticalPotential.m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8DD13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</w:tc>
      </w:tr>
      <w:tr w:rsidR="00DA3907" w:rsidRPr="00DA3907" w14:paraId="2757C7BC" w14:textId="77777777" w:rsidTr="006A6371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7C58DE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98CB" w14:textId="63D5BB39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GetTotals.m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604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 Get subbasin wise sums and save them</w:t>
            </w:r>
          </w:p>
        </w:tc>
      </w:tr>
      <w:tr w:rsidR="00DA3907" w:rsidRPr="00DA3907" w14:paraId="1D1B3B51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BE008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4166" w14:textId="526A0A59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   Fig_PlotSA_Q_bars.m</w:t>
            </w:r>
          </w:p>
        </w:tc>
        <w:tc>
          <w:tcPr>
            <w:tcW w:w="2066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3D58" w14:textId="71E3ED90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  <w:r>
              <w:rPr>
                <w:lang w:val="en-US" w:eastAsia="en-US" w:bidi="ar-SA"/>
              </w:rPr>
              <w:t>Refer to in code documentation</w:t>
            </w:r>
          </w:p>
          <w:p w14:paraId="20F85DE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7336D6A8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19D5DB47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3C49EA2A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  <w:p w14:paraId="3857D88C" w14:textId="7AA93003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 </w:t>
            </w:r>
          </w:p>
        </w:tc>
      </w:tr>
      <w:tr w:rsidR="00DA3907" w:rsidRPr="00DA3907" w14:paraId="5A01E40E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D9332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5EB4" w14:textId="4D6E7BBB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   Fig_MainScenarios.m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F5C9" w14:textId="612F55F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23FFD1E5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63BE2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C43B" w14:textId="2C54ABF9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   Fig_PlotSubBasinTotals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2C86D" w14:textId="642FF692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47BCC1C8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292B1F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FEEE" w14:textId="5244316E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   PlotWoutersMarimekkoBar_SubBasinPotentials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C7E8" w14:textId="5F5CE59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280A86C1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4D22B1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FFD5" w14:textId="4F67F5CA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PlotSubBasinWisePotential.m  </w:t>
            </w:r>
          </w:p>
        </w:tc>
        <w:tc>
          <w:tcPr>
            <w:tcW w:w="2066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509F" w14:textId="79E1B008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123BEB30" w14:textId="77777777" w:rsidTr="00536236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79505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6D49" w14:textId="4438D81C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 xml:space="preserve">    PlotSpatialMaps</w:t>
            </w:r>
          </w:p>
        </w:tc>
        <w:tc>
          <w:tcPr>
            <w:tcW w:w="206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54D2" w14:textId="465FF8A2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</w:tr>
      <w:tr w:rsidR="00DA3907" w:rsidRPr="00DA3907" w14:paraId="18993B3A" w14:textId="77777777" w:rsidTr="006A6371">
        <w:trPr>
          <w:trHeight w:val="300"/>
        </w:trPr>
        <w:tc>
          <w:tcPr>
            <w:tcW w:w="14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4F69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</w:p>
        </w:tc>
        <w:tc>
          <w:tcPr>
            <w:tcW w:w="15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3D52" w14:textId="2AACBB68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PlotMultiParaScatterPlots</w:t>
            </w:r>
          </w:p>
        </w:tc>
        <w:tc>
          <w:tcPr>
            <w:tcW w:w="20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F450F" w14:textId="77777777" w:rsidR="00DA3907" w:rsidRPr="00DA3907" w:rsidRDefault="00DA3907" w:rsidP="00DA3907">
            <w:pPr>
              <w:spacing w:before="0" w:after="0" w:line="240" w:lineRule="auto"/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</w:pPr>
            <w:r w:rsidRPr="00DA3907">
              <w:rPr>
                <w:rFonts w:ascii="Calibri" w:eastAsia="Times New Roman" w:hAnsi="Calibri"/>
                <w:color w:val="000000"/>
                <w:sz w:val="22"/>
                <w:lang w:val="en-NL" w:eastAsia="en-NL" w:bidi="ar-SA"/>
              </w:rPr>
              <w:t>% Get more details on plant characteristics and all</w:t>
            </w:r>
          </w:p>
        </w:tc>
      </w:tr>
    </w:tbl>
    <w:p w14:paraId="5A59F467" w14:textId="77777777" w:rsidR="00DA3907" w:rsidRDefault="00DA3907"/>
    <w:sectPr w:rsidR="00DA3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4AB9"/>
    <w:multiLevelType w:val="hybridMultilevel"/>
    <w:tmpl w:val="BBF668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F6623"/>
    <w:multiLevelType w:val="hybridMultilevel"/>
    <w:tmpl w:val="5D86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D51F0"/>
    <w:multiLevelType w:val="hybridMultilevel"/>
    <w:tmpl w:val="BABE99F0"/>
    <w:lvl w:ilvl="0" w:tplc="2F2C354A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236EA76A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5963588">
    <w:abstractNumId w:val="2"/>
  </w:num>
  <w:num w:numId="2" w16cid:durableId="158428456">
    <w:abstractNumId w:val="1"/>
  </w:num>
  <w:num w:numId="3" w16cid:durableId="119992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F9"/>
    <w:rsid w:val="000A0A2F"/>
    <w:rsid w:val="006A56C1"/>
    <w:rsid w:val="00A74100"/>
    <w:rsid w:val="00B559EE"/>
    <w:rsid w:val="00DA3907"/>
    <w:rsid w:val="00E004F9"/>
    <w:rsid w:val="00E97FE2"/>
    <w:rsid w:val="00E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F68E"/>
  <w15:chartTrackingRefBased/>
  <w15:docId w15:val="{CA173EFC-D4A3-4691-91FF-D8D017BE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F9"/>
    <w:pPr>
      <w:spacing w:before="120" w:after="120" w:line="276" w:lineRule="auto"/>
    </w:pPr>
    <w:rPr>
      <w:rFonts w:ascii="Franklin Gothic Book" w:eastAsia="Calibri" w:hAnsi="Franklin Gothic Book" w:cs="Calibri"/>
      <w:kern w:val="0"/>
      <w:sz w:val="20"/>
      <w:lang w:val="en-GB" w:eastAsia="en-GB" w:bidi="ne-NP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E004F9"/>
    <w:pPr>
      <w:keepNext/>
      <w:keepLines/>
      <w:numPr>
        <w:numId w:val="1"/>
      </w:numPr>
      <w:shd w:val="clear" w:color="auto" w:fill="B4C6E7" w:themeFill="accent1" w:themeFillTint="66"/>
      <w:spacing w:before="160" w:after="0" w:line="259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04F9"/>
    <w:rPr>
      <w:rFonts w:ascii="Franklin Gothic Book" w:eastAsia="Calibri" w:hAnsi="Franklin Gothic Book" w:cs="Calibri"/>
      <w:b/>
      <w:kern w:val="0"/>
      <w:sz w:val="20"/>
      <w:shd w:val="clear" w:color="auto" w:fill="B4C6E7" w:themeFill="accent1" w:themeFillTint="66"/>
      <w:lang w:val="en-GB" w:eastAsia="en-GB" w:bidi="ne-NP"/>
      <w14:ligatures w14:val="none"/>
    </w:rPr>
  </w:style>
  <w:style w:type="paragraph" w:styleId="NoSpacing">
    <w:name w:val="No Spacing"/>
    <w:basedOn w:val="Normal"/>
    <w:uiPriority w:val="1"/>
    <w:qFormat/>
    <w:rsid w:val="00E004F9"/>
    <w:pPr>
      <w:spacing w:before="0" w:after="0"/>
    </w:pPr>
  </w:style>
  <w:style w:type="table" w:styleId="TableGrid">
    <w:name w:val="Table Grid"/>
    <w:basedOn w:val="TableNormal"/>
    <w:uiPriority w:val="39"/>
    <w:rsid w:val="00E004F9"/>
    <w:pPr>
      <w:spacing w:after="0" w:line="240" w:lineRule="auto"/>
    </w:pPr>
    <w:rPr>
      <w:rFonts w:ascii="Calibri" w:eastAsia="Calibri" w:hAnsi="Calibri" w:cs="Calibri"/>
      <w:kern w:val="0"/>
      <w:lang w:val="en-GB" w:eastAsia="en-GB" w:bidi="ne-N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A3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Sanita Dhaubanjar</dc:creator>
  <cp:keywords/>
  <dc:description/>
  <cp:lastModifiedBy>Sanita Dhaubanjar</cp:lastModifiedBy>
  <cp:revision>3</cp:revision>
  <dcterms:created xsi:type="dcterms:W3CDTF">2023-10-17T21:06:00Z</dcterms:created>
  <dcterms:modified xsi:type="dcterms:W3CDTF">2023-11-24T10:55:00Z</dcterms:modified>
</cp:coreProperties>
</file>