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平安城市赛项仿真模型资源获取与场景构建报告（简化版）</w:t>
      </w:r>
    </w:p>
    <w:p>
      <w:pPr>
        <w:jc w:val="center"/>
      </w:pPr>
      <w:r>
        <w:rPr>
          <w:rFonts w:ascii="宋体" w:hAnsi="宋体" w:eastAsia="宋体"/>
          <w:color w:val="505050"/>
          <w:sz w:val="24"/>
        </w:rPr>
        <w:t>静态模型优先 · 便于后期目标检测训练 · 便于 Gazebo 稳定运行</w:t>
      </w:r>
    </w:p>
    <w:p>
      <w:pPr>
        <w:spacing w:line="300" w:lineRule="auto" w:after="80"/>
      </w:pPr>
      <w:r>
        <w:rPr>
          <w:rFonts w:ascii="宋体" w:hAnsi="宋体" w:eastAsia="宋体"/>
          <w:sz w:val="21"/>
        </w:rPr>
        <w:t>说明：本版报告对原方案进行了简化。楼宇、人群和垃圾桶均优先采用静态模型，不使用复杂动态 Actor、人群仿真插件或过多粒子特效。这样可以降低 Gazebo 运行负担，也更利于后期采集图像、标注数据和训练目标识别模型。</w:t>
      </w:r>
    </w:p>
    <w:p>
      <w:pPr>
        <w:pStyle w:val="Heading1"/>
      </w:pPr>
      <w:r>
        <w:t>一、任务背景与简化原则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1"/>
        </w:rPr>
        <w:t>本项目面向 2026 睿抗机器人开发者大赛 CAIR 强体赛道轮式机器人全域安防赛题中的“平安城市”任务。赛项要求在 Gazebo 中构建 4000mm × 4000mm 的仿真场地，场地应包含垃圾桶、人群、楼宇等元素。机器人需要完成多点定点导航并跑完整张地图，到达指定识别物体附近后，通过终端打印垃圾桶类型、人群类型及数量、楼宇灾害情况等结果。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1"/>
        </w:rPr>
        <w:t>考虑到后期需要训练目标识别模型，场景不宜过于复杂。若楼宇灾害特效、人群动画或动态障碍过多，会增加图像背景干扰、遮挡和标注难度，也会提高 Gazebo 仿真负担。因此本项目采用“静态模型为主、类别清晰、颜色和形态差异明显、便于采集训练数据”的建模策略。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原则</w:t>
            </w:r>
          </w:p>
        </w:tc>
        <w:tc>
          <w:tcPr>
            <w:tcW w:type="dxa" w:w="6236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具体说明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静态优先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垃圾桶、楼宇、人群均使用静态模型，暂不设置复杂运动轨迹。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类别清晰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不同类别通过颜色、形状、贴图或摆放状态区分，降低后期识别难度。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模型轻量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优先使用 SDF 基础几何体和低面数模型，避免加载过慢。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便于训练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目标外观稳定，减少动态模糊、遮挡和随机姿态变化。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便于报告说明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开源模型来源清楚，自定义修改过程明确。</w:t>
            </w:r>
          </w:p>
        </w:tc>
      </w:tr>
    </w:tbl>
    <w:p>
      <w:pPr>
        <w:spacing w:after="0"/>
      </w:pPr>
    </w:p>
    <w:p>
      <w:pPr>
        <w:pStyle w:val="Heading1"/>
      </w:pPr>
      <w:r>
        <w:t>二、开源模型资源来源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1"/>
        </w:rPr>
        <w:t>本项目优先选择 Gazebo 原生支持或容易转换为 Gazebo SDF/DAE/OBJ 格式的模型资源。对于外部模型，不直接原样使用，而是在尺寸、颜色、贴图、命名和摆放方式上进行二次修改。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资源名称</w:t>
            </w:r>
          </w:p>
        </w:tc>
        <w:tc>
          <w:tcPr>
            <w:tcW w:type="dxa" w:w="3173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用途说明</w:t>
            </w:r>
          </w:p>
        </w:tc>
        <w:tc>
          <w:tcPr>
            <w:tcW w:type="dxa" w:w="3173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地址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OSRF Gazebo Models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Gazebo 官方 SDF 模型数据库，可查找 trash can、dumpster、常见环境模型。</w:t>
            </w:r>
          </w:p>
        </w:tc>
        <w:tc>
          <w:tcPr>
            <w:tcW w:type="dxa" w:w="3173"/>
            <w:vAlign w:val="center"/>
          </w:tcPr>
          <w:p>
            <w:r/>
            <w:hyperlink r:id="rId9">
              <w:r>
                <w:rPr>
                  <w:color w:val="0563C1"/>
                  <w:u w:val="single"/>
                </w:rPr>
                <w:t>https://github.com/osrf/gazebo_models</w:t>
              </w:r>
            </w:hyperlink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3DGEMS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提供 270+ 个 Gazebo SDF 模型，包含 human figures、trash cans 等，适合作为静态人群和垃圾桶基础模型。</w:t>
            </w:r>
          </w:p>
        </w:tc>
        <w:tc>
          <w:tcPr>
            <w:tcW w:type="dxa" w:w="3173"/>
            <w:vAlign w:val="center"/>
          </w:tcPr>
          <w:p>
            <w:r/>
            <w:hyperlink r:id="rId10">
              <w:r>
                <w:rPr>
                  <w:color w:val="0563C1"/>
                  <w:u w:val="single"/>
                </w:rPr>
                <w:t>https://data.nvision2.eecs.yorku.ca/3DGEMS/</w:t>
              </w:r>
            </w:hyperlink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Gazebo Classic Actor 教程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了解 Gazebo Actor 的模型格式和人物资源。由于本项目采用静态人群，此资源仅作为人物模型格式参考，不作为动态方案重点。</w:t>
            </w:r>
          </w:p>
        </w:tc>
        <w:tc>
          <w:tcPr>
            <w:tcW w:type="dxa" w:w="3173"/>
            <w:vAlign w:val="center"/>
          </w:tcPr>
          <w:p>
            <w:r/>
            <w:hyperlink r:id="rId11">
              <w:r>
                <w:rPr>
                  <w:color w:val="0563C1"/>
                  <w:u w:val="single"/>
                </w:rPr>
                <w:t>https://classic.gazebosim.org/tutorials?tut=actor</w:t>
              </w:r>
            </w:hyperlink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Gazebo Fuel / Gazebo Sim 资源入口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可检索 Gazebo 生态模型资源，作为备用模型来源。</w:t>
            </w:r>
          </w:p>
        </w:tc>
        <w:tc>
          <w:tcPr>
            <w:tcW w:type="dxa" w:w="3173"/>
            <w:vAlign w:val="center"/>
          </w:tcPr>
          <w:p>
            <w:r/>
            <w:hyperlink r:id="rId12">
              <w:r>
                <w:rPr>
                  <w:color w:val="0563C1"/>
                  <w:u w:val="single"/>
                </w:rPr>
                <w:t>https://app.gazebosim.org/</w:t>
              </w:r>
            </w:hyperlink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Sketchfab 免费模型检索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可检索 trash can、building、person 等 3D 模型，但需注意许可证，使用前必须确认可下载和可用于比赛展示。</w:t>
            </w:r>
          </w:p>
        </w:tc>
        <w:tc>
          <w:tcPr>
            <w:tcW w:type="dxa" w:w="3173"/>
            <w:vAlign w:val="center"/>
          </w:tcPr>
          <w:p>
            <w:r/>
            <w:hyperlink r:id="rId13">
              <w:r>
                <w:rPr>
                  <w:color w:val="0563C1"/>
                  <w:u w:val="single"/>
                </w:rPr>
                <w:t>https://sketchfab.com/</w:t>
              </w:r>
            </w:hyperlink>
          </w:p>
        </w:tc>
      </w:tr>
    </w:tbl>
    <w:p/>
    <w:p>
      <w:pPr>
        <w:spacing w:line="300" w:lineRule="auto" w:after="80"/>
      </w:pPr>
      <w:r>
        <w:rPr>
          <w:rFonts w:ascii="宋体" w:hAnsi="宋体" w:eastAsia="宋体"/>
          <w:sz w:val="21"/>
        </w:rPr>
        <w:t>注意：若使用 Sketchfab 等第三方模型网站，需要在下载前确认模型许可证。建议优先选择 CC0、Public Domain 或明确允许再分发和修改的模型；若许可证不明确，不建议用于最终提交作品。</w:t>
      </w:r>
    </w:p>
    <w:p>
      <w:pPr>
        <w:pStyle w:val="Heading1"/>
      </w:pPr>
      <w:r>
        <w:t>三、垃圾桶模型方案（静态，建议 4-5 类）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1"/>
        </w:rPr>
        <w:t>垃圾桶是后期视觉识别中最容易做出效果的一类目标，建议采用同一基础垃圾桶模型进行复制和改色。不同类别使用固定颜色和明显文字/图标贴图区分，方便后期采集图片并训练检测模型。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模型名称</w:t>
            </w:r>
          </w:p>
        </w:tc>
        <w:tc>
          <w:tcPr>
            <w:tcW w:type="dxa" w:w="1417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中文类别</w:t>
            </w:r>
          </w:p>
        </w:tc>
        <w:tc>
          <w:tcPr>
            <w:tcW w:type="dxa" w:w="2551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颜色/外观设计</w:t>
            </w:r>
          </w:p>
        </w:tc>
        <w:tc>
          <w:tcPr>
            <w:tcW w:type="dxa" w:w="2835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训练友好性说明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recyclable_bin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可回收垃圾桶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蓝色桶身 + 可回收标识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类别特征明显，适合颜色和目标检测训练。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hazardous_bin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有害垃圾桶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红色桶身 + 危险标识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与其他垃圾桶颜色差异大，易识别。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kitchen_bin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厨余垃圾桶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绿色桶身 + 厨余标识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适合与蓝色、红色、灰色区分。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other_bin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其他垃圾桶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灰色或黑色桶身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作为普通类别，外观保持简洁。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large_dumpster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大型垃圾箱（可选）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大型矩形垃圾箱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可作为扩展类别，不做也不影响基本任务。</w:t>
            </w:r>
          </w:p>
        </w:tc>
      </w:tr>
    </w:tbl>
    <w:p>
      <w:pPr>
        <w:spacing w:after="0"/>
      </w:pP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1"/>
        </w:rPr>
        <w:t>实现方式：下载一个基础垃圾桶模型后复制为多个文件夹，分别修改 model.config、model.sdf、材质颜色和贴图。模型放置时保持固定位置，不设置动态效果。</w:t>
      </w:r>
    </w:p>
    <w:p>
      <w:pPr>
        <w:pStyle w:val="Heading1"/>
      </w:pPr>
      <w:r>
        <w:t>四、楼宇模型方案（静态，建议 3-4 类）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1"/>
        </w:rPr>
        <w:t>楼宇模型不建议使用复杂高精度建筑或真实火焰/烟雾粒子效果。原因是楼宇通常只作为灾害状态识别目标，过于复杂会影响仿真性能，也会增加训练集背景干扰。建议使用 SDF 基础几何体搭建简化楼宇，并通过颜色、贴图和碎块摆放区分状态。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模型名称</w:t>
            </w:r>
          </w:p>
        </w:tc>
        <w:tc>
          <w:tcPr>
            <w:tcW w:type="dxa" w:w="1417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中文类别</w:t>
            </w:r>
          </w:p>
        </w:tc>
        <w:tc>
          <w:tcPr>
            <w:tcW w:type="dxa" w:w="2835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静态实现方式</w:t>
            </w:r>
          </w:p>
        </w:tc>
        <w:tc>
          <w:tcPr>
            <w:tcW w:type="dxa" w:w="2551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训练友好性说明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building_normal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正常楼宇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规则长方体楼房 + 简单门窗贴图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外观稳定，作为正常类别基准。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building_fire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火灾楼宇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楼体表面贴红橙色火焰图标或火焰贴图，不使用动态火焰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火灾特征固定，便于标注和训练。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building_smoke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烟雾楼宇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楼体上方或窗口贴灰色烟雾图案，不使用动态烟雾粒子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避免烟雾随机变化导致训练不稳定。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building_collapsed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倒塌楼宇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倾斜墙体 + 静态碎块 + 裂缝贴图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倒塌状态通过形状和碎块体现，清晰可见。</w:t>
            </w:r>
          </w:p>
        </w:tc>
      </w:tr>
    </w:tbl>
    <w:p>
      <w:pPr>
        <w:spacing w:after="0"/>
      </w:pP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1"/>
        </w:rPr>
        <w:t>实现方式：正常楼宇、火灾楼宇和烟雾楼宇可以使用同一基础楼体复制得到，只修改贴图和外观标识；倒塌楼宇使用若干 box 模型模拟倾斜墙体和碎块。所有楼宇均设置为 static=true。</w:t>
      </w:r>
    </w:p>
    <w:p>
      <w:pPr>
        <w:pStyle w:val="Heading1"/>
      </w:pPr>
      <w:r>
        <w:t>五、人群模型方案（静态，建议 4-5 类）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1"/>
        </w:rPr>
        <w:t>人群模型建议全部采用静态人物模型，不使用走路、奔跑或复杂 Actor 动画。后期如果需要训练模型识别人群类型，静态人物更容易采集稳定数据，也不会产生动态模糊、路径遮挡和仿真抖动。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814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模型名称</w:t>
            </w:r>
          </w:p>
        </w:tc>
        <w:tc>
          <w:tcPr>
            <w:tcW w:type="dxa" w:w="1587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中文类别</w:t>
            </w:r>
          </w:p>
        </w:tc>
        <w:tc>
          <w:tcPr>
            <w:tcW w:type="dxa" w:w="2835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静态表现方式</w:t>
            </w:r>
          </w:p>
        </w:tc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识别输出建议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person_standing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站立行人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单个直立人物模型，固定位置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站立行人 1 人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person_walking_pose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行走姿态行人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使用一张迈步姿态的人物模型，但不移动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行走姿态行人 1 人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person_running_pose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奔跑姿态行人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使用前倾或抬腿姿态的人物模型，但不移动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奔跑姿态行人 1 人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crowd_gathering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聚集人群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3-5 个静态人物靠近摆放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聚集人群 N 人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crowd_queue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排队/等待人群（可选）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多个人物按一条线排列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排队人群 N 人</w:t>
            </w:r>
          </w:p>
        </w:tc>
      </w:tr>
    </w:tbl>
    <w:p>
      <w:pPr>
        <w:spacing w:after="0"/>
      </w:pP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1"/>
        </w:rPr>
        <w:t>实现方式：可以从 3DGEMS 中选择 human figures，也可以使用 Gazebo Actor 的人物模型资源，但只保留静态 pose，不编写轨迹脚本。不同人群类型通过姿态和摆放方式区分，而不是通过运动区分。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1"/>
        </w:rPr>
        <w:t>如果后续目标检测训练只做“人群数量统计”，可以进一步简化为“单人”和“多人聚集”两类；如果要识别行为类型，则使用静态姿态模型分别表示站立、行走、奔跑。</w:t>
      </w:r>
    </w:p>
    <w:p>
      <w:pPr>
        <w:pStyle w:val="Heading1"/>
      </w:pPr>
      <w:r>
        <w:t>六、Gazebo 场景部署方案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1"/>
        </w:rPr>
        <w:t>场地大小设为 4m × 4m。为了便于机器人导航和数据采集，建议将垃圾桶、人群、楼宇分布在三个固定识别区域，中间保留清晰道路。场景不追求真实城市复杂度，而是优先保证目标清楚、导航稳定、后期训练数据干净。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417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区域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位置建议</w:t>
            </w:r>
          </w:p>
        </w:tc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放置模型</w:t>
            </w:r>
          </w:p>
        </w:tc>
        <w:tc>
          <w:tcPr>
            <w:tcW w:type="dxa" w:w="2835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起点区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地图左下角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TurtleBot3 Burger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机器人启动点，便于开始导航。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垃圾桶区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地图上方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 类垃圾桶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目标颜色明显，适合近距离拍摄。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人群区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地图左侧或中部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单人 + 聚集人群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全部静态摆放，便于计数。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楼宇区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地图右侧或下方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正常/火灾/烟雾/倒塌楼宇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使用贴图和碎块表示灾害状态。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通行区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地图中部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空旷道路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保证 move_base 能稳定导航。</w:t>
            </w:r>
          </w:p>
        </w:tc>
      </w:tr>
    </w:tbl>
    <w:p>
      <w:pPr>
        <w:spacing w:after="0"/>
      </w:pP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1"/>
        </w:rPr>
        <w:t>建议导航点设置为 P0 起点、P1 垃圾桶区、P2 人群区、P3 楼宇区、P4 巡检点、P5 终点。机器人到达每个识别点后暂停 1-2 秒，执行图像采集或终端输出。</w:t>
      </w:r>
    </w:p>
    <w:p>
      <w:pPr>
        <w:pStyle w:val="Heading1"/>
      </w:pPr>
      <w:r>
        <w:t>七、识别输出与训练数据采集方案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1"/>
        </w:rPr>
        <w:t>为了先保证比赛演示流程完整，第一阶段可采用“导航点位 + 预设语义输出”的方式；第二阶段再加入基于图像的目标检测模型。由于本方案全部采用静态模型，后期可以在每个识别点固定采集多角度、多距离、多光照图像，用于训练 YOLOv5 等目标检测模型。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417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阶段</w:t>
            </w:r>
          </w:p>
        </w:tc>
        <w:tc>
          <w:tcPr>
            <w:tcW w:type="dxa" w:w="3969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实现内容</w:t>
            </w:r>
          </w:p>
        </w:tc>
        <w:tc>
          <w:tcPr>
            <w:tcW w:type="dxa" w:w="2835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优点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第一阶段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机器人到达指定点后，根据区域编号打印预设识别结果。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实现快，保证视频演示完整。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第二阶段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采集静态场景图像，标注垃圾桶、人群、楼宇灾害类别。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数据稳定，标注难度低。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第三阶段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训练目标检测模型，替换或增强预设输出模块。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提高项目真实性和技术含量。</w:t>
            </w:r>
          </w:p>
        </w:tc>
      </w:tr>
    </w:tbl>
    <w:p>
      <w:pPr>
        <w:spacing w:after="0"/>
      </w:pPr>
    </w:p>
    <w:p>
      <w:pPr>
        <w:spacing w:line="300" w:lineRule="auto"/>
      </w:pPr>
      <w:r>
        <w:rPr>
          <w:rFonts w:ascii="黑体" w:hAnsi="黑体" w:eastAsia="黑体"/>
          <w:b/>
        </w:rPr>
        <w:t>示例终端输出：</w:t>
      </w:r>
    </w:p>
    <w:p>
      <w:pPr>
        <w:ind w:left="420"/>
      </w:pPr>
      <w:r>
        <w:rPr>
          <w:rFonts w:ascii="Consolas" w:hAnsi="Consolas"/>
          <w:sz w:val="19"/>
        </w:rPr>
        <w:t>[INFO] 到达垃圾桶识别区：可回收垃圾桶 1 个，有害垃圾桶 1 个，厨余垃圾桶 1 个，其他垃圾桶 1 个</w:t>
      </w:r>
    </w:p>
    <w:p>
      <w:pPr>
        <w:ind w:left="420"/>
      </w:pPr>
      <w:r>
        <w:rPr>
          <w:rFonts w:ascii="Consolas" w:hAnsi="Consolas"/>
          <w:sz w:val="19"/>
        </w:rPr>
        <w:t>[INFO] 到达人群识别区：站立行人 1 人，行走姿态行人 1 人，奔跑姿态行人 1 人，聚集人群 4 人</w:t>
      </w:r>
    </w:p>
    <w:p>
      <w:pPr>
        <w:ind w:left="420"/>
      </w:pPr>
      <w:r>
        <w:rPr>
          <w:rFonts w:ascii="Consolas" w:hAnsi="Consolas"/>
          <w:sz w:val="19"/>
        </w:rPr>
        <w:t>[INFO] 到达楼宇识别区：正常楼宇 1 栋，火灾楼宇 1 栋，烟雾楼宇 1 栋，倒塌楼宇 1 栋</w:t>
      </w:r>
    </w:p>
    <w:p>
      <w:pPr>
        <w:pStyle w:val="Heading1"/>
      </w:pPr>
      <w:r>
        <w:t>八、建议模型目录结构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1"/>
        </w:rPr>
        <w:t>模型目录建议保持清晰，便于 world 文件引用、后期维护和报告说明。</w:t>
      </w:r>
    </w:p>
    <w:p>
      <w:pPr>
        <w:ind w:left="420"/>
      </w:pPr>
      <w:r>
        <w:rPr>
          <w:rFonts w:ascii="Consolas" w:hAnsi="Consolas"/>
          <w:sz w:val="19"/>
        </w:rPr>
        <w:t>models/</w:t>
      </w:r>
    </w:p>
    <w:p>
      <w:pPr>
        <w:ind w:left="420"/>
      </w:pPr>
      <w:r>
        <w:rPr>
          <w:rFonts w:ascii="Consolas" w:hAnsi="Consolas"/>
          <w:sz w:val="19"/>
        </w:rPr>
        <w:t>├── recyclable_bin/          # 可回收垃圾桶</w:t>
      </w:r>
    </w:p>
    <w:p>
      <w:pPr>
        <w:ind w:left="420"/>
      </w:pPr>
      <w:r>
        <w:rPr>
          <w:rFonts w:ascii="Consolas" w:hAnsi="Consolas"/>
          <w:sz w:val="19"/>
        </w:rPr>
        <w:t>├── hazardous_bin/           # 有害垃圾桶</w:t>
      </w:r>
    </w:p>
    <w:p>
      <w:pPr>
        <w:ind w:left="420"/>
      </w:pPr>
      <w:r>
        <w:rPr>
          <w:rFonts w:ascii="Consolas" w:hAnsi="Consolas"/>
          <w:sz w:val="19"/>
        </w:rPr>
        <w:t>├── kitchen_bin/             # 厨余垃圾桶</w:t>
      </w:r>
    </w:p>
    <w:p>
      <w:pPr>
        <w:ind w:left="420"/>
      </w:pPr>
      <w:r>
        <w:rPr>
          <w:rFonts w:ascii="Consolas" w:hAnsi="Consolas"/>
          <w:sz w:val="19"/>
        </w:rPr>
        <w:t>├── other_bin/               # 其他垃圾桶</w:t>
      </w:r>
    </w:p>
    <w:p>
      <w:pPr>
        <w:ind w:left="420"/>
      </w:pPr>
      <w:r>
        <w:rPr>
          <w:rFonts w:ascii="Consolas" w:hAnsi="Consolas"/>
          <w:sz w:val="19"/>
        </w:rPr>
        <w:t>├── building_normal/         # 正常楼宇</w:t>
      </w:r>
    </w:p>
    <w:p>
      <w:pPr>
        <w:ind w:left="420"/>
      </w:pPr>
      <w:r>
        <w:rPr>
          <w:rFonts w:ascii="Consolas" w:hAnsi="Consolas"/>
          <w:sz w:val="19"/>
        </w:rPr>
        <w:t>├── building_fire/           # 火灾楼宇（静态贴图）</w:t>
      </w:r>
    </w:p>
    <w:p>
      <w:pPr>
        <w:ind w:left="420"/>
      </w:pPr>
      <w:r>
        <w:rPr>
          <w:rFonts w:ascii="Consolas" w:hAnsi="Consolas"/>
          <w:sz w:val="19"/>
        </w:rPr>
        <w:t>├── building_smoke/          # 烟雾楼宇（静态贴图）</w:t>
      </w:r>
    </w:p>
    <w:p>
      <w:pPr>
        <w:ind w:left="420"/>
      </w:pPr>
      <w:r>
        <w:rPr>
          <w:rFonts w:ascii="Consolas" w:hAnsi="Consolas"/>
          <w:sz w:val="19"/>
        </w:rPr>
        <w:t>├── building_collapsed/      # 倒塌楼宇（静态碎块）</w:t>
      </w:r>
    </w:p>
    <w:p>
      <w:pPr>
        <w:ind w:left="420"/>
      </w:pPr>
      <w:r>
        <w:rPr>
          <w:rFonts w:ascii="Consolas" w:hAnsi="Consolas"/>
          <w:sz w:val="19"/>
        </w:rPr>
        <w:t>├── person_standing/         # 站立行人</w:t>
      </w:r>
    </w:p>
    <w:p>
      <w:pPr>
        <w:ind w:left="420"/>
      </w:pPr>
      <w:r>
        <w:rPr>
          <w:rFonts w:ascii="Consolas" w:hAnsi="Consolas"/>
          <w:sz w:val="19"/>
        </w:rPr>
        <w:t>├── person_walking_pose/     # 行走姿态行人</w:t>
      </w:r>
    </w:p>
    <w:p>
      <w:pPr>
        <w:ind w:left="420"/>
      </w:pPr>
      <w:r>
        <w:rPr>
          <w:rFonts w:ascii="Consolas" w:hAnsi="Consolas"/>
          <w:sz w:val="19"/>
        </w:rPr>
        <w:t>├── person_running_pose/     # 奔跑姿态行人</w:t>
      </w:r>
    </w:p>
    <w:p>
      <w:pPr>
        <w:ind w:left="420"/>
      </w:pPr>
      <w:r>
        <w:rPr>
          <w:rFonts w:ascii="Consolas" w:hAnsi="Consolas"/>
          <w:sz w:val="19"/>
        </w:rPr>
        <w:t>└── crowd_gathering/         # 静态聚集人群</w:t>
      </w:r>
    </w:p>
    <w:p>
      <w:pPr>
        <w:pStyle w:val="Heading1"/>
      </w:pPr>
      <w:r>
        <w:t>九、开源模型二次改造说明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1"/>
        </w:rPr>
        <w:t>本项目虽然允许使用开源模型，但不会直接套用模型完成任务。所有外部模型都将结合比赛需求进行二次改造，主要包括以下内容：</w:t>
      </w:r>
    </w:p>
    <w:p>
      <w:pPr>
        <w:ind w:left="420" w:firstLine="0"/>
      </w:pPr>
      <w:r>
        <w:rPr>
          <w:rFonts w:ascii="宋体" w:hAnsi="宋体" w:eastAsia="宋体"/>
          <w:sz w:val="21"/>
        </w:rPr>
        <w:t>• 统一模型命名，便于识别模块和 world 文件调用；</w:t>
      </w:r>
    </w:p>
    <w:p>
      <w:pPr>
        <w:ind w:left="420" w:firstLine="0"/>
      </w:pPr>
      <w:r>
        <w:rPr>
          <w:rFonts w:ascii="宋体" w:hAnsi="宋体" w:eastAsia="宋体"/>
          <w:sz w:val="21"/>
        </w:rPr>
        <w:t>• 调整模型尺寸，使其适配 4m × 4m 小型场地；</w:t>
      </w:r>
    </w:p>
    <w:p>
      <w:pPr>
        <w:ind w:left="420" w:firstLine="0"/>
      </w:pPr>
      <w:r>
        <w:rPr>
          <w:rFonts w:ascii="宋体" w:hAnsi="宋体" w:eastAsia="宋体"/>
          <w:sz w:val="21"/>
        </w:rPr>
        <w:t>• 修改垃圾桶颜色和贴图，使四类垃圾桶类别更加明显；</w:t>
      </w:r>
    </w:p>
    <w:p>
      <w:pPr>
        <w:ind w:left="420" w:firstLine="0"/>
      </w:pPr>
      <w:r>
        <w:rPr>
          <w:rFonts w:ascii="宋体" w:hAnsi="宋体" w:eastAsia="宋体"/>
          <w:sz w:val="21"/>
        </w:rPr>
        <w:t>• 楼宇采用静态贴图和几何体碎块表现灾害状态，不使用复杂动态特效；</w:t>
      </w:r>
    </w:p>
    <w:p>
      <w:pPr>
        <w:ind w:left="420" w:firstLine="0"/>
      </w:pPr>
      <w:r>
        <w:rPr>
          <w:rFonts w:ascii="宋体" w:hAnsi="宋体" w:eastAsia="宋体"/>
          <w:sz w:val="21"/>
        </w:rPr>
        <w:t>• 人群采用静态姿态和固定摆放方式，避免动态模型影响训练数据质量；</w:t>
      </w:r>
    </w:p>
    <w:p>
      <w:pPr>
        <w:ind w:left="420" w:firstLine="0"/>
      </w:pPr>
      <w:r>
        <w:rPr>
          <w:rFonts w:ascii="宋体" w:hAnsi="宋体" w:eastAsia="宋体"/>
          <w:sz w:val="21"/>
        </w:rPr>
        <w:t>• 所有关键识别目标尽量正面朝向机器人导航点，便于图像采集和模型训练。</w:t>
      </w:r>
    </w:p>
    <w:p>
      <w:pPr>
        <w:pStyle w:val="Heading1"/>
      </w:pPr>
      <w:r>
        <w:t>十、实施优先级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417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优先级</w:t>
            </w:r>
          </w:p>
        </w:tc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任务</w:t>
            </w:r>
          </w:p>
        </w:tc>
        <w:tc>
          <w:tcPr>
            <w:tcW w:type="dxa" w:w="4535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第一优先级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完成静态模型和 world 搭建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 类垃圾桶、3 类楼宇、3 类人群即可形成最低可运行版本。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第一优先级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完成多点导航和终端输出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保证机器人能到达目标附近并打印识别结果。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第二优先级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扩展模型类别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补充倒塌楼宇、聚集人群、大型垃圾箱等增强展示效果。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第二优先级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采集训练数据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在静态场景中采集不同角度、距离和光照下的图像。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第三优先级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训练目标检测模型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使用 YOLOv5 或其他轻量检测模型替换预设识别。</w:t>
            </w:r>
          </w:p>
        </w:tc>
      </w:tr>
    </w:tbl>
    <w:p>
      <w:pPr>
        <w:spacing w:after="0"/>
      </w:pPr>
    </w:p>
    <w:p>
      <w:pPr>
        <w:pStyle w:val="Heading1"/>
      </w:pPr>
      <w:r>
        <w:t>十一、总结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1"/>
        </w:rPr>
        <w:t>本报告根据“平安城市”赛项要求，对仿真模型资源获取和 Gazebo 场景构建方案进行了简化设计。相比动态人群、复杂楼宇特效和高精度模型，本方案更强调静态、轻量、类别清晰和训练友好。垃圾桶通过颜色和贴图区分类别，楼宇通过静态贴图和几何体表现灾害状态，人群通过静态姿态和数量摆放表现不同类型。该方案更适合在较短备赛周期内完成 world 搭建、导航演示、终端输出和后期目标检测训练。</w:t>
      </w:r>
    </w:p>
    <w:p>
      <w:pPr>
        <w:pStyle w:val="Heading1"/>
      </w:pPr>
      <w:r>
        <w:t>参考资料</w:t>
      </w:r>
    </w:p>
    <w:p>
      <w:pPr>
        <w:spacing w:after="60"/>
        <w:ind w:firstLine="0" w:left="360"/>
      </w:pPr>
      <w:r>
        <w:rPr>
          <w:rFonts w:ascii="宋体" w:hAnsi="宋体" w:eastAsia="宋体"/>
          <w:sz w:val="20"/>
        </w:rPr>
        <w:t xml:space="preserve">[1] </w:t>
      </w:r>
      <w:r>
        <w:rPr>
          <w:rFonts w:ascii="宋体" w:hAnsi="宋体" w:eastAsia="宋体"/>
          <w:sz w:val="20"/>
        </w:rPr>
        <w:t>2026 睿抗机器人开发者大赛 CAIR 强体赛道轮式机器人全域安防赛题“平安城市/智能侦察”赛项参赛情况说明（湖北省）</w:t>
      </w:r>
    </w:p>
    <w:p>
      <w:pPr>
        <w:spacing w:after="60"/>
        <w:ind w:firstLine="0" w:left="360"/>
      </w:pPr>
      <w:r>
        <w:rPr>
          <w:rFonts w:ascii="宋体" w:hAnsi="宋体" w:eastAsia="宋体"/>
          <w:sz w:val="20"/>
        </w:rPr>
        <w:t xml:space="preserve">[2] </w:t>
      </w:r>
      <w:r>
        <w:rPr>
          <w:rFonts w:ascii="宋体" w:hAnsi="宋体" w:eastAsia="宋体"/>
          <w:sz w:val="20"/>
        </w:rPr>
        <w:t xml:space="preserve">OSRF Gazebo Models: </w:t>
      </w:r>
      <w:hyperlink r:id="rId9">
        <w:r>
          <w:rPr>
            <w:color w:val="0563C1"/>
            <w:u w:val="single"/>
          </w:rPr>
          <w:t>https://github.com/osrf/gazebo_models</w:t>
        </w:r>
      </w:hyperlink>
    </w:p>
    <w:p>
      <w:pPr>
        <w:spacing w:after="60"/>
        <w:ind w:firstLine="0" w:left="360"/>
      </w:pPr>
      <w:r>
        <w:rPr>
          <w:rFonts w:ascii="宋体" w:hAnsi="宋体" w:eastAsia="宋体"/>
          <w:sz w:val="20"/>
        </w:rPr>
        <w:t xml:space="preserve">[3] </w:t>
      </w:r>
      <w:r>
        <w:rPr>
          <w:rFonts w:ascii="宋体" w:hAnsi="宋体" w:eastAsia="宋体"/>
          <w:sz w:val="20"/>
        </w:rPr>
        <w:t xml:space="preserve">3DGEMS - 3D Gazebo Models: </w:t>
      </w:r>
      <w:hyperlink r:id="rId10">
        <w:r>
          <w:rPr>
            <w:color w:val="0563C1"/>
            <w:u w:val="single"/>
          </w:rPr>
          <w:t>https://data.nvision2.eecs.yorku.ca/3DGEMS/</w:t>
        </w:r>
      </w:hyperlink>
    </w:p>
    <w:p>
      <w:pPr>
        <w:spacing w:after="60"/>
        <w:ind w:firstLine="0" w:left="360"/>
      </w:pPr>
      <w:r>
        <w:rPr>
          <w:rFonts w:ascii="宋体" w:hAnsi="宋体" w:eastAsia="宋体"/>
          <w:sz w:val="20"/>
        </w:rPr>
        <w:t xml:space="preserve">[4] </w:t>
      </w:r>
      <w:r>
        <w:rPr>
          <w:rFonts w:ascii="宋体" w:hAnsi="宋体" w:eastAsia="宋体"/>
          <w:sz w:val="20"/>
        </w:rPr>
        <w:t xml:space="preserve">Gazebo Classic Actor Tutorial: </w:t>
      </w:r>
      <w:hyperlink r:id="rId11">
        <w:r>
          <w:rPr>
            <w:color w:val="0563C1"/>
            <w:u w:val="single"/>
          </w:rPr>
          <w:t>https://classic.gazebosim.org/tutorials?tut=actor</w:t>
        </w:r>
      </w:hyperlink>
    </w:p>
    <w:p>
      <w:pPr>
        <w:spacing w:after="60"/>
        <w:ind w:firstLine="0" w:left="360"/>
      </w:pPr>
      <w:r>
        <w:rPr>
          <w:rFonts w:ascii="宋体" w:hAnsi="宋体" w:eastAsia="宋体"/>
          <w:sz w:val="20"/>
        </w:rPr>
        <w:t xml:space="preserve">[5] </w:t>
      </w:r>
      <w:r>
        <w:rPr>
          <w:rFonts w:ascii="宋体" w:hAnsi="宋体" w:eastAsia="宋体"/>
          <w:sz w:val="20"/>
        </w:rPr>
        <w:t xml:space="preserve">Gazebo Fuel / Gazebo Sim Model Resources: </w:t>
      </w:r>
      <w:hyperlink r:id="rId12">
        <w:r>
          <w:rPr>
            <w:color w:val="0563C1"/>
            <w:u w:val="single"/>
          </w:rPr>
          <w:t>https://app.gazebosim.org/</w:t>
        </w:r>
      </w:hyperlink>
    </w:p>
    <w:p>
      <w:pPr>
        <w:spacing w:after="60"/>
        <w:ind w:firstLine="0" w:left="360"/>
      </w:pPr>
      <w:r>
        <w:rPr>
          <w:rFonts w:ascii="宋体" w:hAnsi="宋体" w:eastAsia="宋体"/>
          <w:sz w:val="20"/>
        </w:rPr>
        <w:t xml:space="preserve">[6] </w:t>
      </w:r>
      <w:r>
        <w:rPr>
          <w:rFonts w:ascii="宋体" w:hAnsi="宋体" w:eastAsia="宋体"/>
          <w:sz w:val="20"/>
        </w:rPr>
        <w:t xml:space="preserve">Sketchfab 3D Model Search: </w:t>
      </w:r>
      <w:hyperlink r:id="rId13">
        <w:r>
          <w:rPr>
            <w:color w:val="0563C1"/>
            <w:u w:val="single"/>
          </w:rPr>
          <w:t>https://sketchfab.com/</w:t>
        </w:r>
      </w:hyperlink>
    </w:p>
    <w:sectPr w:rsidR="00FC693F" w:rsidRPr="0006063C" w:rsidSect="00034616">
      <w:footerReference w:type="default" r:id="rId14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8"/>
      </w:rPr>
      <w:t>平安城市赛项仿真模型资源获取与场景构建报告（简化版）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osrf/gazebo_models" TargetMode="External"/><Relationship Id="rId10" Type="http://schemas.openxmlformats.org/officeDocument/2006/relationships/hyperlink" Target="https://data.nvision2.eecs.yorku.ca/3DGEMS/" TargetMode="External"/><Relationship Id="rId11" Type="http://schemas.openxmlformats.org/officeDocument/2006/relationships/hyperlink" Target="https://classic.gazebosim.org/tutorials?tut=actor" TargetMode="External"/><Relationship Id="rId12" Type="http://schemas.openxmlformats.org/officeDocument/2006/relationships/hyperlink" Target="https://app.gazebosim.org/" TargetMode="External"/><Relationship Id="rId13" Type="http://schemas.openxmlformats.org/officeDocument/2006/relationships/hyperlink" Target="https://sketchfab.com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