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Document"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r="http://schemas.openxmlformats.org/officeDocument/2006/relationships" xmlns:w="http://schemas.openxmlformats.org/wordprocessingml/2006/main">
  <w:body>
    <w:p>
      <w:pPr>
        <w:pStyle w:val="Title"/>
      </w:pPr>
      <w:r>
        <w:t xml:space="preserve">2035–2040 İçin Çocuk Yetkinlikleri</w:t>
      </w:r>
    </w:p>
    <w:p>
      <w:pPr/>
      <w:r>
        <w:t xml:space="preserve">Akademik araştırma raporu — A1: Yetkinlik keşfi · A2: Akademik kanıt incelemesi · A3: Sentez ve önceliklendirme</w:t>
      </w:r>
    </w:p>
    <w:p>
      <w:pPr>
        <w:pStyle w:val="Heading2"/>
      </w:pPr>
      <w:r>
        <w:t xml:space="preserve">Araştırmanın amacı ve kapsamı</w:t>
      </w:r>
    </w:p>
    <w:p>
      <w:pPr/>
      <w:r>
        <w:t xml:space="preserve">Bu raporun ana araştırma sorusu şudur: “2035–2040 dünyasında çocukların hangi bilgi, beceri, tutum ve yetkinliklere ihtiyacı olacak; bunların hangileri çocukluk döneminde geliştirilebilir, dijital/oyun tabanlı ortamlarda desteklenebilir ve güvenilir biçimde ölçülebilir?”</w:t>
      </w:r>
    </w:p>
    <w:p>
      <w:pPr/>
      <w:r>
        <w:t xml:space="preserve">Araştırma, geleceğin eğitimini bilginin becerilerle değiştirilmesi olarak değil; bilgi, beceri, tutum ve değerlerin birlikte kullanılmasını gerektiren bir süreç olarak ele almaktadır. OECD Learning Compass 2030, bu bileşenlerle birlikte öğrencinin belirsiz durumlarda yönünü belirleyebilmesini ifade eden student agency kavramını öne çıkarmaktadır (OECD, 2019). UNESCO'nun 2050 perspektifi de eğitimi bilgi edinme ve üretmenin yanı sıra insanlar, teknoloji ve gezegen arasındaki ilişkileri anlama üzerinden tartışmaktadır.</w:t>
      </w:r>
    </w:p>
    <w:p>
      <w:pPr/>
      <w:r>
        <w:t xml:space="preserve">2035–2040 için üzerinde evrensel uzlaşma bulunan tek bir yetkinlik listesi yoktur. Buradaki 25 aday yetkinliği içeren harita, uluslararası çerçeveler ile akademik literatür sentezlerinin karşılaştırılmasına dayanmaktadır; geleceğe ilişkin kesin bir tahmin veya çocuklarda etkililiği doğrulanmış bir eğitim programı değildir. A1 kaynaklar arası kavramsal yakınsamayı, A2 gelişim ve müdahale kanıtlarını, A3 ise bu bulguların karşılaştırmalı sentezini ele almaktadır. Pazar, rakip, ürün seçimi ve hedef ürün yaşına ilişkin kararlar kapsam dışındadır.</w:t>
      </w:r>
    </w:p>
    <w:p>
      <w:pPr>
        <w:pStyle w:val="Heading1"/>
        <w:pageBreakBefore/>
      </w:pPr>
      <w:r>
        <w:t xml:space="preserve">İçindekiler</w:t>
      </w:r>
    </w:p>
    <w:p>
      <w:pPr>
        <w:pStyle w:val="TOCEntry"/>
      </w:pPr>
      <w:hyperlink w:anchor="A1">
        <w:r>
          <w:rPr>
            <w:rStyle w:val="Hyperlink"/>
          </w:rPr>
          <w:t xml:space="preserve">A1. Gelecek Yetkinliklerinin Belirlenmesi</w:t>
        </w:r>
      </w:hyperlink>
    </w:p>
    <w:p>
      <w:pPr>
        <w:pStyle w:val="TOCEntry"/>
      </w:pPr>
      <w:hyperlink w:anchor="A2">
        <w:r>
          <w:rPr>
            <w:rStyle w:val="Hyperlink"/>
          </w:rPr>
          <w:t xml:space="preserve">A2. Akademik Kanıt İncelemesi</w:t>
        </w:r>
      </w:hyperlink>
    </w:p>
    <w:p>
      <w:pPr>
        <w:pStyle w:val="TOCEntry"/>
        <w:ind w:left="240"/>
      </w:pPr>
      <w:hyperlink w:anchor="A2_1">
        <w:r>
          <w:rPr>
            <w:rStyle w:val="Hyperlink"/>
          </w:rPr>
          <w:t xml:space="preserve">A2.1. Critical Thinking ve Evidence Evaluation</w:t>
        </w:r>
      </w:hyperlink>
    </w:p>
    <w:p>
      <w:pPr>
        <w:pStyle w:val="TOCEntry"/>
        <w:ind w:left="240"/>
      </w:pPr>
      <w:hyperlink w:anchor="A2_2">
        <w:r>
          <w:rPr>
            <w:rStyle w:val="Hyperlink"/>
          </w:rPr>
          <w:t xml:space="preserve">A2.2. Problem Solving</w:t>
        </w:r>
      </w:hyperlink>
    </w:p>
    <w:p>
      <w:pPr>
        <w:pStyle w:val="TOCEntry"/>
        <w:ind w:left="240"/>
      </w:pPr>
      <w:hyperlink w:anchor="A2_3">
        <w:r>
          <w:rPr>
            <w:rStyle w:val="Hyperlink"/>
          </w:rPr>
          <w:t xml:space="preserve">A2.3. Yaratıcılık ve Yaratıcı Düşünme</w:t>
        </w:r>
      </w:hyperlink>
    </w:p>
    <w:p>
      <w:pPr>
        <w:pStyle w:val="TOCEntry"/>
        <w:ind w:left="240"/>
      </w:pPr>
      <w:hyperlink w:anchor="A2_4">
        <w:r>
          <w:rPr>
            <w:rStyle w:val="Hyperlink"/>
          </w:rPr>
          <w:t xml:space="preserve">A2.4. Üstbiliş, Öğrenmeyi Öğrenme ve Öz Düzenlemeli Öğrenme</w:t>
        </w:r>
      </w:hyperlink>
    </w:p>
    <w:p>
      <w:pPr>
        <w:pStyle w:val="TOCEntry"/>
        <w:ind w:left="240"/>
      </w:pPr>
      <w:hyperlink w:anchor="A2_5">
        <w:r>
          <w:rPr>
            <w:rStyle w:val="Hyperlink"/>
          </w:rPr>
          <w:t xml:space="preserve">A2.5. Sistem Düşüncesi</w:t>
        </w:r>
      </w:hyperlink>
    </w:p>
    <w:p>
      <w:pPr>
        <w:pStyle w:val="TOCEntry"/>
        <w:ind w:left="240"/>
      </w:pPr>
      <w:hyperlink w:anchor="A2_6">
        <w:r>
          <w:rPr>
            <w:rStyle w:val="Hyperlink"/>
          </w:rPr>
          <w:t xml:space="preserve">A2.6. Yapay Zekâ, Bilgi ve Medya Okuryazarlığı</w:t>
        </w:r>
      </w:hyperlink>
    </w:p>
    <w:p>
      <w:pPr>
        <w:pStyle w:val="TOCEntry"/>
        <w:ind w:left="240"/>
      </w:pPr>
      <w:hyperlink w:anchor="A2_7">
        <w:r>
          <w:rPr>
            <w:rStyle w:val="Hyperlink"/>
          </w:rPr>
          <w:t xml:space="preserve">A2.7. Bilgi İşlemsel Düşünme ve Veri Okuryazarlığı</w:t>
        </w:r>
      </w:hyperlink>
    </w:p>
    <w:p>
      <w:pPr>
        <w:pStyle w:val="TOCEntry"/>
        <w:ind w:left="240"/>
      </w:pPr>
      <w:hyperlink w:anchor="A2_8">
        <w:r>
          <w:rPr>
            <w:rStyle w:val="Hyperlink"/>
          </w:rPr>
          <w:t xml:space="preserve">A2.8. İletişim, İş Birliği, Empati ve Sosyal-Duygusal Yetkinlikler</w:t>
        </w:r>
      </w:hyperlink>
    </w:p>
    <w:p>
      <w:pPr>
        <w:pStyle w:val="TOCEntry"/>
        <w:ind w:left="240"/>
      </w:pPr>
      <w:hyperlink w:anchor="A2_9">
        <w:r>
          <w:rPr>
            <w:rStyle w:val="Hyperlink"/>
          </w:rPr>
          <w:t xml:space="preserve">A2.9. Uyarlanabilirlik, Bilişsel Esneklik, Psikolojik Sağlamlık, Çabayı Sürdürme ve Öğrenci Eyleyiciliği</w:t>
        </w:r>
      </w:hyperlink>
    </w:p>
    <w:p>
      <w:pPr>
        <w:pStyle w:val="TOCEntry"/>
        <w:ind w:left="240"/>
      </w:pPr>
      <w:hyperlink w:anchor="A2_10">
        <w:r>
          <w:rPr>
            <w:rStyle w:val="Hyperlink"/>
          </w:rPr>
          <w:t xml:space="preserve">A2.10. Sürdürülebilirlik Okuryazarlığı ve Gelecek Düşünmesi</w:t>
        </w:r>
      </w:hyperlink>
    </w:p>
    <w:p>
      <w:pPr>
        <w:pStyle w:val="TOCEntry"/>
        <w:ind w:left="240"/>
      </w:pPr>
      <w:hyperlink w:anchor="A2_11">
        <w:r>
          <w:rPr>
            <w:rStyle w:val="Hyperlink"/>
          </w:rPr>
          <w:t xml:space="preserve">A2.11. Çapraz Pedagojik Sentez (Learning Sciences)</w:t>
        </w:r>
      </w:hyperlink>
    </w:p>
    <w:p>
      <w:pPr>
        <w:pStyle w:val="TOCEntry"/>
        <w:ind w:left="240"/>
      </w:pPr>
      <w:hyperlink w:anchor="A2_12">
        <w:r>
          <w:rPr>
            <w:rStyle w:val="Hyperlink"/>
          </w:rPr>
          <w:t xml:space="preserve">A2.12. Child–Computer Interaction ve Çocuk UX</w:t>
        </w:r>
      </w:hyperlink>
    </w:p>
    <w:p>
      <w:pPr>
        <w:pStyle w:val="TOCEntry"/>
        <w:ind w:left="240"/>
      </w:pPr>
      <w:hyperlink w:anchor="A2_13">
        <w:r>
          <w:rPr>
            <w:rStyle w:val="Hyperlink"/>
          </w:rPr>
          <w:t xml:space="preserve">A2.13. Ethics, Safety ve Child Rights</w:t>
        </w:r>
      </w:hyperlink>
    </w:p>
    <w:p>
      <w:pPr>
        <w:pStyle w:val="TOCEntry"/>
      </w:pPr>
      <w:hyperlink w:anchor="A3">
        <w:r>
          <w:rPr>
            <w:rStyle w:val="Hyperlink"/>
          </w:rPr>
          <w:t xml:space="preserve">A3. Akademik Sentez ve Yetkinlik Önceliklendirmesi</w:t>
        </w:r>
      </w:hyperlink>
    </w:p>
    <w:p>
      <w:pPr>
        <w:pStyle w:val="TOCEntry"/>
      </w:pPr>
      <w:hyperlink w:anchor="References">
        <w:r>
          <w:rPr>
            <w:rStyle w:val="Hyperlink"/>
          </w:rPr>
          <w:t xml:space="preserve">Kaynakça</w:t>
        </w:r>
      </w:hyperlink>
    </w:p>
    <w:p>
      <w:pPr>
        <w:pStyle w:val="Heading1"/>
        <w:pageBreakBefore/>
      </w:pPr>
      <w:bookmarkStart w:id="1" w:name="A1"/>
      <w:r>
        <w:t xml:space="preserve">A1. Gelecek Yetkinliklerinin Belirlenmesi</w:t>
      </w:r>
      <w:bookmarkEnd w:id="1"/>
    </w:p>
    <w:p>
      <w:pPr>
        <w:pStyle w:val="Heading2"/>
      </w:pPr>
      <w:r>
        <w:t xml:space="preserve">Kaynak seçimi ve karşılaştırma yaklaşımı</w:t>
      </w:r>
    </w:p>
    <w:p>
      <w:pPr/>
      <w:r>
        <w:t xml:space="preserve">Aday yetkinlikler üç kaynak katmanı üzerinden değerlendirilmiştir: uluslararası kurumsal çerçeveler (OECD, UNICEF, UNESCO ve EU/JRC); sistematik derleme ve scoping review türündeki akademik sentezler; ulusal karşılaştırma kaynağı olarak Türkiye Yüzyılı Maarif Modeli. Bir yetkinliğin farklı bağımsız çerçevelerde tekrarlanması ve/veya kurumsal çerçevelerdeki karşılığının akademik literatür tarafından desteklenmesi, aday havuzuna alınmasında dikkate alınmıştır.</w:t>
      </w:r>
    </w:p>
    <w:p>
      <w:pPr/>
      <w:r>
        <w:t xml:space="preserve">Bu yaklaşım, kaynaklarda kavramsal karşılığı bulunan yetkinlikleri belirlemeye yöneliktir. Kaynak yakınsaması, çocuklarda gelişim, öğretilebilirlik, ölçülebilirlik veya transfer kanıtının yerine geçmez. Bu boyutlar A2'de ayrı incelenmektedir.</w:t>
      </w:r>
    </w:p>
    <w:p>
      <w:pPr>
        <w:pStyle w:val="Heading2"/>
      </w:pPr>
      <w:r>
        <w:t xml:space="preserve">Kurumsal çerçeveler ve akademik sentezler</w:t>
      </w:r>
    </w:p>
    <w:p>
      <w:pPr/>
      <w:commentRangeStart w:id="2"/>
      <w:r>
        <w:t xml:space="preserve">OECD Learning Compass 2030; bilgi, beceri, tutum ve değerlerle birlikte student agency, sorumluluk alma, yeni değer yaratma ve çatışan gereksinimleri uzlaştırmayı vurgular (OECD, 2019). OECD'nin müfredat karşılaştırmasında critical thinking incelenen müfredat öğelerinin yaklaşık %66'sında, problem solving ise %59'unda yer almaktadır; learning-to-learn, collaboration ve agency de incelenen yetkinlikler arasındadır (OECD, 2020).</w:t>
      </w:r>
      <w:commentRangeEnd w:id="2"/>
      <w:r>
        <w:rPr>
          <w:rStyle w:val="CommentReference"/>
        </w:rPr>
        <w:commentReference w:id="2"/>
      </w:r>
    </w:p>
    <w:p>
      <w:pPr/>
      <w:commentRangeStart w:id="0"/>
      <w:r>
        <w:t xml:space="preserve">UNICEF Global Framework on Transferable Skills, çocuklar ve gençler için 12 beceriyi dört boyutta düzenler: bilişsel boyutta creativity, critical thinking ve problem solving; araçsal boyutta cooperation, negotiation ve decision making; bireysel boyutta self-management, resilience ve communication; sosyal boyutta respect for diversity, empathy ve participation (UNICEF, 2019).</w:t>
      </w:r>
      <w:commentRangeEnd w:id="0"/>
      <w:r>
        <w:rPr>
          <w:rStyle w:val="CommentReference"/>
        </w:rPr>
        <w:commentReference w:id="0"/>
      </w:r>
    </w:p>
    <w:p>
      <w:pPr/>
      <w:commentRangeStart w:id="1"/>
      <w:r>
        <w:t xml:space="preserve">LifeComp, kişisel, sosyal ve öğrenmeyi öğrenme alanlarında dokuz yetkinlik tanımlar: self-regulation, flexibility, wellbeing, empathy, communication, collaboration, growth mindset, critical thinking ve managing learning. Çerçeve, literatür incelemesi ile uzman ve paydaş görüşmeleri temelinde geliştirilmiştir (Sala ve ark., 2020).</w:t>
      </w:r>
      <w:commentRangeEnd w:id="1"/>
      <w:r>
        <w:rPr>
          <w:rStyle w:val="CommentReference"/>
        </w:rPr>
        <w:commentReference w:id="1"/>
      </w:r>
    </w:p>
    <w:p>
      <w:pPr/>
      <w:r>
        <w:t xml:space="preserve">GreenComp, dört alanda 12 sürdürülebilirlik yetkinliğini kapsar. Systems thinking, critical thinking, problem framing, futures literacy, adaptability ve exploratory thinking, bu raporun aday havuzuyla özellikle ilişkilidir (Bianchi ve ark., 2022).</w:t>
      </w:r>
    </w:p>
    <w:p>
      <w:pPr/>
      <w:r>
        <w:t xml:space="preserve">DigComp 3.0; bilgi ve veri okuryazarlığı, dijital güvenlik, mahremiyet, computational thinking ve AI competence gibi alanları kapsar. 2025 sürümünde yapay zekâ, siber güvenlik, dijital haklar, dijital iyi oluş ve misinformation/disinformation görünür biçimde ele alınmakta; AI competence çerçeve boyunca transversal bir unsur olarak konumlandırılmaktadır (Cosgrove ve Cachia, 2025).</w:t>
      </w:r>
    </w:p>
    <w:p>
      <w:pPr/>
      <w:r>
        <w:t xml:space="preserve">UNESCO AI Competency Framework for Students, yetkinlikleri human-centred mindset, ethics of AI, AI techniques and applications ve AI system design boyutlarında; Understand → Apply → Create düzeylerinde yapılandırır. Human agency, güvenli ve sorumlu kullanım, AI sistemlerinin eleştirel değerlendirilmesi ve yaşam boyu AI öğrenmesi bu çerçevenin temel vurgularıdır (Miao ve ark., 2024).</w:t>
      </w:r>
    </w:p>
    <w:p>
      <w:pPr/>
      <w:r>
        <w:t xml:space="preserve">Akademik karşılaştırma kapsamında van Laar ve arkadaşlarının (2017) sistematik derlemesinde 1.592 makale taranmış, 75 çalışma analize alınmıştır. Yedi temel beceri technical skills, information management, communication, collaboration, creativity, critical thinking ve problem solving; beş bağlamsal beceri ise ethical awareness, cultural awareness, flexibility, self-direction ve lifelong learning olarak belirlenmiştir.</w:t>
      </w:r>
    </w:p>
    <w:p>
      <w:pPr/>
      <w:r>
        <w:t xml:space="preserve">Kain ve arkadaşlarının (2024), PRISMA yaklaşımıyla yürüttüğü 82 araştırmalık scoping review, 21. yüzyıl becerilerinin eğitim literatüründeki yaygınlığına karşılık ölçme ve değerlendirme araştırmalarının daha sınırlı kaldığını göstermektedir. AQA'nın (2023) altı yaygın çerçeveyi karşılaştıran literatür incelemesinde collaboration, communication, creativity, critical thinking, digital literacy ve problem solving sık tekrarlanan alanlardır. Bu inceleme, ana kaynak setini destekleyen ek bir karşılaştırma kaynağıdır.</w:t>
      </w:r>
    </w:p>
    <w:p>
      <w:pPr/>
      <w:r>
        <w:t xml:space="preserve">Türkiye Yüzyılı Maarif Modeli; karar verme, problem çözme ve eleştirel düşünmeyi üst düzey düşünme becerileri olarak tanımlar. Computational thinking, matematiksel muhakeme, veriye dayalı karar verme, mekânsal düşünme, iletişim, iş birliği, öz-düzenleme, esneklik, sistem düşüncesi ile bilgi, dijital, veri ve sürdürülebilirlik okuryazarlıkları da uluslararası adaylarla karşılaştırılan yapılardır. Müfredatta yer alma, ilgili yetkinliğin belirli bir müdahaleyle geliştirildiğine ilişkin kanıt olarak değerlendirilmemektedir.</w:t>
      </w:r>
    </w:p>
    <w:p>
      <w:pPr>
        <w:pStyle w:val="Heading2"/>
      </w:pPr>
      <w:r>
        <w:t xml:space="preserve">Kaynak × yetkinlik matrisi</w:t>
      </w:r>
    </w:p>
    <w:p>
      <w:pPr/>
      <w:r>
        <w:t xml:space="preserve">Matriste ●, yetkinliğin kaynakta doğrudan ve açık tanımını; ◐, aynı ad kullanılmasa da yakın veya daha geniş bir yapı içinde temsilini; —, kaynağın merkezî yapıları arasında yer almamasını gösterir. Özellikle ◐ kodları araştırmacıların kavramsal eşleştirmesidir. Örneğin UNESCO'nun AI system design içindeki problem scoping kavramı, genel problem solving ile özdeş değil, ilişkili kabul edilmiştir.</w:t>
      </w:r>
    </w:p>
    <w:p>
      <w:pPr/>
      <w:r>
        <w:t xml:space="preserve">Son sütunda A güçlü çekirdek yakınsamayı, B güçlü fakat alan-özgül/ikincil yakınsamayı, C gelişen/yeni yetkinlik alanlarını gösterir. </w:t>
      </w:r>
      <w:r>
        <w:rPr>
          <w:b/>
        </w:rPr>
        <w:t xml:space="preserve">A/B/C; önem, öğretilebilirlik veya bilimsel etki puanı değildir.</w:t>
      </w:r>
    </w:p>
    <w:p>
      <w:pPr>
        <w:spacing w:before="0" w:after="0" w:line="20" w:lineRule="exact"/>
        <w:sectPr>
          <w:footerReference w:type="default" r:id="rIdFooter"/>
          <w:type w:val="nextPage"/>
          <w:pgSz w:w="11906" w:h="16838"/>
          <w:pgMar w:top="1134" w:right="1134" w:bottom="1134" w:left="1134" w:header="567" w:footer="567" w:gutter="0"/>
        </w:sectPr>
      </w:pPr>
    </w:p>
    <w:tbl>
      <w:tblPr>
        <w:tblW w:w="14570"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4080"/>
        <w:gridCol w:w="1166"/>
        <w:gridCol w:w="1166"/>
        <w:gridCol w:w="1166"/>
        <w:gridCol w:w="1166"/>
        <w:gridCol w:w="1166"/>
        <w:gridCol w:w="1166"/>
        <w:gridCol w:w="1166"/>
        <w:gridCol w:w="1166"/>
        <w:gridCol w:w="1162"/>
      </w:tblGrid>
      <w:tr>
        <w:trPr>
          <w:cantSplit/>
          <w:tblHeader/>
        </w:trPr>
        <w:tc>
          <w:tcPr>
            <w:tcW w:w="4080" w:type="dxa"/>
            <w:vAlign w:val="top"/>
            <w:shd w:fill="E9EEF3" w:val="clear"/>
          </w:tcPr>
          <w:p>
            <w:pPr>
              <w:spacing w:before="0" w:after="35" w:line="240" w:lineRule="auto"/>
            </w:pPr>
            <w:r>
              <w:rPr>
                <w:b/>
                <w:sz w:val="17"/>
              </w:rPr>
              <w:t xml:space="preserve">Aday yetkinlik</w:t>
            </w:r>
          </w:p>
        </w:tc>
        <w:tc>
          <w:tcPr>
            <w:tcW w:w="1166" w:type="dxa"/>
            <w:vAlign w:val="top"/>
            <w:shd w:fill="E9EEF3" w:val="clear"/>
          </w:tcPr>
          <w:p>
            <w:pPr>
              <w:spacing w:before="0" w:after="35" w:line="240" w:lineRule="auto"/>
            </w:pPr>
            <w:r>
              <w:rPr>
                <w:b/>
                <w:sz w:val="17"/>
              </w:rPr>
              <w:t xml:space="preserve">OECD</w:t>
            </w:r>
          </w:p>
        </w:tc>
        <w:tc>
          <w:tcPr>
            <w:tcW w:w="1166" w:type="dxa"/>
            <w:vAlign w:val="top"/>
            <w:shd w:fill="E9EEF3" w:val="clear"/>
          </w:tcPr>
          <w:p>
            <w:pPr>
              <w:spacing w:before="0" w:after="35" w:line="240" w:lineRule="auto"/>
            </w:pPr>
            <w:r>
              <w:rPr>
                <w:b/>
                <w:sz w:val="17"/>
              </w:rPr>
              <w:t xml:space="preserve">UNICEF</w:t>
            </w:r>
          </w:p>
        </w:tc>
        <w:tc>
          <w:tcPr>
            <w:tcW w:w="1166" w:type="dxa"/>
            <w:vAlign w:val="top"/>
            <w:shd w:fill="E9EEF3" w:val="clear"/>
          </w:tcPr>
          <w:p>
            <w:pPr>
              <w:spacing w:before="0" w:after="35" w:line="240" w:lineRule="auto"/>
            </w:pPr>
            <w:r>
              <w:rPr>
                <w:b/>
                <w:sz w:val="17"/>
              </w:rPr>
              <w:t xml:space="preserve">LifeComp</w:t>
            </w:r>
          </w:p>
        </w:tc>
        <w:tc>
          <w:tcPr>
            <w:tcW w:w="1166" w:type="dxa"/>
            <w:vAlign w:val="top"/>
            <w:shd w:fill="E9EEF3" w:val="clear"/>
          </w:tcPr>
          <w:p>
            <w:pPr>
              <w:spacing w:before="0" w:after="35" w:line="240" w:lineRule="auto"/>
            </w:pPr>
            <w:r>
              <w:rPr>
                <w:b/>
                <w:sz w:val="17"/>
              </w:rPr>
              <w:t xml:space="preserve">GreenComp</w:t>
            </w:r>
          </w:p>
        </w:tc>
        <w:tc>
          <w:tcPr>
            <w:tcW w:w="1166" w:type="dxa"/>
            <w:vAlign w:val="top"/>
            <w:shd w:fill="E9EEF3" w:val="clear"/>
          </w:tcPr>
          <w:p>
            <w:pPr>
              <w:spacing w:before="0" w:after="35" w:line="240" w:lineRule="auto"/>
            </w:pPr>
            <w:r>
              <w:rPr>
                <w:b/>
                <w:sz w:val="17"/>
              </w:rPr>
              <w:t xml:space="preserve">DigComp 3</w:t>
            </w:r>
          </w:p>
        </w:tc>
        <w:tc>
          <w:tcPr>
            <w:tcW w:w="1166" w:type="dxa"/>
            <w:vAlign w:val="top"/>
            <w:shd w:fill="E9EEF3" w:val="clear"/>
          </w:tcPr>
          <w:p>
            <w:pPr>
              <w:spacing w:before="0" w:after="35" w:line="240" w:lineRule="auto"/>
            </w:pPr>
            <w:r>
              <w:rPr>
                <w:b/>
                <w:sz w:val="17"/>
              </w:rPr>
              <w:t xml:space="preserve">UNESCO AI</w:t>
            </w:r>
          </w:p>
        </w:tc>
        <w:tc>
          <w:tcPr>
            <w:tcW w:w="1166" w:type="dxa"/>
            <w:vAlign w:val="top"/>
            <w:shd w:fill="E9EEF3" w:val="clear"/>
          </w:tcPr>
          <w:p>
            <w:pPr>
              <w:spacing w:before="0" w:after="35" w:line="240" w:lineRule="auto"/>
            </w:pPr>
            <w:r>
              <w:rPr>
                <w:b/>
                <w:sz w:val="17"/>
              </w:rPr>
              <w:t xml:space="preserve">MEB</w:t>
            </w:r>
          </w:p>
        </w:tc>
        <w:tc>
          <w:tcPr>
            <w:tcW w:w="1166" w:type="dxa"/>
            <w:vAlign w:val="top"/>
            <w:shd w:fill="E9EEF3" w:val="clear"/>
          </w:tcPr>
          <w:p>
            <w:pPr>
              <w:spacing w:before="0" w:after="35" w:line="240" w:lineRule="auto"/>
            </w:pPr>
            <w:r>
              <w:rPr>
                <w:b/>
                <w:sz w:val="17"/>
              </w:rPr>
              <w:t xml:space="preserve">Akademik derleme</w:t>
            </w:r>
          </w:p>
        </w:tc>
        <w:tc>
          <w:tcPr>
            <w:tcW w:w="1162" w:type="dxa"/>
            <w:vAlign w:val="top"/>
            <w:shd w:fill="E9EEF3" w:val="clear"/>
          </w:tcPr>
          <w:p>
            <w:pPr>
              <w:spacing w:before="0" w:after="35" w:line="240" w:lineRule="auto"/>
            </w:pPr>
            <w:r>
              <w:rPr>
                <w:b/>
                <w:sz w:val="17"/>
              </w:rPr>
              <w:t xml:space="preserve">Sınıf</w:t>
            </w:r>
          </w:p>
        </w:tc>
      </w:tr>
      <w:tr>
        <w:trPr>
          <w:cantSplit/>
        </w:trPr>
        <w:tc>
          <w:tcPr>
            <w:tcW w:w="4080" w:type="dxa"/>
            <w:vAlign w:val="top"/>
          </w:tcPr>
          <w:p>
            <w:pPr>
              <w:spacing w:before="0" w:after="35" w:line="240" w:lineRule="auto"/>
            </w:pPr>
            <w:r>
              <w:rPr>
                <w:sz w:val="17"/>
              </w:rPr>
              <w:t xml:space="preserve">Critical thinking</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A</w:t>
            </w:r>
          </w:p>
        </w:tc>
      </w:tr>
      <w:tr>
        <w:trPr>
          <w:cantSplit/>
        </w:trPr>
        <w:tc>
          <w:tcPr>
            <w:tcW w:w="4080" w:type="dxa"/>
            <w:vAlign w:val="top"/>
          </w:tcPr>
          <w:p>
            <w:pPr>
              <w:spacing w:before="0" w:after="35" w:line="240" w:lineRule="auto"/>
            </w:pPr>
            <w:r>
              <w:rPr>
                <w:sz w:val="17"/>
              </w:rPr>
              <w:t xml:space="preserve">Problem solving</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A</w:t>
            </w:r>
          </w:p>
        </w:tc>
      </w:tr>
      <w:tr>
        <w:trPr>
          <w:cantSplit/>
        </w:trPr>
        <w:tc>
          <w:tcPr>
            <w:tcW w:w="4080" w:type="dxa"/>
            <w:vAlign w:val="top"/>
          </w:tcPr>
          <w:p>
            <w:pPr>
              <w:spacing w:before="0" w:after="35" w:line="240" w:lineRule="auto"/>
            </w:pPr>
            <w:r>
              <w:rPr>
                <w:sz w:val="17"/>
              </w:rPr>
              <w:t xml:space="preserve">Creativity</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A</w:t>
            </w:r>
          </w:p>
        </w:tc>
      </w:tr>
      <w:tr>
        <w:trPr>
          <w:cantSplit/>
        </w:trPr>
        <w:tc>
          <w:tcPr>
            <w:tcW w:w="4080" w:type="dxa"/>
            <w:vAlign w:val="top"/>
          </w:tcPr>
          <w:p>
            <w:pPr>
              <w:spacing w:before="0" w:after="35" w:line="240" w:lineRule="auto"/>
            </w:pPr>
            <w:r>
              <w:rPr>
                <w:sz w:val="17"/>
              </w:rPr>
              <w:t xml:space="preserve">Decision making</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B</w:t>
            </w:r>
          </w:p>
        </w:tc>
      </w:tr>
      <w:tr>
        <w:trPr>
          <w:cantSplit/>
        </w:trPr>
        <w:tc>
          <w:tcPr>
            <w:tcW w:w="4080" w:type="dxa"/>
            <w:vAlign w:val="top"/>
          </w:tcPr>
          <w:p>
            <w:pPr>
              <w:spacing w:before="0" w:after="35" w:line="240" w:lineRule="auto"/>
            </w:pPr>
            <w:r>
              <w:rPr>
                <w:sz w:val="17"/>
              </w:rPr>
              <w:t xml:space="preserve">Systems thinking</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B</w:t>
            </w:r>
          </w:p>
        </w:tc>
      </w:tr>
      <w:tr>
        <w:trPr>
          <w:cantSplit/>
        </w:trPr>
        <w:tc>
          <w:tcPr>
            <w:tcW w:w="4080" w:type="dxa"/>
            <w:vAlign w:val="top"/>
          </w:tcPr>
          <w:p>
            <w:pPr>
              <w:spacing w:before="0" w:after="35" w:line="240" w:lineRule="auto"/>
            </w:pPr>
            <w:r>
              <w:rPr>
                <w:sz w:val="17"/>
              </w:rPr>
              <w:t xml:space="preserve">Information / source evaluation</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B</w:t>
            </w:r>
          </w:p>
        </w:tc>
      </w:tr>
      <w:tr>
        <w:trPr>
          <w:cantSplit/>
        </w:trPr>
        <w:tc>
          <w:tcPr>
            <w:tcW w:w="4080" w:type="dxa"/>
            <w:vAlign w:val="top"/>
          </w:tcPr>
          <w:p>
            <w:pPr>
              <w:spacing w:before="0" w:after="35" w:line="240" w:lineRule="auto"/>
            </w:pPr>
            <w:r>
              <w:rPr>
                <w:sz w:val="17"/>
              </w:rPr>
              <w:t xml:space="preserve">Media / misinformation literacy</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B</w:t>
            </w:r>
          </w:p>
        </w:tc>
      </w:tr>
      <w:tr>
        <w:trPr>
          <w:cantSplit/>
        </w:trPr>
        <w:tc>
          <w:tcPr>
            <w:tcW w:w="4080" w:type="dxa"/>
            <w:vAlign w:val="top"/>
          </w:tcPr>
          <w:p>
            <w:pPr>
              <w:spacing w:before="0" w:after="35" w:line="240" w:lineRule="auto"/>
            </w:pPr>
            <w:r>
              <w:rPr>
                <w:sz w:val="17"/>
              </w:rPr>
              <w:t xml:space="preserve">AI literacy</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C</w:t>
            </w:r>
          </w:p>
        </w:tc>
      </w:tr>
      <w:tr>
        <w:trPr>
          <w:cantSplit/>
        </w:trPr>
        <w:tc>
          <w:tcPr>
            <w:tcW w:w="4080" w:type="dxa"/>
            <w:vAlign w:val="top"/>
          </w:tcPr>
          <w:p>
            <w:pPr>
              <w:spacing w:before="0" w:after="35" w:line="240" w:lineRule="auto"/>
            </w:pPr>
            <w:r>
              <w:rPr>
                <w:sz w:val="17"/>
              </w:rPr>
              <w:t xml:space="preserve">Digital literacy</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A</w:t>
            </w:r>
          </w:p>
        </w:tc>
      </w:tr>
      <w:tr>
        <w:trPr>
          <w:cantSplit/>
        </w:trPr>
        <w:tc>
          <w:tcPr>
            <w:tcW w:w="4080" w:type="dxa"/>
            <w:vAlign w:val="top"/>
          </w:tcPr>
          <w:p>
            <w:pPr>
              <w:spacing w:before="0" w:after="35" w:line="240" w:lineRule="auto"/>
            </w:pPr>
            <w:r>
              <w:rPr>
                <w:sz w:val="17"/>
              </w:rPr>
              <w:t xml:space="preserve">Computational thinking</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B</w:t>
            </w:r>
          </w:p>
        </w:tc>
      </w:tr>
      <w:tr>
        <w:trPr>
          <w:cantSplit/>
        </w:trPr>
        <w:tc>
          <w:tcPr>
            <w:tcW w:w="4080" w:type="dxa"/>
            <w:vAlign w:val="top"/>
          </w:tcPr>
          <w:p>
            <w:pPr>
              <w:spacing w:before="0" w:after="35" w:line="240" w:lineRule="auto"/>
            </w:pPr>
            <w:r>
              <w:rPr>
                <w:sz w:val="17"/>
              </w:rPr>
              <w:t xml:space="preserve">Data literacy</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B</w:t>
            </w:r>
          </w:p>
        </w:tc>
      </w:tr>
      <w:tr>
        <w:trPr>
          <w:cantSplit/>
        </w:trPr>
        <w:tc>
          <w:tcPr>
            <w:tcW w:w="4080" w:type="dxa"/>
            <w:vAlign w:val="top"/>
          </w:tcPr>
          <w:p>
            <w:pPr>
              <w:spacing w:before="0" w:after="35" w:line="240" w:lineRule="auto"/>
            </w:pPr>
            <w:r>
              <w:rPr>
                <w:sz w:val="17"/>
              </w:rPr>
              <w:t xml:space="preserve">Digital safety / privacy</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B</w:t>
            </w:r>
          </w:p>
        </w:tc>
      </w:tr>
      <w:tr>
        <w:trPr>
          <w:cantSplit/>
        </w:trPr>
        <w:tc>
          <w:tcPr>
            <w:tcW w:w="4080" w:type="dxa"/>
            <w:vAlign w:val="top"/>
          </w:tcPr>
          <w:p>
            <w:pPr>
              <w:spacing w:before="0" w:after="35" w:line="240" w:lineRule="auto"/>
            </w:pPr>
            <w:r>
              <w:rPr>
                <w:sz w:val="17"/>
              </w:rPr>
              <w:t xml:space="preserve">Metacognition</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B</w:t>
            </w:r>
          </w:p>
        </w:tc>
      </w:tr>
      <w:tr>
        <w:trPr>
          <w:cantSplit/>
        </w:trPr>
        <w:tc>
          <w:tcPr>
            <w:tcW w:w="4080" w:type="dxa"/>
            <w:vAlign w:val="top"/>
          </w:tcPr>
          <w:p>
            <w:pPr>
              <w:spacing w:before="0" w:after="35" w:line="240" w:lineRule="auto"/>
            </w:pPr>
            <w:r>
              <w:rPr>
                <w:sz w:val="17"/>
              </w:rPr>
              <w:t xml:space="preserve">Learning to learn</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A</w:t>
            </w:r>
          </w:p>
        </w:tc>
      </w:tr>
      <w:tr>
        <w:trPr>
          <w:cantSplit/>
        </w:trPr>
        <w:tc>
          <w:tcPr>
            <w:tcW w:w="4080" w:type="dxa"/>
            <w:vAlign w:val="top"/>
          </w:tcPr>
          <w:p>
            <w:pPr>
              <w:spacing w:before="0" w:after="35" w:line="240" w:lineRule="auto"/>
            </w:pPr>
            <w:r>
              <w:rPr>
                <w:sz w:val="17"/>
              </w:rPr>
              <w:t xml:space="preserve">Self-regulation</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A</w:t>
            </w:r>
          </w:p>
        </w:tc>
      </w:tr>
      <w:tr>
        <w:trPr>
          <w:cantSplit/>
        </w:trPr>
        <w:tc>
          <w:tcPr>
            <w:tcW w:w="4080" w:type="dxa"/>
            <w:vAlign w:val="top"/>
          </w:tcPr>
          <w:p>
            <w:pPr>
              <w:spacing w:before="0" w:after="35" w:line="240" w:lineRule="auto"/>
            </w:pPr>
            <w:r>
              <w:rPr>
                <w:sz w:val="17"/>
              </w:rPr>
              <w:t xml:space="preserve">Adaptability / cognitive flexibility</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A</w:t>
            </w:r>
          </w:p>
        </w:tc>
      </w:tr>
      <w:tr>
        <w:trPr>
          <w:cantSplit/>
        </w:trPr>
        <w:tc>
          <w:tcPr>
            <w:tcW w:w="4080" w:type="dxa"/>
            <w:vAlign w:val="top"/>
          </w:tcPr>
          <w:p>
            <w:pPr>
              <w:spacing w:before="0" w:after="35" w:line="240" w:lineRule="auto"/>
            </w:pPr>
            <w:r>
              <w:rPr>
                <w:sz w:val="17"/>
              </w:rPr>
              <w:t xml:space="preserve">Resilience / persistence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B</w:t>
            </w:r>
          </w:p>
        </w:tc>
      </w:tr>
      <w:tr>
        <w:trPr>
          <w:cantSplit/>
        </w:trPr>
        <w:tc>
          <w:tcPr>
            <w:tcW w:w="4080" w:type="dxa"/>
            <w:vAlign w:val="top"/>
          </w:tcPr>
          <w:p>
            <w:pPr>
              <w:spacing w:before="0" w:after="35" w:line="240" w:lineRule="auto"/>
            </w:pPr>
            <w:r>
              <w:rPr>
                <w:sz w:val="17"/>
              </w:rPr>
              <w:t xml:space="preserve">Agency / responsibility</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A</w:t>
            </w:r>
          </w:p>
        </w:tc>
      </w:tr>
      <w:tr>
        <w:trPr>
          <w:cantSplit/>
        </w:trPr>
        <w:tc>
          <w:tcPr>
            <w:tcW w:w="4080" w:type="dxa"/>
            <w:vAlign w:val="top"/>
          </w:tcPr>
          <w:p>
            <w:pPr>
              <w:spacing w:before="0" w:after="35" w:line="240" w:lineRule="auto"/>
            </w:pPr>
            <w:r>
              <w:rPr>
                <w:sz w:val="17"/>
              </w:rPr>
              <w:t xml:space="preserve">Communication</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A</w:t>
            </w:r>
          </w:p>
        </w:tc>
      </w:tr>
      <w:tr>
        <w:trPr>
          <w:cantSplit/>
        </w:trPr>
        <w:tc>
          <w:tcPr>
            <w:tcW w:w="4080" w:type="dxa"/>
            <w:vAlign w:val="top"/>
          </w:tcPr>
          <w:p>
            <w:pPr>
              <w:spacing w:before="0" w:after="35" w:line="240" w:lineRule="auto"/>
            </w:pPr>
            <w:r>
              <w:rPr>
                <w:sz w:val="17"/>
              </w:rPr>
              <w:t xml:space="preserve">Collaboration</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A</w:t>
            </w:r>
          </w:p>
        </w:tc>
      </w:tr>
      <w:tr>
        <w:trPr>
          <w:cantSplit/>
        </w:trPr>
        <w:tc>
          <w:tcPr>
            <w:tcW w:w="4080" w:type="dxa"/>
            <w:vAlign w:val="top"/>
          </w:tcPr>
          <w:p>
            <w:pPr>
              <w:spacing w:before="0" w:after="35" w:line="240" w:lineRule="auto"/>
            </w:pPr>
            <w:r>
              <w:rPr>
                <w:sz w:val="17"/>
              </w:rPr>
              <w:t xml:space="preserve">Empathy</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A</w:t>
            </w:r>
          </w:p>
        </w:tc>
      </w:tr>
      <w:tr>
        <w:trPr>
          <w:cantSplit/>
        </w:trPr>
        <w:tc>
          <w:tcPr>
            <w:tcW w:w="4080" w:type="dxa"/>
            <w:vAlign w:val="top"/>
          </w:tcPr>
          <w:p>
            <w:pPr>
              <w:spacing w:before="0" w:after="35" w:line="240" w:lineRule="auto"/>
            </w:pPr>
            <w:r>
              <w:rPr>
                <w:sz w:val="17"/>
              </w:rPr>
              <w:t xml:space="preserve">Negotiation / conflict resolution</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B</w:t>
            </w:r>
          </w:p>
        </w:tc>
      </w:tr>
      <w:tr>
        <w:trPr>
          <w:cantSplit/>
        </w:trPr>
        <w:tc>
          <w:tcPr>
            <w:tcW w:w="4080" w:type="dxa"/>
            <w:vAlign w:val="top"/>
          </w:tcPr>
          <w:p>
            <w:pPr>
              <w:spacing w:before="0" w:after="35" w:line="240" w:lineRule="auto"/>
            </w:pPr>
            <w:r>
              <w:rPr>
                <w:sz w:val="17"/>
              </w:rPr>
              <w:t xml:space="preserve">Sustainability literacy</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B</w:t>
            </w:r>
          </w:p>
        </w:tc>
      </w:tr>
      <w:tr>
        <w:trPr>
          <w:cantSplit/>
        </w:trPr>
        <w:tc>
          <w:tcPr>
            <w:tcW w:w="4080" w:type="dxa"/>
            <w:vAlign w:val="top"/>
          </w:tcPr>
          <w:p>
            <w:pPr>
              <w:spacing w:before="0" w:after="35" w:line="240" w:lineRule="auto"/>
            </w:pPr>
            <w:r>
              <w:rPr>
                <w:sz w:val="17"/>
              </w:rPr>
              <w:t xml:space="preserve">Futures literacy</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C</w:t>
            </w:r>
          </w:p>
        </w:tc>
      </w:tr>
      <w:tr>
        <w:trPr>
          <w:cantSplit/>
        </w:trPr>
        <w:tc>
          <w:tcPr>
            <w:tcW w:w="4080" w:type="dxa"/>
            <w:vAlign w:val="top"/>
          </w:tcPr>
          <w:p>
            <w:pPr>
              <w:spacing w:before="0" w:after="35" w:line="240" w:lineRule="auto"/>
            </w:pPr>
            <w:r>
              <w:rPr>
                <w:sz w:val="17"/>
              </w:rPr>
              <w:t xml:space="preserve">Participation / citizenship</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6" w:type="dxa"/>
            <w:vAlign w:val="top"/>
          </w:tcPr>
          <w:p>
            <w:pPr>
              <w:spacing w:before="0" w:after="35" w:line="240" w:lineRule="auto"/>
            </w:pPr>
            <w:r>
              <w:rPr>
                <w:sz w:val="17"/>
              </w:rPr>
              <w:t xml:space="preserve">—</w:t>
            </w:r>
          </w:p>
        </w:tc>
        <w:tc>
          <w:tcPr>
            <w:tcW w:w="1162" w:type="dxa"/>
            <w:vAlign w:val="top"/>
          </w:tcPr>
          <w:p>
            <w:pPr>
              <w:spacing w:before="0" w:after="35" w:line="240" w:lineRule="auto"/>
            </w:pPr>
            <w:r>
              <w:rPr>
                <w:sz w:val="17"/>
              </w:rPr>
              <w:t xml:space="preserve">B</w:t>
            </w:r>
          </w:p>
        </w:tc>
      </w:tr>
    </w:tbl>
    <w:p>
      <w:pPr>
        <w:spacing w:before="0" w:after="0" w:line="20" w:lineRule="exact"/>
        <w:sectPr>
          <w:footerReference w:type="default" r:id="rIdFooter"/>
          <w:type w:val="nextPage"/>
          <w:pgSz w:w="16838" w:h="11906" w:orient="landscape"/>
          <w:pgMar w:top="1134" w:right="1134" w:bottom="1134" w:left="1134" w:header="567" w:footer="567" w:gutter="0"/>
        </w:sectPr>
      </w:pPr>
    </w:p>
    <w:p>
      <w:pPr>
        <w:pStyle w:val="Heading2"/>
      </w:pPr>
      <w:r>
        <w:t xml:space="preserve">Yakınsama ve kavramsal ayrımlar</w:t>
      </w:r>
    </w:p>
    <w:p>
      <w:pPr/>
      <w:r>
        <w:t xml:space="preserve">Matris, critical thinking, problem solving, communication/collaboration ve öğrenmenin yönetimi gibi alanlarda belirgin çapraz kaynak yakınsaması göstermektedir. B grubundaki alanların daha az önemli olduğu sonucu çıkarılamaz: systems thinking, örneğin GreenComp ve Türkiye Yüzyılı Maarif Modeli'nde güçlü biçimde tanımlanırken genel yetkinlik çerçevelerinde daha sınırlı temsil edilmektedir.</w:t>
      </w:r>
    </w:p>
    <w:p>
      <w:pPr/>
      <w:r>
        <w:t xml:space="preserve">AI literacy ve futures literacy'nin C grubunda bulunması da zayıflık anlamına gelmez. AI literacy, van Laar ve arkadaşlarının 2017 derlemesinde bağımsız bir çekirdek yetkinlik olarak yer almazken UNESCO'nun 2024 çerçevesinde ayrı ele alınmış, DigComp 3.0'da (2025) transversal bir unsur olmuştur. Bu alanların tarihsel kaynak yakınsaması, daha yerleşik yapılardan ayrı değerlendirilmiştir.</w:t>
      </w:r>
    </w:p>
    <w:p>
      <w:pPr/>
      <w:r>
        <w:t xml:space="preserve">Metacognition ile learning to learn, yakın ilişkilerine karşın aday haritasında ayrı tutulmuştur. Metacognition düşünmenin farkında olma, izleme ve düzenlemeye odaklanırken learning to learn; öğrenmeyi planlama, organize etme, strateji değiştirme ve değerlendirmeyi kapsayan daha geniş bir yapıdır. LifeComp'taki managing learning ve OECD'nin metacognition, reflective thinking, learning-to-learn ve self-regulation ayrımları bu kavramsal incelemeye temel sağlar. Gelişimsel ve ölçümsel ilişkiler A2.4'te ele alınmaktadır.</w:t>
      </w:r>
    </w:p>
    <w:p>
      <w:pPr>
        <w:pStyle w:val="Heading2"/>
        <w:spacing w:before="100" w:after="40"/>
      </w:pPr>
      <w:r>
        <w:t>Aday yetkinliklerin A2/A3'teki izlenebilirliği</w:t>
      </w:r>
    </w:p>
    <w:p>
      <w:pPr>
        <w:spacing w:after="60"/>
      </w:pPr>
      <w:r>
        <w:rPr>
          <w:sz w:val="18"/>
        </w:rPr>
        <w:t>A1'deki 25 adayın bir bölümü A2/A3'te bağımsız olarak korunmuş, bir bölümü ilişkili yapılarla birleştirilmiş, bazıları ise kesişen süreç veya bağlam olarak kullanılmıştır.</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948"/>
            <w:vAlign w:val="center"/>
            <w:shd w:fill="D9E2F3"/>
          </w:tcPr>
          <w:p>
            <w:pPr>
              <w:spacing w:before="0" w:after="0" w:line="221" w:lineRule="auto"/>
            </w:pPr>
            <w:r/>
            <w:r>
              <w:rPr>
                <w:b/>
                <w:sz w:val="15"/>
              </w:rPr>
              <w:t>A1 adayı</w:t>
            </w:r>
          </w:p>
        </w:tc>
        <w:tc>
          <w:tcPr>
            <w:tcW w:type="dxa" w:w="1417"/>
            <w:vAlign w:val="center"/>
            <w:shd w:fill="D9E2F3"/>
          </w:tcPr>
          <w:p>
            <w:pPr>
              <w:spacing w:before="0" w:after="0" w:line="221" w:lineRule="auto"/>
            </w:pPr>
            <w:r/>
            <w:r>
              <w:rPr>
                <w:b/>
                <w:sz w:val="15"/>
              </w:rPr>
              <w:t>Karar</w:t>
            </w:r>
          </w:p>
        </w:tc>
        <w:tc>
          <w:tcPr>
            <w:tcW w:type="dxa" w:w="4932"/>
            <w:vAlign w:val="center"/>
            <w:shd w:fill="D9E2F3"/>
          </w:tcPr>
          <w:p>
            <w:pPr>
              <w:spacing w:before="0" w:after="0" w:line="221" w:lineRule="auto"/>
            </w:pPr>
            <w:r/>
            <w:r>
              <w:rPr>
                <w:b/>
                <w:sz w:val="15"/>
              </w:rPr>
              <w:t>A2/A3'teki konumu</w:t>
            </w:r>
          </w:p>
        </w:tc>
      </w:tr>
      <w:tr>
        <w:trPr>
          <w:cantSplit/>
        </w:trPr>
        <w:tc>
          <w:tcPr>
            <w:tcW w:type="dxa" w:w="2948"/>
            <w:vAlign w:val="center"/>
          </w:tcPr>
          <w:p>
            <w:pPr>
              <w:spacing w:before="0" w:after="0" w:line="221" w:lineRule="auto"/>
            </w:pPr>
            <w:r/>
            <w:r>
              <w:rPr>
                <w:b w:val="0"/>
                <w:sz w:val="15"/>
              </w:rPr>
              <w:t>Critical thinking</w:t>
            </w:r>
          </w:p>
        </w:tc>
        <w:tc>
          <w:tcPr>
            <w:tcW w:type="dxa" w:w="1417"/>
            <w:vAlign w:val="center"/>
          </w:tcPr>
          <w:p>
            <w:pPr>
              <w:spacing w:before="0" w:after="0" w:line="221" w:lineRule="auto"/>
            </w:pPr>
            <w:r/>
            <w:r>
              <w:rPr>
                <w:b w:val="0"/>
                <w:sz w:val="15"/>
              </w:rPr>
              <w:t>Korundu</w:t>
            </w:r>
          </w:p>
        </w:tc>
        <w:tc>
          <w:tcPr>
            <w:tcW w:type="dxa" w:w="4932"/>
            <w:vAlign w:val="center"/>
          </w:tcPr>
          <w:p>
            <w:pPr>
              <w:spacing w:before="0" w:after="0" w:line="221" w:lineRule="auto"/>
            </w:pPr>
            <w:r/>
            <w:r>
              <w:rPr>
                <w:b w:val="0"/>
                <w:sz w:val="15"/>
              </w:rPr>
              <w:t>A2.1 → A3 Critical Thinking &amp; Evidence Evaluation</w:t>
            </w:r>
          </w:p>
        </w:tc>
      </w:tr>
      <w:tr>
        <w:trPr>
          <w:cantSplit/>
        </w:trPr>
        <w:tc>
          <w:tcPr>
            <w:tcW w:type="dxa" w:w="2948"/>
            <w:vAlign w:val="center"/>
          </w:tcPr>
          <w:p>
            <w:pPr>
              <w:spacing w:before="0" w:after="0" w:line="221" w:lineRule="auto"/>
            </w:pPr>
            <w:r/>
            <w:r>
              <w:rPr>
                <w:b w:val="0"/>
                <w:sz w:val="15"/>
              </w:rPr>
              <w:t>Problem solving</w:t>
            </w:r>
          </w:p>
        </w:tc>
        <w:tc>
          <w:tcPr>
            <w:tcW w:type="dxa" w:w="1417"/>
            <w:vAlign w:val="center"/>
          </w:tcPr>
          <w:p>
            <w:pPr>
              <w:spacing w:before="0" w:after="0" w:line="221" w:lineRule="auto"/>
            </w:pPr>
            <w:r/>
            <w:r>
              <w:rPr>
                <w:b w:val="0"/>
                <w:sz w:val="15"/>
              </w:rPr>
              <w:t>Korundu</w:t>
            </w:r>
          </w:p>
        </w:tc>
        <w:tc>
          <w:tcPr>
            <w:tcW w:type="dxa" w:w="4932"/>
            <w:vAlign w:val="center"/>
          </w:tcPr>
          <w:p>
            <w:pPr>
              <w:spacing w:before="0" w:after="0" w:line="221" w:lineRule="auto"/>
            </w:pPr>
            <w:r/>
            <w:r>
              <w:rPr>
                <w:b w:val="0"/>
                <w:sz w:val="15"/>
              </w:rPr>
              <w:t>A2.2 → A3 Open-Ended Problem Solving &amp; Systems Thinking</w:t>
            </w:r>
          </w:p>
        </w:tc>
      </w:tr>
      <w:tr>
        <w:trPr>
          <w:cantSplit/>
        </w:trPr>
        <w:tc>
          <w:tcPr>
            <w:tcW w:type="dxa" w:w="2948"/>
            <w:vAlign w:val="center"/>
          </w:tcPr>
          <w:p>
            <w:pPr>
              <w:spacing w:before="0" w:after="0" w:line="221" w:lineRule="auto"/>
            </w:pPr>
            <w:r/>
            <w:r>
              <w:rPr>
                <w:b w:val="0"/>
                <w:sz w:val="15"/>
              </w:rPr>
              <w:t>Creativity</w:t>
            </w:r>
          </w:p>
        </w:tc>
        <w:tc>
          <w:tcPr>
            <w:tcW w:type="dxa" w:w="1417"/>
            <w:vAlign w:val="center"/>
          </w:tcPr>
          <w:p>
            <w:pPr>
              <w:spacing w:before="0" w:after="0" w:line="221" w:lineRule="auto"/>
            </w:pPr>
            <w:r/>
            <w:r>
              <w:rPr>
                <w:b w:val="0"/>
                <w:sz w:val="15"/>
              </w:rPr>
              <w:t>Korundu</w:t>
            </w:r>
          </w:p>
        </w:tc>
        <w:tc>
          <w:tcPr>
            <w:tcW w:type="dxa" w:w="4932"/>
            <w:vAlign w:val="center"/>
          </w:tcPr>
          <w:p>
            <w:pPr>
              <w:spacing w:before="0" w:after="0" w:line="221" w:lineRule="auto"/>
            </w:pPr>
            <w:r/>
            <w:r>
              <w:rPr>
                <w:b w:val="0"/>
                <w:sz w:val="15"/>
              </w:rPr>
              <w:t>A2.3 → A3 Creative Thinking &amp; Iterative Design</w:t>
            </w:r>
          </w:p>
        </w:tc>
      </w:tr>
      <w:tr>
        <w:trPr>
          <w:cantSplit/>
        </w:trPr>
        <w:tc>
          <w:tcPr>
            <w:tcW w:type="dxa" w:w="2948"/>
            <w:vAlign w:val="center"/>
          </w:tcPr>
          <w:p>
            <w:pPr>
              <w:spacing w:before="0" w:after="0" w:line="221" w:lineRule="auto"/>
            </w:pPr>
            <w:r/>
            <w:r>
              <w:rPr>
                <w:b w:val="0"/>
                <w:sz w:val="15"/>
              </w:rPr>
              <w:t>Decision making</w:t>
            </w:r>
          </w:p>
        </w:tc>
        <w:tc>
          <w:tcPr>
            <w:tcW w:type="dxa" w:w="1417"/>
            <w:vAlign w:val="center"/>
          </w:tcPr>
          <w:p>
            <w:pPr>
              <w:spacing w:before="0" w:after="0" w:line="221" w:lineRule="auto"/>
            </w:pPr>
            <w:r/>
            <w:r>
              <w:rPr>
                <w:b w:val="0"/>
                <w:sz w:val="15"/>
              </w:rPr>
              <w:t>Çapraz süreç</w:t>
            </w:r>
          </w:p>
        </w:tc>
        <w:tc>
          <w:tcPr>
            <w:tcW w:type="dxa" w:w="4932"/>
            <w:vAlign w:val="center"/>
          </w:tcPr>
          <w:p>
            <w:pPr>
              <w:spacing w:before="0" w:after="0" w:line="221" w:lineRule="auto"/>
            </w:pPr>
            <w:r/>
            <w:r>
              <w:rPr>
                <w:b w:val="0"/>
                <w:sz w:val="15"/>
              </w:rPr>
              <w:t>A3'te Decide; problem solving, agency ve sustainability içinde; ayrı puan yok</w:t>
            </w:r>
          </w:p>
        </w:tc>
      </w:tr>
      <w:tr>
        <w:trPr>
          <w:cantSplit/>
        </w:trPr>
        <w:tc>
          <w:tcPr>
            <w:tcW w:type="dxa" w:w="2948"/>
            <w:vAlign w:val="center"/>
          </w:tcPr>
          <w:p>
            <w:pPr>
              <w:spacing w:before="0" w:after="0" w:line="221" w:lineRule="auto"/>
            </w:pPr>
            <w:r/>
            <w:r>
              <w:rPr>
                <w:b w:val="0"/>
                <w:sz w:val="15"/>
              </w:rPr>
              <w:t>Systems thinking</w:t>
            </w:r>
          </w:p>
        </w:tc>
        <w:tc>
          <w:tcPr>
            <w:tcW w:type="dxa" w:w="1417"/>
            <w:vAlign w:val="center"/>
          </w:tcPr>
          <w:p>
            <w:pPr>
              <w:spacing w:before="0" w:after="0" w:line="221" w:lineRule="auto"/>
            </w:pPr>
            <w:r/>
            <w:r>
              <w:rPr>
                <w:b w:val="0"/>
                <w:sz w:val="15"/>
              </w:rPr>
              <w:t>Korundu</w:t>
            </w:r>
          </w:p>
        </w:tc>
        <w:tc>
          <w:tcPr>
            <w:tcW w:type="dxa" w:w="4932"/>
            <w:vAlign w:val="center"/>
          </w:tcPr>
          <w:p>
            <w:pPr>
              <w:spacing w:before="0" w:after="0" w:line="221" w:lineRule="auto"/>
            </w:pPr>
            <w:r/>
            <w:r>
              <w:rPr>
                <w:b w:val="0"/>
                <w:sz w:val="15"/>
              </w:rPr>
              <w:t>A2.5 → A3 Open-Ended Problem Solving &amp; Systems Thinking</w:t>
            </w:r>
          </w:p>
        </w:tc>
      </w:tr>
      <w:tr>
        <w:trPr>
          <w:cantSplit/>
        </w:trPr>
        <w:tc>
          <w:tcPr>
            <w:tcW w:type="dxa" w:w="2948"/>
            <w:vAlign w:val="center"/>
          </w:tcPr>
          <w:p>
            <w:pPr>
              <w:spacing w:before="0" w:after="0" w:line="221" w:lineRule="auto"/>
            </w:pPr>
            <w:r/>
            <w:r>
              <w:rPr>
                <w:b w:val="0"/>
                <w:sz w:val="15"/>
              </w:rPr>
              <w:t>Information/source + Media/misinformation</w:t>
            </w:r>
          </w:p>
        </w:tc>
        <w:tc>
          <w:tcPr>
            <w:tcW w:type="dxa" w:w="1417"/>
            <w:vAlign w:val="center"/>
          </w:tcPr>
          <w:p>
            <w:pPr>
              <w:spacing w:before="0" w:after="0" w:line="221" w:lineRule="auto"/>
            </w:pPr>
            <w:r/>
            <w:r>
              <w:rPr>
                <w:b w:val="0"/>
                <w:sz w:val="15"/>
              </w:rPr>
              <w:t>Birleştirildi</w:t>
            </w:r>
          </w:p>
        </w:tc>
        <w:tc>
          <w:tcPr>
            <w:tcW w:type="dxa" w:w="4932"/>
            <w:vAlign w:val="center"/>
          </w:tcPr>
          <w:p>
            <w:pPr>
              <w:spacing w:before="0" w:after="0" w:line="221" w:lineRule="auto"/>
            </w:pPr>
            <w:r/>
            <w:r>
              <w:rPr>
                <w:b w:val="0"/>
                <w:sz w:val="15"/>
              </w:rPr>
              <w:t>A2.1/A2.6 → A3 Critical Thinking &amp; Evidence Evaluation</w:t>
            </w:r>
          </w:p>
        </w:tc>
      </w:tr>
      <w:tr>
        <w:trPr>
          <w:cantSplit/>
        </w:trPr>
        <w:tc>
          <w:tcPr>
            <w:tcW w:type="dxa" w:w="2948"/>
            <w:vAlign w:val="center"/>
          </w:tcPr>
          <w:p>
            <w:pPr>
              <w:spacing w:before="0" w:after="0" w:line="221" w:lineRule="auto"/>
            </w:pPr>
            <w:r/>
            <w:r>
              <w:rPr>
                <w:b w:val="0"/>
                <w:sz w:val="15"/>
              </w:rPr>
              <w:t>AI literacy</w:t>
            </w:r>
          </w:p>
        </w:tc>
        <w:tc>
          <w:tcPr>
            <w:tcW w:type="dxa" w:w="1417"/>
            <w:vAlign w:val="center"/>
          </w:tcPr>
          <w:p>
            <w:pPr>
              <w:spacing w:before="0" w:after="0" w:line="221" w:lineRule="auto"/>
            </w:pPr>
            <w:r/>
            <w:r>
              <w:rPr>
                <w:b w:val="0"/>
                <w:sz w:val="15"/>
              </w:rPr>
              <w:t>Korundu</w:t>
            </w:r>
          </w:p>
        </w:tc>
        <w:tc>
          <w:tcPr>
            <w:tcW w:type="dxa" w:w="4932"/>
            <w:vAlign w:val="center"/>
          </w:tcPr>
          <w:p>
            <w:pPr>
              <w:spacing w:before="0" w:after="0" w:line="221" w:lineRule="auto"/>
            </w:pPr>
            <w:r/>
            <w:r>
              <w:rPr>
                <w:b w:val="0"/>
                <w:sz w:val="15"/>
              </w:rPr>
              <w:t>A2.6 → A3 AI Literacy &amp; Calibrated Trust</w:t>
            </w:r>
          </w:p>
        </w:tc>
      </w:tr>
      <w:tr>
        <w:trPr>
          <w:cantSplit/>
        </w:trPr>
        <w:tc>
          <w:tcPr>
            <w:tcW w:type="dxa" w:w="2948"/>
            <w:vAlign w:val="center"/>
          </w:tcPr>
          <w:p>
            <w:pPr>
              <w:spacing w:before="0" w:after="0" w:line="221" w:lineRule="auto"/>
            </w:pPr>
            <w:r/>
            <w:r>
              <w:rPr>
                <w:b w:val="0"/>
                <w:sz w:val="15"/>
              </w:rPr>
              <w:t>Digital literacy + Safety/privacy</w:t>
            </w:r>
          </w:p>
        </w:tc>
        <w:tc>
          <w:tcPr>
            <w:tcW w:type="dxa" w:w="1417"/>
            <w:vAlign w:val="center"/>
          </w:tcPr>
          <w:p>
            <w:pPr>
              <w:spacing w:before="0" w:after="0" w:line="221" w:lineRule="auto"/>
            </w:pPr>
            <w:r/>
            <w:r>
              <w:rPr>
                <w:b w:val="0"/>
                <w:sz w:val="15"/>
              </w:rPr>
              <w:t>Şemsiye/bağlam</w:t>
            </w:r>
          </w:p>
        </w:tc>
        <w:tc>
          <w:tcPr>
            <w:tcW w:type="dxa" w:w="4932"/>
            <w:vAlign w:val="center"/>
          </w:tcPr>
          <w:p>
            <w:pPr>
              <w:spacing w:before="0" w:after="0" w:line="221" w:lineRule="auto"/>
            </w:pPr>
            <w:r/>
            <w:r>
              <w:rPr>
                <w:b w:val="0"/>
                <w:sz w:val="15"/>
              </w:rPr>
              <w:t>A2.6–A2.7'de bileşenlere ayrıldı; bağımsız puanlanmadı</w:t>
            </w:r>
          </w:p>
        </w:tc>
      </w:tr>
      <w:tr>
        <w:trPr>
          <w:cantSplit/>
        </w:trPr>
        <w:tc>
          <w:tcPr>
            <w:tcW w:type="dxa" w:w="2948"/>
            <w:vAlign w:val="center"/>
          </w:tcPr>
          <w:p>
            <w:pPr>
              <w:spacing w:before="0" w:after="0" w:line="221" w:lineRule="auto"/>
            </w:pPr>
            <w:r/>
            <w:r>
              <w:rPr>
                <w:b w:val="0"/>
                <w:sz w:val="15"/>
              </w:rPr>
              <w:t>Computational thinking + Data literacy</w:t>
            </w:r>
          </w:p>
        </w:tc>
        <w:tc>
          <w:tcPr>
            <w:tcW w:type="dxa" w:w="1417"/>
            <w:vAlign w:val="center"/>
          </w:tcPr>
          <w:p>
            <w:pPr>
              <w:spacing w:before="0" w:after="0" w:line="221" w:lineRule="auto"/>
            </w:pPr>
            <w:r/>
            <w:r>
              <w:rPr>
                <w:b w:val="0"/>
                <w:sz w:val="15"/>
              </w:rPr>
              <w:t>Birleştirildi</w:t>
            </w:r>
          </w:p>
        </w:tc>
        <w:tc>
          <w:tcPr>
            <w:tcW w:type="dxa" w:w="4932"/>
            <w:vAlign w:val="center"/>
          </w:tcPr>
          <w:p>
            <w:pPr>
              <w:spacing w:before="0" w:after="0" w:line="221" w:lineRule="auto"/>
            </w:pPr>
            <w:r/>
            <w:r>
              <w:rPr>
                <w:b w:val="0"/>
                <w:sz w:val="15"/>
              </w:rPr>
              <w:t>A2.7 → A3 Computational Thinking &amp; Data Literacy</w:t>
            </w:r>
          </w:p>
        </w:tc>
      </w:tr>
      <w:tr>
        <w:trPr>
          <w:cantSplit/>
        </w:trPr>
        <w:tc>
          <w:tcPr>
            <w:tcW w:type="dxa" w:w="2948"/>
            <w:vAlign w:val="center"/>
          </w:tcPr>
          <w:p>
            <w:pPr>
              <w:spacing w:before="0" w:after="0" w:line="221" w:lineRule="auto"/>
            </w:pPr>
            <w:r/>
            <w:r>
              <w:rPr>
                <w:b w:val="0"/>
                <w:sz w:val="15"/>
              </w:rPr>
              <w:t>Metacognition + Learning to learn + Self-regulation</w:t>
            </w:r>
          </w:p>
        </w:tc>
        <w:tc>
          <w:tcPr>
            <w:tcW w:type="dxa" w:w="1417"/>
            <w:vAlign w:val="center"/>
          </w:tcPr>
          <w:p>
            <w:pPr>
              <w:spacing w:before="0" w:after="0" w:line="221" w:lineRule="auto"/>
            </w:pPr>
            <w:r/>
            <w:r>
              <w:rPr>
                <w:b w:val="0"/>
                <w:sz w:val="15"/>
              </w:rPr>
              <w:t>Birleştirildi</w:t>
            </w:r>
          </w:p>
        </w:tc>
        <w:tc>
          <w:tcPr>
            <w:tcW w:type="dxa" w:w="4932"/>
            <w:vAlign w:val="center"/>
          </w:tcPr>
          <w:p>
            <w:pPr>
              <w:spacing w:before="0" w:after="0" w:line="221" w:lineRule="auto"/>
            </w:pPr>
            <w:r/>
            <w:r>
              <w:rPr>
                <w:b w:val="0"/>
                <w:sz w:val="15"/>
              </w:rPr>
              <w:t>A2.4 → A3 Metacognition, SRL &amp; Agency</w:t>
            </w:r>
          </w:p>
        </w:tc>
      </w:tr>
      <w:tr>
        <w:trPr>
          <w:cantSplit/>
        </w:trPr>
        <w:tc>
          <w:tcPr>
            <w:tcW w:type="dxa" w:w="2948"/>
            <w:vAlign w:val="center"/>
          </w:tcPr>
          <w:p>
            <w:pPr>
              <w:spacing w:before="0" w:after="0" w:line="221" w:lineRule="auto"/>
            </w:pPr>
            <w:r/>
            <w:r>
              <w:rPr>
                <w:b w:val="0"/>
                <w:sz w:val="15"/>
              </w:rPr>
              <w:t>Adaptability/flexibility + Resilience/persistence + Agency</w:t>
            </w:r>
          </w:p>
        </w:tc>
        <w:tc>
          <w:tcPr>
            <w:tcW w:type="dxa" w:w="1417"/>
            <w:vAlign w:val="center"/>
          </w:tcPr>
          <w:p>
            <w:pPr>
              <w:spacing w:before="0" w:after="0" w:line="221" w:lineRule="auto"/>
            </w:pPr>
            <w:r/>
            <w:r>
              <w:rPr>
                <w:b w:val="0"/>
                <w:sz w:val="15"/>
              </w:rPr>
              <w:t>Birleştirildi</w:t>
            </w:r>
          </w:p>
        </w:tc>
        <w:tc>
          <w:tcPr>
            <w:tcW w:type="dxa" w:w="4932"/>
            <w:vAlign w:val="center"/>
          </w:tcPr>
          <w:p>
            <w:pPr>
              <w:spacing w:before="0" w:after="0" w:line="221" w:lineRule="auto"/>
            </w:pPr>
            <w:r/>
            <w:r>
              <w:rPr>
                <w:b w:val="0"/>
                <w:sz w:val="15"/>
              </w:rPr>
              <w:t>A2.9; A3 matriste alt yapılar ayrı, kümede birlikte</w:t>
            </w:r>
          </w:p>
        </w:tc>
      </w:tr>
      <w:tr>
        <w:trPr>
          <w:cantSplit/>
        </w:trPr>
        <w:tc>
          <w:tcPr>
            <w:tcW w:type="dxa" w:w="2948"/>
            <w:vAlign w:val="center"/>
          </w:tcPr>
          <w:p>
            <w:pPr>
              <w:spacing w:before="0" w:after="0" w:line="221" w:lineRule="auto"/>
            </w:pPr>
            <w:r/>
            <w:r>
              <w:rPr>
                <w:b w:val="0"/>
                <w:sz w:val="15"/>
              </w:rPr>
              <w:t>Communication + Collaboration + Empathy + Negotiation</w:t>
            </w:r>
          </w:p>
        </w:tc>
        <w:tc>
          <w:tcPr>
            <w:tcW w:type="dxa" w:w="1417"/>
            <w:vAlign w:val="center"/>
          </w:tcPr>
          <w:p>
            <w:pPr>
              <w:spacing w:before="0" w:after="0" w:line="221" w:lineRule="auto"/>
            </w:pPr>
            <w:r/>
            <w:r>
              <w:rPr>
                <w:b w:val="0"/>
                <w:sz w:val="15"/>
              </w:rPr>
              <w:t>Birleştirildi</w:t>
            </w:r>
          </w:p>
        </w:tc>
        <w:tc>
          <w:tcPr>
            <w:tcW w:type="dxa" w:w="4932"/>
            <w:vAlign w:val="center"/>
          </w:tcPr>
          <w:p>
            <w:pPr>
              <w:spacing w:before="0" w:after="0" w:line="221" w:lineRule="auto"/>
            </w:pPr>
            <w:r/>
            <w:r>
              <w:rPr>
                <w:b w:val="0"/>
                <w:sz w:val="15"/>
              </w:rPr>
              <w:t>A2.8 → A3 Collaboration, Communication &amp; Empathy</w:t>
            </w:r>
          </w:p>
        </w:tc>
      </w:tr>
      <w:tr>
        <w:trPr>
          <w:cantSplit/>
        </w:trPr>
        <w:tc>
          <w:tcPr>
            <w:tcW w:type="dxa" w:w="2948"/>
            <w:vAlign w:val="center"/>
          </w:tcPr>
          <w:p>
            <w:pPr>
              <w:spacing w:before="0" w:after="0" w:line="221" w:lineRule="auto"/>
            </w:pPr>
            <w:r/>
            <w:r>
              <w:rPr>
                <w:b w:val="0"/>
                <w:sz w:val="15"/>
              </w:rPr>
              <w:t>Sustainability + Futures literacy</w:t>
            </w:r>
          </w:p>
        </w:tc>
        <w:tc>
          <w:tcPr>
            <w:tcW w:type="dxa" w:w="1417"/>
            <w:vAlign w:val="center"/>
          </w:tcPr>
          <w:p>
            <w:pPr>
              <w:spacing w:before="0" w:after="0" w:line="221" w:lineRule="auto"/>
            </w:pPr>
            <w:r/>
            <w:r>
              <w:rPr>
                <w:b w:val="0"/>
                <w:sz w:val="15"/>
              </w:rPr>
              <w:t>Birleştirildi</w:t>
            </w:r>
          </w:p>
        </w:tc>
        <w:tc>
          <w:tcPr>
            <w:tcW w:type="dxa" w:w="4932"/>
            <w:vAlign w:val="center"/>
          </w:tcPr>
          <w:p>
            <w:pPr>
              <w:spacing w:before="0" w:after="0" w:line="221" w:lineRule="auto"/>
            </w:pPr>
            <w:r/>
            <w:r>
              <w:rPr>
                <w:b w:val="0"/>
                <w:sz w:val="15"/>
              </w:rPr>
              <w:t>A2.10 → A3 Sustainability &amp; Futures Thinking</w:t>
            </w:r>
          </w:p>
        </w:tc>
      </w:tr>
      <w:tr>
        <w:trPr>
          <w:cantSplit/>
        </w:trPr>
        <w:tc>
          <w:tcPr>
            <w:tcW w:type="dxa" w:w="2948"/>
            <w:vAlign w:val="center"/>
          </w:tcPr>
          <w:p>
            <w:pPr>
              <w:spacing w:before="0" w:after="0" w:line="221" w:lineRule="auto"/>
            </w:pPr>
            <w:r/>
            <w:r>
              <w:rPr>
                <w:b w:val="0"/>
                <w:sz w:val="15"/>
              </w:rPr>
              <w:t>Participation/citizenship</w:t>
            </w:r>
          </w:p>
        </w:tc>
        <w:tc>
          <w:tcPr>
            <w:tcW w:type="dxa" w:w="1417"/>
            <w:vAlign w:val="center"/>
          </w:tcPr>
          <w:p>
            <w:pPr>
              <w:spacing w:before="0" w:after="0" w:line="221" w:lineRule="auto"/>
            </w:pPr>
            <w:r/>
            <w:r>
              <w:rPr>
                <w:b w:val="0"/>
                <w:sz w:val="15"/>
              </w:rPr>
              <w:t>Bağlamsal</w:t>
            </w:r>
          </w:p>
        </w:tc>
        <w:tc>
          <w:tcPr>
            <w:tcW w:type="dxa" w:w="4932"/>
            <w:vAlign w:val="center"/>
          </w:tcPr>
          <w:p>
            <w:pPr>
              <w:spacing w:before="0" w:after="0" w:line="221" w:lineRule="auto"/>
            </w:pPr>
            <w:r/>
            <w:r>
              <w:rPr>
                <w:b w:val="0"/>
                <w:sz w:val="15"/>
              </w:rPr>
              <w:t>A2.8/A2.10 ile ilişkili; bağımsız kanıt profili oluşturulmadı</w:t>
            </w:r>
          </w:p>
        </w:tc>
      </w:tr>
    </w:tbl>
    <w:p>
      <w:pPr>
        <w:spacing w:before="60" w:after="0" w:line="240" w:lineRule="auto"/>
      </w:pPr>
      <w:r>
        <w:t>Başlangıç planındaki ek adaylar: AI ethics A2.6 içindeki AI literacy'ye alındı. Scientific reasoning bağımsız A2 profiline dönüşmedi ve evidence evaluation/inquiry-data/problem solving kesişiminde kaldı. Financial reasoning alan-özgül uygulama bağlamı olarak bırakıldı. Spatial reasoning ise kısa gap-closing incelemesi sonrasında, ayrı bir gelecek-yetkinlik kümesi yerine STEM, problem çözme, görsel modelleme ve tasarım görevlerini destekleyen çapraz/alan-özgül bir yetkinlik olarak korunmuştur.</w:t>
      </w:r>
    </w:p>
    <w:p>
      <w:pPr>
        <w:spacing w:before="40" w:after="0"/>
      </w:pPr>
      <w:r>
        <w:rPr>
          <w:i/>
          <w:sz w:val="17"/>
        </w:rPr>
        <w:t>Not: Bir adayın bağımsız puanlanmaması, önemsiz olduğu anlamına gelmez; çoğu durumda daha geniş bir yapı içine alınmıştır.</w:t>
      </w:r>
    </w:p>
    <w:p>
      <w:pPr>
        <w:pStyle w:val="Heading3"/>
        <w:spacing w:before="100" w:after="40"/>
      </w:pPr>
      <w:r>
        <w:t>Gap-closing kararı: Spatial Reasoning</w:t>
      </w:r>
    </w:p>
    <w:p>
      <w:pPr>
        <w:spacing w:after="60"/>
      </w:pPr>
      <w:r>
        <w:rPr>
          <w:sz w:val="18"/>
        </w:rPr>
        <w:t>Spatial reasoning; nesne, şekil, konum ve mekânsal ilişkileri zihinsel olarak temsil etme, dönüştürme ve görselleştirme süreçlerini kapsar. Bu alanın A1'deki 25'li ana haritaya alınmaması kanıt yokluğundan çok, genel gelecek-yetkinlik çerçevelerinde daha sınırlı çapraz temsil edilmesiyle ilgilidir. Türkiye Yüzyılı Maarif Modeli ise mekânsal düşünmeyi açık biçimde tanımlamaktadır.</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vAlign w:val="center"/>
            <w:shd w:fill="D9E2F3"/>
          </w:tcPr>
          <w:p>
            <w:pPr>
              <w:spacing w:before="0" w:after="0" w:line="228" w:lineRule="auto"/>
            </w:pPr>
            <w:r/>
            <w:r>
              <w:rPr>
                <w:b/>
                <w:sz w:val="15"/>
              </w:rPr>
              <w:t>Kanıt</w:t>
            </w:r>
          </w:p>
        </w:tc>
        <w:tc>
          <w:tcPr>
            <w:tcW w:type="dxa" w:w="3515"/>
            <w:vAlign w:val="center"/>
            <w:shd w:fill="D9E2F3"/>
          </w:tcPr>
          <w:p>
            <w:pPr>
              <w:spacing w:before="0" w:after="0" w:line="228" w:lineRule="auto"/>
            </w:pPr>
            <w:r/>
            <w:r>
              <w:rPr>
                <w:b/>
                <w:sz w:val="15"/>
              </w:rPr>
              <w:t>Temel bulgu</w:t>
            </w:r>
          </w:p>
        </w:tc>
        <w:tc>
          <w:tcPr>
            <w:tcW w:type="dxa" w:w="3515"/>
            <w:vAlign w:val="center"/>
            <w:shd w:fill="D9E2F3"/>
          </w:tcPr>
          <w:p>
            <w:pPr>
              <w:spacing w:before="0" w:after="0" w:line="228" w:lineRule="auto"/>
            </w:pPr>
            <w:r/>
            <w:r>
              <w:rPr>
                <w:b/>
                <w:sz w:val="15"/>
              </w:rPr>
              <w:t>Yorum sınırı</w:t>
            </w:r>
          </w:p>
        </w:tc>
      </w:tr>
      <w:tr>
        <w:trPr>
          <w:cantSplit/>
        </w:trPr>
        <w:tc>
          <w:tcPr>
            <w:tcW w:type="dxa" w:w="2268"/>
            <w:vAlign w:val="center"/>
          </w:tcPr>
          <w:p>
            <w:pPr>
              <w:spacing w:before="0" w:after="0" w:line="228" w:lineRule="auto"/>
            </w:pPr>
            <w:r/>
            <w:r>
              <w:rPr>
                <w:b w:val="0"/>
                <w:sz w:val="15"/>
              </w:rPr>
              <w:t>Yang ve ark. (2020)</w:t>
            </w:r>
          </w:p>
        </w:tc>
        <w:tc>
          <w:tcPr>
            <w:tcW w:type="dxa" w:w="3515"/>
            <w:vAlign w:val="center"/>
          </w:tcPr>
          <w:p>
            <w:pPr>
              <w:spacing w:before="0" w:after="0" w:line="228" w:lineRule="auto"/>
            </w:pPr>
            <w:r/>
            <w:r>
              <w:rPr>
                <w:b w:val="0"/>
                <w:sz w:val="15"/>
              </w:rPr>
              <w:t>0–8 yaşa yönelik 20 müdahale çalışmasında spatial skills için ortalama g = 0.96.</w:t>
            </w:r>
          </w:p>
        </w:tc>
        <w:tc>
          <w:tcPr>
            <w:tcW w:type="dxa" w:w="3515"/>
            <w:vAlign w:val="center"/>
          </w:tcPr>
          <w:p>
            <w:pPr>
              <w:spacing w:before="0" w:after="0" w:line="228" w:lineRule="auto"/>
            </w:pPr>
            <w:r/>
            <w:r>
              <w:rPr>
                <w:b w:val="0"/>
                <w:sz w:val="15"/>
              </w:rPr>
              <w:t>Etki tasarım ve ölçülen spatial alt beceriye göre değişmiştir; tek bir genel yetkinlik etkisi değildir.</w:t>
            </w:r>
          </w:p>
        </w:tc>
      </w:tr>
      <w:tr>
        <w:trPr>
          <w:cantSplit/>
        </w:trPr>
        <w:tc>
          <w:tcPr>
            <w:tcW w:type="dxa" w:w="2268"/>
            <w:vAlign w:val="center"/>
          </w:tcPr>
          <w:p>
            <w:pPr>
              <w:spacing w:before="0" w:after="0" w:line="228" w:lineRule="auto"/>
            </w:pPr>
            <w:r/>
            <w:r>
              <w:rPr>
                <w:b w:val="0"/>
                <w:sz w:val="15"/>
              </w:rPr>
              <w:t>Hawes, Gilligan-Lee ve Mix (2022)</w:t>
            </w:r>
          </w:p>
        </w:tc>
        <w:tc>
          <w:tcPr>
            <w:tcW w:type="dxa" w:w="3515"/>
            <w:vAlign w:val="center"/>
          </w:tcPr>
          <w:p>
            <w:pPr>
              <w:spacing w:before="0" w:after="0" w:line="228" w:lineRule="auto"/>
            </w:pPr>
            <w:r/>
            <w:r>
              <w:rPr>
                <w:b w:val="0"/>
                <w:sz w:val="15"/>
              </w:rPr>
              <w:t>29 kontrollü çalışma (N = 3.765): spatial training → matematik g = 0.28; spatial thinking g = 0.49.</w:t>
            </w:r>
          </w:p>
        </w:tc>
        <w:tc>
          <w:tcPr>
            <w:tcW w:type="dxa" w:w="3515"/>
            <w:vAlign w:val="center"/>
          </w:tcPr>
          <w:p>
            <w:pPr>
              <w:spacing w:before="0" w:after="0" w:line="228" w:lineRule="auto"/>
            </w:pPr>
            <w:r/>
            <w:r>
              <w:rPr>
                <w:b w:val="0"/>
                <w:sz w:val="15"/>
              </w:rPr>
              <w:t>Near transfer daha güçlüdür; matematik kazanımı bütün alanlara uzak transfer kanıtı değildir.</w:t>
            </w:r>
          </w:p>
        </w:tc>
      </w:tr>
      <w:tr>
        <w:trPr>
          <w:cantSplit/>
        </w:trPr>
        <w:tc>
          <w:tcPr>
            <w:tcW w:type="dxa" w:w="2268"/>
            <w:vAlign w:val="center"/>
          </w:tcPr>
          <w:p>
            <w:pPr>
              <w:spacing w:before="0" w:after="0" w:line="228" w:lineRule="auto"/>
            </w:pPr>
            <w:r/>
            <w:r>
              <w:rPr>
                <w:b w:val="0"/>
                <w:sz w:val="15"/>
              </w:rPr>
              <w:t>Atit ve ark. (2022; 2026)</w:t>
            </w:r>
          </w:p>
        </w:tc>
        <w:tc>
          <w:tcPr>
            <w:tcW w:type="dxa" w:w="3515"/>
            <w:vAlign w:val="center"/>
          </w:tcPr>
          <w:p>
            <w:pPr>
              <w:spacing w:before="0" w:after="0" w:line="228" w:lineRule="auto"/>
            </w:pPr>
            <w:r/>
            <w:r>
              <w:rPr>
                <w:b w:val="0"/>
                <w:sz w:val="15"/>
              </w:rPr>
              <w:t>Spatial–matematik ilişkisi r = .36; spatial–science ilişkisi r = .27.</w:t>
            </w:r>
          </w:p>
        </w:tc>
        <w:tc>
          <w:tcPr>
            <w:tcW w:type="dxa" w:w="3515"/>
            <w:vAlign w:val="center"/>
          </w:tcPr>
          <w:p>
            <w:pPr>
              <w:spacing w:before="0" w:after="0" w:line="228" w:lineRule="auto"/>
            </w:pPr>
            <w:r/>
            <w:r>
              <w:rPr>
                <w:b w:val="0"/>
                <w:sz w:val="15"/>
              </w:rPr>
              <w:t>Bu korelasyonlar ilişkiyi gösterir; spatial training'in tek başına matematik veya fen başarısına neden olduğunu kanıtlamaz.</w:t>
            </w:r>
          </w:p>
        </w:tc>
      </w:tr>
    </w:tbl>
    <w:p>
      <w:pPr>
        <w:spacing w:before="60" w:after="40"/>
      </w:pPr>
      <w:r>
        <w:rPr>
          <w:sz w:val="18"/>
        </w:rPr>
        <w:t>Karar: Spatial reasoning bu raporda dokuzuncu bir A3 araştırma kümesi veya critical thinking gibi geniş bir transversal yetkinlik olarak yükseltilmemiştir. Buna karşılık öğretilebilirlik ve STEM ile ilişkisine ilişkin kanıt nedeniyle tamamen kapsam dışı da bırakılmamıştır. Problem temsili, görsel/uzamsal modelleme, STEM problemleri, veri görselleştirme ve 2D/3D tasarım görevlarında çapraz destekleyici bir yetkinlik olarak korunacaktır.</w:t>
      </w:r>
    </w:p>
    <w:p>
      <w:pPr>
        <w:spacing w:after="0"/>
      </w:pPr>
      <w:r>
        <w:rPr>
          <w:i/>
          <w:sz w:val="17"/>
        </w:rPr>
        <w:t>Metodolojik sınır: Spatial görev performansı genel problem solving, systems thinking veya STEM yetkinliğinin doğrulanmış ölçümü olarak kullanılmamalıdır. İleride spatial mekanikler içeren bir dijital ürün değerlendirilirse spatial kazanım ile matematik/fen veya diğer alanlara transfer ayrı sonuçlar olarak ölçülmelidir.</w:t>
      </w:r>
    </w:p>
    <w:p>
      <w:pPr>
        <w:pStyle w:val="Heading1"/>
        <w:pageBreakBefore/>
      </w:pPr>
      <w:bookmarkStart w:id="2" w:name="A2"/>
      <w:r>
        <w:t xml:space="preserve">A2. Akademik Kanıt İncelemesi</w:t>
      </w:r>
      <w:bookmarkEnd w:id="2"/>
    </w:p>
    <w:p>
      <w:pPr>
        <w:pStyle w:val="Heading2"/>
      </w:pPr>
      <w:r>
        <w:t xml:space="preserve">İnceleme boyutları ve yorumlama ilkeleri</w:t>
      </w:r>
    </w:p>
    <w:p>
      <w:pPr/>
      <w:r>
        <w:t>A2.1–A2.10, aday yetkinlikleri dokuz soru üzerinden inceler: akademik tanım; çocuklukta gelişim ve yaş; öğretilebilirlik; etkili pedagojik yöntemler; deneysel ve meta-analitik kanıt; transfer; ölçüm; dijital/oyun tabanlı destek; araştırma boşlukları. Bölümler sırasıyla critical thinking, problem solving, creativity, metacognition/SRL, systems thinking, AI ve information/media literacy, computational thinking ve data literacy, communication/collaboration/empathy, adaptability/resilience/agency ve sustainability/futures literacy kapsamlarını ele alır. A2.11–A2.13 ise yetkinliklerden bağımsız çapraz tasarım katmanlarını: learning sciences, Child–Computer Interaction/Çocuk UX ve ethics/safety/child rights boyutlarını sentezler.</w:t>
      </w:r>
    </w:p>
    <w:p>
      <w:pPr/>
      <w:r>
        <w:t xml:space="preserve">Bulgular yorumlanırken dört ayrım korunmaktadır. Birincisi, çalışma kapsamındaki yaş ve eğitim düzeyi belirleyicidir: üniversite veya yetişkin kanıtı çocuklara, K–16 sentezi okul öncesine doğrudan genellenemez. İkincisi, alan içi başarı ve near transfer, genel yetkinlik veya far transfer kanıtı değildir. Üçüncüsü, oyun kullanımı tek başına öğrenmeyi güvence altına almaz; müdahalenin pedagojisi ve ölçülen sonuç dikkate alınır. Dördüncüsü, öz-bildirim, görev performansı ve dijital davranış kaydı farklı bilgi kaynaklarıdır. </w:t>
      </w:r>
      <w:r>
        <w:rPr>
          <w:b/>
        </w:rPr>
        <w:t xml:space="preserve">Davranışsal veya süreç göstergeleri, dış ölçütlerle geçerliği gösterilmeden yetkinlik puanı sayılamaz.</w:t>
      </w:r>
      <w:r>
        <w:t xml:space="preserve"> Çalışmaya özgü sınırlılıklar ilgili bulguların yanında ayrıca belirtilmektedir.</w:t>
      </w:r>
    </w:p>
    <w:p>
      <w:pPr/>
      <w:r>
        <w:t xml:space="preserve">Bölüm sonlarındaki 1–5 değerlendirmeler, incelenen kaynaklara dayanan araştırmacı kodlamalarıdır; doğrulanmış ölçek, meta-analitik etki veya mutlak sıralama değildir. Dijital ve oyun uygunluğu, pedagojik etki büyüklüğünden ayrı bir operasyonelleştirme değerlendirmesidir. A3 bu değerlendirmeleri karşılaştırmalı olarak sentezler.</w:t>
      </w:r>
    </w:p>
    <w:p>
      <w:pPr>
        <w:pStyle w:val="Heading2"/>
        <w:pageBreakBefore/>
      </w:pPr>
      <w:bookmarkStart w:id="3" w:name="A2_1"/>
      <w:r>
        <w:t xml:space="preserve">A2.1. Critical Thinking ve Evidence Evaluation</w:t>
      </w:r>
      <w:bookmarkEnd w:id="3"/>
    </w:p>
    <w:p>
      <w:pPr>
        <w:pStyle w:val="Heading3"/>
      </w:pPr>
      <w:r>
        <w:t xml:space="preserve">Kavramsal çerçeve ve kanıt değerlendirme</w:t>
      </w:r>
    </w:p>
    <w:p>
      <w:pPr/>
      <w:r>
        <w:t xml:space="preserve">Eleştirel düşünmenin (critical thinking) tek bir uzlaşılmış tanımı bulunmamakla birlikte Ennis ve American Philosophical Association (APA) Delphi çalışması ortak bir çerçeve sunmaktadır. Ennis, neye inanılacağına veya ne yapılacağına karar vermeye yönelik makul ve yansıtıcı düşünmeyi; Facione'nin yürüttüğü Delphi çalışması ise amaçlı ve öz-düzenleyici yargılamayı vurgular. Bu raporda eleştirel düşünme, iddia ve kanıtları sorgulama, gerekçeli çıkarım üretme ve gerektiğinde yargıyı gözden geçirme yetkinliği olarak ele alınmaktadır. APA Delphi çerçevesiyle uyumlu alt boyutlar aşağıdadır.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Boyut</w:t>
            </w:r>
          </w:p>
        </w:tc>
        <w:tc>
          <w:tcPr>
            <w:tcW w:w="6939" w:type="dxa"/>
            <w:vAlign w:val="top"/>
            <w:shd w:fill="E9EEF3" w:val="clear"/>
          </w:tcPr>
          <w:p>
            <w:pPr>
              <w:spacing w:before="0" w:after="35" w:line="240" w:lineRule="auto"/>
            </w:pPr>
            <w:r>
              <w:rPr>
                <w:b/>
                <w:sz w:val="19"/>
              </w:rPr>
              <w:t xml:space="preserve">İçerik</w:t>
            </w:r>
          </w:p>
        </w:tc>
      </w:tr>
      <w:tr>
        <w:trPr>
          <w:cantSplit/>
        </w:trPr>
        <w:tc>
          <w:tcPr>
            <w:tcW w:w="2699" w:type="dxa"/>
            <w:vAlign w:val="top"/>
          </w:tcPr>
          <w:p>
            <w:pPr>
              <w:spacing w:before="0" w:after="35" w:line="240" w:lineRule="auto"/>
            </w:pPr>
            <w:r>
              <w:rPr>
                <w:sz w:val="19"/>
              </w:rPr>
              <w:t xml:space="preserve">Interpretation</w:t>
            </w:r>
          </w:p>
        </w:tc>
        <w:tc>
          <w:tcPr>
            <w:tcW w:w="6939" w:type="dxa"/>
            <w:vAlign w:val="top"/>
          </w:tcPr>
          <w:p>
            <w:pPr>
              <w:spacing w:before="0" w:after="35" w:line="240" w:lineRule="auto"/>
            </w:pPr>
            <w:r>
              <w:rPr>
                <w:sz w:val="19"/>
              </w:rPr>
              <w:t xml:space="preserve">Bilgi veya durumun anlamını yorumlama</w:t>
            </w:r>
          </w:p>
        </w:tc>
      </w:tr>
      <w:tr>
        <w:trPr>
          <w:cantSplit/>
        </w:trPr>
        <w:tc>
          <w:tcPr>
            <w:tcW w:w="2699" w:type="dxa"/>
            <w:vAlign w:val="top"/>
          </w:tcPr>
          <w:p>
            <w:pPr>
              <w:spacing w:before="0" w:after="35" w:line="240" w:lineRule="auto"/>
            </w:pPr>
            <w:r>
              <w:rPr>
                <w:sz w:val="19"/>
              </w:rPr>
              <w:t xml:space="preserve">Analysis</w:t>
            </w:r>
          </w:p>
        </w:tc>
        <w:tc>
          <w:tcPr>
            <w:tcW w:w="6939" w:type="dxa"/>
            <w:vAlign w:val="top"/>
          </w:tcPr>
          <w:p>
            <w:pPr>
              <w:spacing w:before="0" w:after="35" w:line="240" w:lineRule="auto"/>
            </w:pPr>
            <w:r>
              <w:rPr>
                <w:sz w:val="19"/>
              </w:rPr>
              <w:t xml:space="preserve">İddiaları, gerekçeleri ve ilişkileri ayırma</w:t>
            </w:r>
          </w:p>
        </w:tc>
      </w:tr>
      <w:tr>
        <w:trPr>
          <w:cantSplit/>
        </w:trPr>
        <w:tc>
          <w:tcPr>
            <w:tcW w:w="2699" w:type="dxa"/>
            <w:vAlign w:val="top"/>
          </w:tcPr>
          <w:p>
            <w:pPr>
              <w:spacing w:before="0" w:after="35" w:line="240" w:lineRule="auto"/>
            </w:pPr>
            <w:r>
              <w:rPr>
                <w:sz w:val="19"/>
              </w:rPr>
              <w:t xml:space="preserve">Evaluation</w:t>
            </w:r>
          </w:p>
        </w:tc>
        <w:tc>
          <w:tcPr>
            <w:tcW w:w="6939" w:type="dxa"/>
            <w:vAlign w:val="top"/>
          </w:tcPr>
          <w:p>
            <w:pPr>
              <w:spacing w:before="0" w:after="35" w:line="240" w:lineRule="auto"/>
            </w:pPr>
            <w:r>
              <w:rPr>
                <w:sz w:val="19"/>
              </w:rPr>
              <w:t xml:space="preserve">İddia ve kanıtların güvenilirliğini değerlendirme</w:t>
            </w:r>
          </w:p>
        </w:tc>
      </w:tr>
      <w:tr>
        <w:trPr>
          <w:cantSplit/>
        </w:trPr>
        <w:tc>
          <w:tcPr>
            <w:tcW w:w="2699" w:type="dxa"/>
            <w:vAlign w:val="top"/>
          </w:tcPr>
          <w:p>
            <w:pPr>
              <w:spacing w:before="0" w:after="35" w:line="240" w:lineRule="auto"/>
            </w:pPr>
            <w:r>
              <w:rPr>
                <w:sz w:val="19"/>
              </w:rPr>
              <w:t xml:space="preserve">Inference</w:t>
            </w:r>
          </w:p>
        </w:tc>
        <w:tc>
          <w:tcPr>
            <w:tcW w:w="6939" w:type="dxa"/>
            <w:vAlign w:val="top"/>
          </w:tcPr>
          <w:p>
            <w:pPr>
              <w:spacing w:before="0" w:after="35" w:line="240" w:lineRule="auto"/>
            </w:pPr>
            <w:r>
              <w:rPr>
                <w:sz w:val="19"/>
              </w:rPr>
              <w:t xml:space="preserve">Mevcut bilgilerden gerekçeli sonuç çıkarma</w:t>
            </w:r>
          </w:p>
        </w:tc>
      </w:tr>
      <w:tr>
        <w:trPr>
          <w:cantSplit/>
        </w:trPr>
        <w:tc>
          <w:tcPr>
            <w:tcW w:w="2699" w:type="dxa"/>
            <w:vAlign w:val="top"/>
          </w:tcPr>
          <w:p>
            <w:pPr>
              <w:spacing w:before="0" w:after="35" w:line="240" w:lineRule="auto"/>
            </w:pPr>
            <w:r>
              <w:rPr>
                <w:sz w:val="19"/>
              </w:rPr>
              <w:t xml:space="preserve">Explanation</w:t>
            </w:r>
          </w:p>
        </w:tc>
        <w:tc>
          <w:tcPr>
            <w:tcW w:w="6939" w:type="dxa"/>
            <w:vAlign w:val="top"/>
          </w:tcPr>
          <w:p>
            <w:pPr>
              <w:spacing w:before="0" w:after="35" w:line="240" w:lineRule="auto"/>
            </w:pPr>
            <w:r>
              <w:rPr>
                <w:sz w:val="19"/>
              </w:rPr>
              <w:t xml:space="preserve">Sonucu nedenleriyle açıklama</w:t>
            </w:r>
          </w:p>
        </w:tc>
      </w:tr>
      <w:tr>
        <w:trPr>
          <w:cantSplit/>
        </w:trPr>
        <w:tc>
          <w:tcPr>
            <w:tcW w:w="2699" w:type="dxa"/>
            <w:vAlign w:val="top"/>
          </w:tcPr>
          <w:p>
            <w:pPr>
              <w:spacing w:before="0" w:after="35" w:line="240" w:lineRule="auto"/>
            </w:pPr>
            <w:r>
              <w:rPr>
                <w:sz w:val="19"/>
              </w:rPr>
              <w:t xml:space="preserve">Self-regulation</w:t>
            </w:r>
          </w:p>
        </w:tc>
        <w:tc>
          <w:tcPr>
            <w:tcW w:w="6939" w:type="dxa"/>
            <w:vAlign w:val="top"/>
          </w:tcPr>
          <w:p>
            <w:pPr>
              <w:spacing w:before="0" w:after="35" w:line="240" w:lineRule="auto"/>
            </w:pPr>
            <w:r>
              <w:rPr>
                <w:sz w:val="19"/>
              </w:rPr>
              <w:t xml:space="preserve">Düşünme sürecini denetleme ve gerektiğinde düzeltme</w:t>
            </w:r>
          </w:p>
        </w:tc>
      </w:tr>
    </w:tbl>
    <w:p>
      <w:pPr>
        <w:spacing w:after="50"/>
      </w:pPr>
    </w:p>
    <w:p>
      <w:pPr/>
      <w:r>
        <w:t xml:space="preserve">Kanıt değerlendirme (evidence evaluation), özellikle evaluation ve inference boyutlarıyla ilişkilidir; kaynak sorgulama, güvenilirlik değerlendirme, kaynakları karşılaştırma ve yeni kanıtla yargıyı güncelleme süreçlerini kapsar. Gelişim psikolojisinde selective trust, selective learning, epistemic trust ve epistemic vigilance başlıkları altında incelenen bu süreçlere ilişkin üç meta-analiz, 3–6 yaş grubundaki 51 çalışma ve 88 deneyi birleştirmiştir. Çocukların bilgi kaynaklarını değerlendirirken epistemik ve sosyal özelliklerden yararlanabildiği görülmüştür (Tong, Wang ve Danovitch, 2020). Daha geniş bir 2023 incelemesi geçmiş doğruluk, uzmanlık, bilgi vericilik ve gerekçe kalitesinin kullanılabildiğini bildirmektedir. Bu erken bileşenler, karmaşık veya çelişkili kaynakların yetişkin düzeyinde değerlendirilebildiği anlamına gelmez.</w:t>
      </w:r>
    </w:p>
    <w:p>
      <w:pPr>
        <w:pStyle w:val="Heading3"/>
      </w:pPr>
      <w:r>
        <w:t xml:space="preserve">Yaşa göre gelişim ve kanıtın dağılımı</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Yaş</w:t>
            </w:r>
          </w:p>
        </w:tc>
        <w:tc>
          <w:tcPr>
            <w:tcW w:w="6939" w:type="dxa"/>
            <w:vAlign w:val="top"/>
            <w:shd w:fill="E9EEF3" w:val="clear"/>
          </w:tcPr>
          <w:p>
            <w:pPr>
              <w:spacing w:before="0" w:after="35" w:line="240" w:lineRule="auto"/>
            </w:pPr>
            <w:r>
              <w:rPr>
                <w:b/>
                <w:sz w:val="19"/>
              </w:rPr>
              <w:t xml:space="preserve">Başlıca bulgular ve sınırlar</w:t>
            </w:r>
          </w:p>
        </w:tc>
      </w:tr>
      <w:tr>
        <w:trPr>
          <w:cantSplit/>
        </w:trPr>
        <w:tc>
          <w:tcPr>
            <w:tcW w:w="2699" w:type="dxa"/>
            <w:vAlign w:val="top"/>
          </w:tcPr>
          <w:p>
            <w:pPr>
              <w:spacing w:before="0" w:after="35" w:line="240" w:lineRule="auto"/>
            </w:pPr>
            <w:r>
              <w:rPr>
                <w:sz w:val="19"/>
              </w:rPr>
              <w:t xml:space="preserve">3–5</w:t>
            </w:r>
          </w:p>
        </w:tc>
        <w:tc>
          <w:tcPr>
            <w:tcW w:w="6939" w:type="dxa"/>
            <w:vAlign w:val="top"/>
          </w:tcPr>
          <w:p>
            <w:pPr>
              <w:spacing w:before="0" w:after="35" w:line="240" w:lineRule="auto"/>
            </w:pPr>
            <w:r>
              <w:rPr>
                <w:sz w:val="19"/>
              </w:rPr>
              <w:t xml:space="preserve">Okul öncesindeki 25 ampirik çalışmanın derlemesinde en sık akıl yürütme ve problem çözme davranışları incelenmiştir; diyalog, soru sorma, düşünmeyi ifade eden dil ve hikâye etkinliklerinin bu süreçleri ortaya çıkarmada yararlı olabileceği bildirilmiştir (O'Reilly ve ark., 2022). Soyut argümanlardan çok somut, görsel ve sosyal görevler öne çıkar.</w:t>
            </w:r>
          </w:p>
        </w:tc>
      </w:tr>
      <w:tr>
        <w:trPr>
          <w:cantSplit/>
        </w:trPr>
        <w:tc>
          <w:tcPr>
            <w:tcW w:w="2699" w:type="dxa"/>
            <w:vAlign w:val="top"/>
          </w:tcPr>
          <w:p>
            <w:pPr>
              <w:spacing w:before="0" w:after="35" w:line="240" w:lineRule="auto"/>
            </w:pPr>
            <w:r>
              <w:rPr>
                <w:sz w:val="19"/>
              </w:rPr>
              <w:t xml:space="preserve">6–8</w:t>
            </w:r>
          </w:p>
        </w:tc>
        <w:tc>
          <w:tcPr>
            <w:tcW w:w="6939" w:type="dxa"/>
            <w:vAlign w:val="top"/>
          </w:tcPr>
          <w:p>
            <w:pPr>
              <w:spacing w:before="0" w:after="35" w:line="240" w:lineRule="auto"/>
            </w:pPr>
            <w:r>
              <w:rPr>
                <w:sz w:val="19"/>
              </w:rPr>
              <w:t xml:space="preserve">İlköğretimdeki 105 çalışmayı inceleyen derleme, araştırmaların 4.–6. sınıflarda yoğunlaştığını, 1. ve 2. sınıfların en az incelenen gruplar olduğunu göstermektedir (Jegstad ve ark., 2025). Bu yaşlarda başlayan CTAC pilotları ölçüme ilişkin kanıt sunmakla birlikte yaşa özgü araştırma açığı sürmektedir.</w:t>
            </w:r>
          </w:p>
        </w:tc>
      </w:tr>
      <w:tr>
        <w:trPr>
          <w:cantSplit/>
        </w:trPr>
        <w:tc>
          <w:tcPr>
            <w:tcW w:w="2699" w:type="dxa"/>
            <w:vAlign w:val="top"/>
          </w:tcPr>
          <w:p>
            <w:pPr>
              <w:spacing w:before="0" w:after="35" w:line="240" w:lineRule="auto"/>
            </w:pPr>
            <w:r>
              <w:rPr>
                <w:sz w:val="19"/>
              </w:rPr>
              <w:t xml:space="preserve">8–10</w:t>
            </w:r>
          </w:p>
        </w:tc>
        <w:tc>
          <w:tcPr>
            <w:tcW w:w="6939" w:type="dxa"/>
            <w:vAlign w:val="top"/>
          </w:tcPr>
          <w:p>
            <w:pPr>
              <w:spacing w:before="0" w:after="35" w:line="240" w:lineRule="auto"/>
            </w:pPr>
            <w:r>
              <w:rPr>
                <w:sz w:val="19"/>
              </w:rPr>
              <w:t xml:space="preserve">Web sayfalarına güveni inceleyen bir çalışmada çocuklar yazım hatalarına tepki vermiş, ancak semantik olarak yanlış bilgiyi güvenilirlik yargılarında yeterince kullanamamıştır. Çevrimiçi içerik doğruluğunun değerlendirilmesi bu yaşlarda belirgin biçimde sınırlıdır.</w:t>
            </w:r>
          </w:p>
        </w:tc>
      </w:tr>
      <w:tr>
        <w:trPr>
          <w:cantSplit/>
        </w:trPr>
        <w:tc>
          <w:tcPr>
            <w:tcW w:w="2699" w:type="dxa"/>
            <w:vAlign w:val="top"/>
          </w:tcPr>
          <w:p>
            <w:pPr>
              <w:spacing w:before="0" w:after="35" w:line="240" w:lineRule="auto"/>
            </w:pPr>
            <w:r>
              <w:rPr>
                <w:sz w:val="19"/>
              </w:rPr>
              <w:t xml:space="preserve">10–12</w:t>
            </w:r>
          </w:p>
        </w:tc>
        <w:tc>
          <w:tcPr>
            <w:tcW w:w="6939" w:type="dxa"/>
            <w:vAlign w:val="top"/>
          </w:tcPr>
          <w:p>
            <w:pPr>
              <w:spacing w:before="0" w:after="35" w:line="240" w:lineRule="auto"/>
            </w:pPr>
            <w:r>
              <w:rPr>
                <w:sz w:val="19"/>
              </w:rPr>
              <w:t xml:space="preserve">Kanıt üst ilkokul sınıflarında daha yoğundur. 2026 K–12 kapsam derlemesinde ilkokul araştırmalarının yaklaşık %70'i üst sınıflarla yürütülmüş; 1. ve 2. sınıflardaki deneysel araştırmalar sınırlı kalmıştır.</w:t>
            </w:r>
          </w:p>
        </w:tc>
      </w:tr>
    </w:tbl>
    <w:p>
      <w:pPr>
        <w:spacing w:after="50"/>
      </w:pPr>
    </w:p>
    <w:p>
      <w:pPr/>
      <w:r>
        <w:t xml:space="preserve">3–6 yaş selective-trust bulguları, güvenilir ve güvenilir olmayan kaynakların belirli koşullarda ayırt edilebildiğini göstermektedir; bu sonuçlar çevrimiçi kaynakların değerlendirilmesindeki daha ileri taleplerle eş tutulmamalıdır.</w:t>
      </w:r>
    </w:p>
    <w:p>
      <w:pPr>
        <w:pStyle w:val="Heading3"/>
      </w:pPr>
      <w:r>
        <w:t xml:space="preserve">Öğretilebilirlik ve pedagojik yaklaşımlar</w:t>
      </w:r>
    </w:p>
    <w:p>
      <w:pPr/>
      <w:r>
        <w:t xml:space="preserve">Abrami ve arkadaşlarının (2015) meta-analizi, deneysel ve yarı deneysel araştırmalardan 341 etki büyüklüğünü incelemiş ve eleştirel düşünme öğretiminin ortalama etkisini yaklaşık g = 0.30 olarak bulmuştur. Farklı eğitim düzeyleri ve disiplinlerdeki bu bulgu, eleştirel düşünmenin pedagojik müdahalelerle geliştirilebildiğini desteklemektedir. Diyalog, gerçek veya bağlama yerleştirilmiş problemler ve mentorluk/scaffolding içeren uygulamalar olumlu sonuçlarla ilişkilidir; hem genel hem de içerik içine gömülü öğretim etkili olabilmektedir.</w:t>
      </w:r>
    </w:p>
    <w:p>
      <w:pPr/>
      <w:r>
        <w:t xml:space="preserve">Jegstad ve arkadaşları (2025), sınıf içi uygulamaları dört grupta toplamaktadır: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Yaklaşım</w:t>
            </w:r>
          </w:p>
        </w:tc>
        <w:tc>
          <w:tcPr>
            <w:tcW w:w="6939" w:type="dxa"/>
            <w:vAlign w:val="top"/>
            <w:shd w:fill="E9EEF3" w:val="clear"/>
          </w:tcPr>
          <w:p>
            <w:pPr>
              <w:spacing w:before="0" w:after="35" w:line="240" w:lineRule="auto"/>
            </w:pPr>
            <w:r>
              <w:rPr>
                <w:b/>
                <w:sz w:val="19"/>
              </w:rPr>
              <w:t xml:space="preserve">İçerik örnekleri</w:t>
            </w:r>
          </w:p>
        </w:tc>
      </w:tr>
      <w:tr>
        <w:trPr>
          <w:cantSplit/>
        </w:trPr>
        <w:tc>
          <w:tcPr>
            <w:tcW w:w="2699" w:type="dxa"/>
            <w:vAlign w:val="top"/>
          </w:tcPr>
          <w:p>
            <w:pPr>
              <w:spacing w:before="0" w:after="35" w:line="240" w:lineRule="auto"/>
            </w:pPr>
            <w:r>
              <w:rPr>
                <w:sz w:val="19"/>
              </w:rPr>
              <w:t xml:space="preserve">Textual</w:t>
            </w:r>
          </w:p>
        </w:tc>
        <w:tc>
          <w:tcPr>
            <w:tcW w:w="6939" w:type="dxa"/>
            <w:vAlign w:val="top"/>
          </w:tcPr>
          <w:p>
            <w:pPr>
              <w:spacing w:before="0" w:after="35" w:line="240" w:lineRule="auto"/>
            </w:pPr>
            <w:r>
              <w:rPr>
                <w:sz w:val="19"/>
              </w:rPr>
              <w:t xml:space="preserve">Hikâye, metin, haber ve farklı görüşleri değerlendirme</w:t>
            </w:r>
          </w:p>
        </w:tc>
      </w:tr>
      <w:tr>
        <w:trPr>
          <w:cantSplit/>
        </w:trPr>
        <w:tc>
          <w:tcPr>
            <w:tcW w:w="2699" w:type="dxa"/>
            <w:vAlign w:val="top"/>
          </w:tcPr>
          <w:p>
            <w:pPr>
              <w:spacing w:before="0" w:after="35" w:line="240" w:lineRule="auto"/>
            </w:pPr>
            <w:r>
              <w:rPr>
                <w:sz w:val="19"/>
              </w:rPr>
              <w:t xml:space="preserve">Dialogic</w:t>
            </w:r>
          </w:p>
        </w:tc>
        <w:tc>
          <w:tcPr>
            <w:tcW w:w="6939" w:type="dxa"/>
            <w:vAlign w:val="top"/>
          </w:tcPr>
          <w:p>
            <w:pPr>
              <w:spacing w:before="0" w:after="35" w:line="240" w:lineRule="auto"/>
            </w:pPr>
            <w:r>
              <w:rPr>
                <w:sz w:val="19"/>
              </w:rPr>
              <w:t xml:space="preserve">Sokratik sorular, tartışma ve karşı görüş sunma</w:t>
            </w:r>
          </w:p>
        </w:tc>
      </w:tr>
      <w:tr>
        <w:trPr>
          <w:cantSplit/>
        </w:trPr>
        <w:tc>
          <w:tcPr>
            <w:tcW w:w="2699" w:type="dxa"/>
            <w:vAlign w:val="top"/>
          </w:tcPr>
          <w:p>
            <w:pPr>
              <w:spacing w:before="0" w:after="35" w:line="240" w:lineRule="auto"/>
            </w:pPr>
            <w:r>
              <w:rPr>
                <w:sz w:val="19"/>
              </w:rPr>
              <w:t xml:space="preserve">Digital</w:t>
            </w:r>
          </w:p>
        </w:tc>
        <w:tc>
          <w:tcPr>
            <w:tcW w:w="6939" w:type="dxa"/>
            <w:vAlign w:val="top"/>
          </w:tcPr>
          <w:p>
            <w:pPr>
              <w:spacing w:before="0" w:after="35" w:line="240" w:lineRule="auto"/>
            </w:pPr>
            <w:r>
              <w:rPr>
                <w:sz w:val="19"/>
              </w:rPr>
              <w:t xml:space="preserve">Simülasyonlar ve teknoloji destekli problem ortamları</w:t>
            </w:r>
          </w:p>
        </w:tc>
      </w:tr>
      <w:tr>
        <w:trPr>
          <w:cantSplit/>
        </w:trPr>
        <w:tc>
          <w:tcPr>
            <w:tcW w:w="2699" w:type="dxa"/>
            <w:vAlign w:val="top"/>
          </w:tcPr>
          <w:p>
            <w:pPr>
              <w:spacing w:before="0" w:after="35" w:line="240" w:lineRule="auto"/>
            </w:pPr>
            <w:r>
              <w:rPr>
                <w:sz w:val="19"/>
              </w:rPr>
              <w:t xml:space="preserve">Practical</w:t>
            </w:r>
          </w:p>
        </w:tc>
        <w:tc>
          <w:tcPr>
            <w:tcW w:w="6939" w:type="dxa"/>
            <w:vAlign w:val="top"/>
          </w:tcPr>
          <w:p>
            <w:pPr>
              <w:spacing w:before="0" w:after="35" w:line="240" w:lineRule="auto"/>
            </w:pPr>
            <w:r>
              <w:rPr>
                <w:sz w:val="19"/>
              </w:rPr>
              <w:t xml:space="preserve">Deney, uygulama ve gerçek problem çözme</w:t>
            </w:r>
          </w:p>
        </w:tc>
      </w:tr>
    </w:tbl>
    <w:p>
      <w:pPr>
        <w:spacing w:after="50"/>
      </w:pPr>
    </w:p>
    <w:p>
      <w:pPr/>
      <w:r>
        <w:t xml:space="preserve">Derleme, eleştirel diyaloğa elverişli konu ve problem seçimini vurgulamaktadır. 5–12 yaş grubuna odaklanan başka bir sistematik derlemede açık öğretimin (explicit instruction) yaygın olduğu; gerçek yaşam problemleri, grup çalışması, problem temelli öğrenme ve kültürel açıdan anlamlı hikâyelerin sık kullanıldığı görülmektedir. Yetkinlikler arasındaki ilişkiler A3'te sentezlenmektedir.</w:t>
      </w:r>
    </w:p>
    <w:p>
      <w:pPr/>
      <w:r>
        <w:t xml:space="preserve">Philosophy for Children / Philosophy with Children (P4C/P4wC), hikâye, olay veya etik ikilemler üzerinden soru üretme, gerekçe sunma, başkalarının fikirlerini değerlendirme ve görüşünü değiştirmeye dayalıdır. Wei ve Chen'in (2025) üç düzeyli meta-analizi 33 deneysel veya yarı deneysel çalışma, 53 etki büyüklüğü ve 4.568 katılımcıyı kapsamaktadır. Genel bilişsel gelişim etkisi g = 0.59, eleştirel düşünme alt grubundaki tahmini etki yaklaşık g = 0.66'dır. Küçük örneklemli çalışmaların daha yüksek etki üretme eğilimi, sonuçların ihtiyatla yorumlanmasını gerektirir.</w:t>
      </w:r>
    </w:p>
    <w:p>
      <w:pPr>
        <w:pStyle w:val="Heading3"/>
      </w:pPr>
      <w:r>
        <w:t xml:space="preserve">Oyun tabanlı öğrenme kanıtı</w:t>
      </w:r>
    </w:p>
    <w:p>
      <w:pPr/>
      <w:r>
        <w:t xml:space="preserve">Mao ve arkadaşlarının (2022) meta-analizi 20 çalışma, 21 etki büyüklüğü ve 1.947 katılımcıyı kapsamaktadır. Oyun tabanlı öğrenmenin eleştirel düşünmeyle ilişkili sonuçlar üzerindeki genel etkisi g = 0.863, doğrudan eleştirel düşünme becerisi üzerindeki etkisi g = 0.661 olarak raporlanmıştır. Bununla birlikte yüksek heterojenlik ve yaş, kültür, oyun türü ile araştırma tasarımına bağlı farklılıklar, bu sonuçların bütün eğitsel oyunlara genellenmesini engeller. Daha genel dijital oyun literatüründeki olumlu ortalama öğrenme etkileri de oyun mekanikleri ve pedagojik tasarıma bağlıdır.</w:t>
      </w:r>
    </w:p>
    <w:p>
      <w:pPr/>
      <w:r>
        <w:t xml:space="preserve">Kaynak karşılaştırma, güvenilirlik değerlendirme, kararı gerekçelendirme ve yeni kanıtla yargıyı yeniden değerlendirme, eleştirel düşünmeyle doğrudan ilişkili görev talepleridir. Yalnızca doğru seçeneği işaretleyerek puan kazanma, aynı bilişsel süreçleri zorunlu olarak içermez.</w:t>
      </w:r>
    </w:p>
    <w:p>
      <w:pPr>
        <w:pStyle w:val="Heading3"/>
      </w:pPr>
      <w:r>
        <w:t xml:space="preserve">Ölçüm araçları ve süreç göstergeleri</w:t>
      </w:r>
    </w:p>
    <w:p>
      <w:pPr/>
      <w:r>
        <w:t xml:space="preserve">2026 K–12 kapsam derlemesi 378 deneysel çalışmayı incelemiştir. Mevcut ölçüm araçlarını kullanan 164 araştırmada 67 farklı test, araç veya rubrik belirlenmiştir. Cornell Critical Thinking Test ve Watson–Glaser sık kullanılan araçlardır. Cornell Level X yaklaşık 5.–12. sınıflar için geliştirilmiş; tümevarım, tümdengelim, kaynak güvenilirliği ve varsayım belirleme gibi yapıları ölçmektedir. Bu çeşitlilik evrensel bir ölçüm standardının bulunmadığını göstermektedir. 2026 tarihli ölçüm araçları incelemesi de tek bir testin bütün boyutları yakalayamadığını ve araç seçiminin hedef alt beceri ile bağlama dayanması gerektiğini belirtmektedir.</w:t>
      </w:r>
    </w:p>
    <w:p>
      <w:pPr/>
      <w:r>
        <w:t xml:space="preserve">Critical Thinking Assessment for Children (CTAC), 6–9 yaşta ölçüm bağlamında ele alınan bir araçtır; 6–8 yaş grubunda başlayan pilotlardan hareketle ilkokulda ölçüme ilişkin psikometrik kanıt sunmuştur (Fabio ve Patafi, 2026). Araç üç faktör içermektedir: open-minded inquiry, media literacy/critical analysis ve contradiction recognition/critical awareness. Çalışmanın İtalya'da yürütülmüş olması nedeniyle kültürler arası doğrulama gereklidir.</w:t>
      </w:r>
    </w:p>
    <w:p>
      <w:pPr/>
      <w:r>
        <w:t xml:space="preserve">Süreç odaklı değerlendirmede aşağıdaki davranış–gösterge eşleştirmeleri incelenebilir: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Davranış</w:t>
            </w:r>
          </w:p>
        </w:tc>
        <w:tc>
          <w:tcPr>
            <w:tcW w:w="6939" w:type="dxa"/>
            <w:vAlign w:val="top"/>
            <w:shd w:fill="E9EEF3" w:val="clear"/>
          </w:tcPr>
          <w:p>
            <w:pPr>
              <w:spacing w:before="0" w:after="35" w:line="240" w:lineRule="auto"/>
            </w:pPr>
            <w:r>
              <w:rPr>
                <w:b/>
                <w:sz w:val="19"/>
              </w:rPr>
              <w:t xml:space="preserve">Olası bilişsel gösterge</w:t>
            </w:r>
          </w:p>
        </w:tc>
      </w:tr>
      <w:tr>
        <w:trPr>
          <w:cantSplit/>
        </w:trPr>
        <w:tc>
          <w:tcPr>
            <w:tcW w:w="2699" w:type="dxa"/>
            <w:vAlign w:val="top"/>
          </w:tcPr>
          <w:p>
            <w:pPr>
              <w:spacing w:before="0" w:after="35" w:line="240" w:lineRule="auto"/>
            </w:pPr>
            <w:r>
              <w:rPr>
                <w:sz w:val="19"/>
              </w:rPr>
              <w:t xml:space="preserve">Farklı kaynaklara başvurma</w:t>
            </w:r>
          </w:p>
        </w:tc>
        <w:tc>
          <w:tcPr>
            <w:tcW w:w="6939" w:type="dxa"/>
            <w:vAlign w:val="top"/>
          </w:tcPr>
          <w:p>
            <w:pPr>
              <w:spacing w:before="0" w:after="35" w:line="240" w:lineRule="auto"/>
            </w:pPr>
            <w:r>
              <w:rPr>
                <w:sz w:val="19"/>
              </w:rPr>
              <w:t xml:space="preserve">Evidence seeking</w:t>
            </w:r>
          </w:p>
        </w:tc>
      </w:tr>
      <w:tr>
        <w:trPr>
          <w:cantSplit/>
        </w:trPr>
        <w:tc>
          <w:tcPr>
            <w:tcW w:w="2699" w:type="dxa"/>
            <w:vAlign w:val="top"/>
          </w:tcPr>
          <w:p>
            <w:pPr>
              <w:spacing w:before="0" w:after="35" w:line="240" w:lineRule="auto"/>
            </w:pPr>
            <w:r>
              <w:rPr>
                <w:sz w:val="19"/>
              </w:rPr>
              <w:t xml:space="preserve">Kaynağın geçmişini kontrol etme</w:t>
            </w:r>
          </w:p>
        </w:tc>
        <w:tc>
          <w:tcPr>
            <w:tcW w:w="6939" w:type="dxa"/>
            <w:vAlign w:val="top"/>
          </w:tcPr>
          <w:p>
            <w:pPr>
              <w:spacing w:before="0" w:after="35" w:line="240" w:lineRule="auto"/>
            </w:pPr>
            <w:r>
              <w:rPr>
                <w:sz w:val="19"/>
              </w:rPr>
              <w:t xml:space="preserve">Source evaluation</w:t>
            </w:r>
          </w:p>
        </w:tc>
      </w:tr>
      <w:tr>
        <w:trPr>
          <w:cantSplit/>
        </w:trPr>
        <w:tc>
          <w:tcPr>
            <w:tcW w:w="2699" w:type="dxa"/>
            <w:vAlign w:val="top"/>
          </w:tcPr>
          <w:p>
            <w:pPr>
              <w:spacing w:before="0" w:after="35" w:line="240" w:lineRule="auto"/>
            </w:pPr>
            <w:r>
              <w:rPr>
                <w:sz w:val="19"/>
              </w:rPr>
              <w:t xml:space="preserve">Alternatif çözüm üretme</w:t>
            </w:r>
          </w:p>
        </w:tc>
        <w:tc>
          <w:tcPr>
            <w:tcW w:w="6939" w:type="dxa"/>
            <w:vAlign w:val="top"/>
          </w:tcPr>
          <w:p>
            <w:pPr>
              <w:spacing w:before="0" w:after="35" w:line="240" w:lineRule="auto"/>
            </w:pPr>
            <w:r>
              <w:rPr>
                <w:sz w:val="19"/>
              </w:rPr>
              <w:t xml:space="preserve">Alternative generation</w:t>
            </w:r>
          </w:p>
        </w:tc>
      </w:tr>
      <w:tr>
        <w:trPr>
          <w:cantSplit/>
        </w:trPr>
        <w:tc>
          <w:tcPr>
            <w:tcW w:w="2699" w:type="dxa"/>
            <w:vAlign w:val="top"/>
          </w:tcPr>
          <w:p>
            <w:pPr>
              <w:spacing w:before="0" w:after="35" w:line="240" w:lineRule="auto"/>
            </w:pPr>
            <w:r>
              <w:rPr>
                <w:sz w:val="19"/>
              </w:rPr>
              <w:t xml:space="preserve">Kararı gerekçelendirme</w:t>
            </w:r>
          </w:p>
        </w:tc>
        <w:tc>
          <w:tcPr>
            <w:tcW w:w="6939" w:type="dxa"/>
            <w:vAlign w:val="top"/>
          </w:tcPr>
          <w:p>
            <w:pPr>
              <w:spacing w:before="0" w:after="35" w:line="240" w:lineRule="auto"/>
            </w:pPr>
            <w:r>
              <w:rPr>
                <w:sz w:val="19"/>
              </w:rPr>
              <w:t xml:space="preserve">Explanation/reasoning</w:t>
            </w:r>
          </w:p>
        </w:tc>
      </w:tr>
      <w:tr>
        <w:trPr>
          <w:cantSplit/>
        </w:trPr>
        <w:tc>
          <w:tcPr>
            <w:tcW w:w="2699" w:type="dxa"/>
            <w:vAlign w:val="top"/>
          </w:tcPr>
          <w:p>
            <w:pPr>
              <w:spacing w:before="0" w:after="35" w:line="240" w:lineRule="auto"/>
            </w:pPr>
            <w:r>
              <w:rPr>
                <w:sz w:val="19"/>
              </w:rPr>
              <w:t xml:space="preserve">Yeni kanıttan sonra görüş değiştirme</w:t>
            </w:r>
          </w:p>
        </w:tc>
        <w:tc>
          <w:tcPr>
            <w:tcW w:w="6939" w:type="dxa"/>
            <w:vAlign w:val="top"/>
          </w:tcPr>
          <w:p>
            <w:pPr>
              <w:spacing w:before="0" w:after="35" w:line="240" w:lineRule="auto"/>
            </w:pPr>
            <w:r>
              <w:rPr>
                <w:sz w:val="19"/>
              </w:rPr>
              <w:t xml:space="preserve">Cognitive flexibility / self-correction</w:t>
            </w:r>
          </w:p>
        </w:tc>
      </w:tr>
      <w:tr>
        <w:trPr>
          <w:cantSplit/>
        </w:trPr>
        <w:tc>
          <w:tcPr>
            <w:tcW w:w="2699" w:type="dxa"/>
            <w:vAlign w:val="top"/>
          </w:tcPr>
          <w:p>
            <w:pPr>
              <w:spacing w:before="0" w:after="35" w:line="240" w:lineRule="auto"/>
            </w:pPr>
            <w:r>
              <w:rPr>
                <w:sz w:val="19"/>
              </w:rPr>
              <w:t xml:space="preserve">Çelişki fark etme</w:t>
            </w:r>
          </w:p>
        </w:tc>
        <w:tc>
          <w:tcPr>
            <w:tcW w:w="6939" w:type="dxa"/>
            <w:vAlign w:val="top"/>
          </w:tcPr>
          <w:p>
            <w:pPr>
              <w:spacing w:before="0" w:after="35" w:line="240" w:lineRule="auto"/>
            </w:pPr>
            <w:r>
              <w:rPr>
                <w:sz w:val="19"/>
              </w:rPr>
              <w:t xml:space="preserve">Critical analysis</w:t>
            </w:r>
          </w:p>
        </w:tc>
      </w:tr>
      <w:tr>
        <w:trPr>
          <w:cantSplit/>
        </w:trPr>
        <w:tc>
          <w:tcPr>
            <w:tcW w:w="2699" w:type="dxa"/>
            <w:vAlign w:val="top"/>
          </w:tcPr>
          <w:p>
            <w:pPr>
              <w:spacing w:before="0" w:after="35" w:line="240" w:lineRule="auto"/>
            </w:pPr>
            <w:r>
              <w:rPr>
                <w:sz w:val="19"/>
              </w:rPr>
              <w:t xml:space="preserve">Bilgi yetersizken kararı erteleme</w:t>
            </w:r>
          </w:p>
        </w:tc>
        <w:tc>
          <w:tcPr>
            <w:tcW w:w="6939" w:type="dxa"/>
            <w:vAlign w:val="top"/>
          </w:tcPr>
          <w:p>
            <w:pPr>
              <w:spacing w:before="0" w:after="35" w:line="240" w:lineRule="auto"/>
            </w:pPr>
            <w:r>
              <w:rPr>
                <w:sz w:val="19"/>
              </w:rPr>
              <w:t xml:space="preserve">Judgment calibration</w:t>
            </w:r>
          </w:p>
        </w:tc>
      </w:tr>
      <w:tr>
        <w:trPr>
          <w:cantSplit/>
        </w:trPr>
        <w:tc>
          <w:tcPr>
            <w:tcW w:w="2699" w:type="dxa"/>
            <w:vAlign w:val="top"/>
          </w:tcPr>
          <w:p>
            <w:pPr>
              <w:spacing w:before="0" w:after="35" w:line="240" w:lineRule="auto"/>
            </w:pPr>
            <w:r>
              <w:rPr>
                <w:sz w:val="19"/>
              </w:rPr>
              <w:t xml:space="preserve">Yanlış stratejiyi bırakma</w:t>
            </w:r>
          </w:p>
        </w:tc>
        <w:tc>
          <w:tcPr>
            <w:tcW w:w="6939" w:type="dxa"/>
            <w:vAlign w:val="top"/>
          </w:tcPr>
          <w:p>
            <w:pPr>
              <w:spacing w:before="0" w:after="35" w:line="240" w:lineRule="auto"/>
            </w:pPr>
            <w:r>
              <w:rPr>
                <w:sz w:val="19"/>
              </w:rPr>
              <w:t xml:space="preserve">Self-regulation</w:t>
            </w:r>
          </w:p>
        </w:tc>
      </w:tr>
    </w:tbl>
    <w:p>
      <w:pPr>
        <w:spacing w:after="50"/>
      </w:pPr>
    </w:p>
    <w:p>
      <w:pPr/>
      <w:r>
        <w:t xml:space="preserve">Bu eşleştirmeler açısından temel araştırma sorusu, dijital göstergelerin doğrulanmış eleştirel düşünme araçlarındaki performansı güvenilir biçimde tahmin edip edemediğidir; doğal oyun davranışlarına dayalı ölçüm, standart testlere göre daha az olgunlaşmıştır.</w:t>
      </w:r>
    </w:p>
    <w:p>
      <w:pPr>
        <w:pStyle w:val="Heading3"/>
      </w:pPr>
      <w:r>
        <w:t xml:space="preserve">Transfer, ulusal çerçeve ve araştırma sınırları</w:t>
      </w:r>
    </w:p>
    <w:p>
      <w:pPr/>
      <w:r>
        <w:t xml:space="preserve">2026 K–12 kapsam derlemesi alan bilgisinin eleştirel düşünmedeki önemini vurgulamaktadır. Bilimsel bir problemde başarılı akıl yürütme, haber, ekonomik karar veya sosyal problem değerlendirmesine kendiliğinden aktarılmaz. Abrami ve arkadaşlarının (2015) genel ve içerik içine gömülü öğretime ilişkin olumlu bulguları da bağlamlar arası aktarımı tek başına kanıtlamaz. Bilim, günlük yaşam, kaynak değerlendirme, sosyal problem, görsel kanıt ve yapay zekâ yanıtı gibi bağlamlardaki performansın ayrıca incelenmesi gerekir.</w:t>
      </w:r>
    </w:p>
    <w:p>
      <w:pPr/>
      <w:r>
        <w:t xml:space="preserve">Türkiye Yüzyılı Maarif Modeli eleştirel düşünmeyi üç üst düzey düşünme becerisinden biri olarak tanımlar; süreç sorgulama, akıl yürütme ve ulaşılan çıkarımlar üzerine yansıtma bileşenlerinden oluşur. Karar verme ve problem çözme ayrı üst düzey becerilerdir.</w:t>
      </w:r>
    </w:p>
    <w:p>
      <w:pPr/>
      <w:r>
        <w:t xml:space="preserve">Araştırma sınırları özellikle alt ilkokul sınıflarındaki kanıt azlığı, yaş ve bağlama göre ölçüm uzlaşmasının bulunmaması, çevrimiçi bilginin semantik doğruluğunu değerlendirmedeki güçlükler ve bağlamlar arası transferde yoğunlaşmaktadır. Selective-trust literatürünün büyük ölçüde insan bilgi kaynaklarına dayanması, çocukların yapay zekâ gibi teknolojik kaynaklara güveninin ayrı incelenmesini gerektirir.</w:t>
      </w:r>
    </w:p>
    <w:p>
      <w:pPr>
        <w:pStyle w:val="Heading3"/>
      </w:pPr>
      <w:r>
        <w:t xml:space="preserve">Ön Evidence Score</w:t>
      </w:r>
    </w:p>
    <w:p>
      <w:pPr/>
      <w:r>
        <w:t xml:space="preserve">Aşağıdaki puanlar araştırmacı değerlendirmesidir; standartlaştırılmış bilimsel ölçüm sonuçları değildir.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891"/>
        <w:gridCol w:w="1157"/>
        <w:gridCol w:w="5590"/>
      </w:tblGrid>
      <w:tr>
        <w:trPr>
          <w:cantSplit/>
          <w:tblHeader/>
        </w:trPr>
        <w:tc>
          <w:tcPr>
            <w:tcW w:w="2891" w:type="dxa"/>
            <w:vAlign w:val="top"/>
            <w:shd w:fill="E9EEF3" w:val="clear"/>
          </w:tcPr>
          <w:p>
            <w:pPr>
              <w:spacing w:before="0" w:after="35" w:line="240" w:lineRule="auto"/>
            </w:pPr>
            <w:r>
              <w:rPr>
                <w:b/>
                <w:sz w:val="19"/>
              </w:rPr>
              <w:t xml:space="preserve">Ölçüt</w:t>
            </w:r>
          </w:p>
        </w:tc>
        <w:tc>
          <w:tcPr>
            <w:tcW w:w="1157" w:type="dxa"/>
            <w:vAlign w:val="top"/>
            <w:shd w:fill="E9EEF3" w:val="clear"/>
          </w:tcPr>
          <w:p>
            <w:pPr>
              <w:spacing w:before="0" w:after="35" w:line="240" w:lineRule="auto"/>
            </w:pPr>
            <w:r>
              <w:rPr>
                <w:b/>
                <w:sz w:val="19"/>
              </w:rPr>
              <w:t xml:space="preserve">Puan</w:t>
            </w:r>
          </w:p>
        </w:tc>
        <w:tc>
          <w:tcPr>
            <w:tcW w:w="5590" w:type="dxa"/>
            <w:vAlign w:val="top"/>
            <w:shd w:fill="E9EEF3" w:val="clear"/>
          </w:tcPr>
          <w:p>
            <w:pPr>
              <w:spacing w:before="0" w:after="35" w:line="240" w:lineRule="auto"/>
            </w:pPr>
            <w:r>
              <w:rPr>
                <w:b/>
                <w:sz w:val="19"/>
              </w:rPr>
              <w:t xml:space="preserve">Gerekçe</w:t>
            </w:r>
          </w:p>
        </w:tc>
      </w:tr>
      <w:tr>
        <w:trPr>
          <w:cantSplit/>
        </w:trPr>
        <w:tc>
          <w:tcPr>
            <w:tcW w:w="2891" w:type="dxa"/>
            <w:vAlign w:val="top"/>
          </w:tcPr>
          <w:p>
            <w:pPr>
              <w:spacing w:before="0" w:after="35" w:line="240" w:lineRule="auto"/>
            </w:pPr>
            <w:r>
              <w:rPr>
                <w:sz w:val="19"/>
              </w:rPr>
              <w:t xml:space="preserve">Future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Uluslararası çerçevelerde çekirdek beceri</w:t>
            </w:r>
          </w:p>
        </w:tc>
      </w:tr>
      <w:tr>
        <w:trPr>
          <w:cantSplit/>
        </w:trPr>
        <w:tc>
          <w:tcPr>
            <w:tcW w:w="2891" w:type="dxa"/>
            <w:vAlign w:val="top"/>
          </w:tcPr>
          <w:p>
            <w:pPr>
              <w:spacing w:before="0" w:after="35" w:line="240" w:lineRule="auto"/>
            </w:pPr>
            <w:r>
              <w:rPr>
                <w:sz w:val="19"/>
              </w:rPr>
              <w:t xml:space="preserve">Evidence strength</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Derleme, deney ve meta-analiz kanıtı</w:t>
            </w:r>
          </w:p>
        </w:tc>
      </w:tr>
      <w:tr>
        <w:trPr>
          <w:cantSplit/>
        </w:trPr>
        <w:tc>
          <w:tcPr>
            <w:tcW w:w="2891" w:type="dxa"/>
            <w:vAlign w:val="top"/>
          </w:tcPr>
          <w:p>
            <w:pPr>
              <w:spacing w:before="0" w:after="35" w:line="240" w:lineRule="auto"/>
            </w:pPr>
            <w:r>
              <w:rPr>
                <w:sz w:val="19"/>
              </w:rPr>
              <w:t xml:space="preserve">Teachability</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Müdahalelerle gelişimi destekleyen kanıt</w:t>
            </w:r>
          </w:p>
        </w:tc>
      </w:tr>
      <w:tr>
        <w:trPr>
          <w:cantSplit/>
        </w:trPr>
        <w:tc>
          <w:tcPr>
            <w:tcW w:w="2891" w:type="dxa"/>
            <w:vAlign w:val="top"/>
          </w:tcPr>
          <w:p>
            <w:pPr>
              <w:spacing w:before="0" w:after="35" w:line="240" w:lineRule="auto"/>
            </w:pPr>
            <w:r>
              <w:rPr>
                <w:sz w:val="19"/>
              </w:rPr>
              <w:t xml:space="preserve">Young-child evidence</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Okul öncesi kanıt; alt ilkokulda boşluk</w:t>
            </w:r>
          </w:p>
        </w:tc>
      </w:tr>
      <w:tr>
        <w:trPr>
          <w:cantSplit/>
        </w:trPr>
        <w:tc>
          <w:tcPr>
            <w:tcW w:w="2891" w:type="dxa"/>
            <w:vAlign w:val="top"/>
          </w:tcPr>
          <w:p>
            <w:pPr>
              <w:spacing w:before="0" w:after="35" w:line="240" w:lineRule="auto"/>
            </w:pPr>
            <w:r>
              <w:rPr>
                <w:sz w:val="19"/>
              </w:rPr>
              <w:t xml:space="preserve">Measurability</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Çok sayıda araç; sınırlı standardizasyon</w:t>
            </w:r>
          </w:p>
        </w:tc>
      </w:tr>
      <w:tr>
        <w:trPr>
          <w:cantSplit/>
        </w:trPr>
        <w:tc>
          <w:tcPr>
            <w:tcW w:w="2891" w:type="dxa"/>
            <w:vAlign w:val="top"/>
          </w:tcPr>
          <w:p>
            <w:pPr>
              <w:spacing w:before="0" w:after="35" w:line="240" w:lineRule="auto"/>
            </w:pPr>
            <w:r>
              <w:rPr>
                <w:sz w:val="19"/>
              </w:rPr>
              <w:t xml:space="preserve">Transfer evidence</w:t>
            </w:r>
          </w:p>
        </w:tc>
        <w:tc>
          <w:tcPr>
            <w:tcW w:w="1157" w:type="dxa"/>
            <w:vAlign w:val="top"/>
          </w:tcPr>
          <w:p>
            <w:pPr>
              <w:spacing w:before="0" w:after="35" w:line="240" w:lineRule="auto"/>
            </w:pPr>
            <w:r>
              <w:rPr>
                <w:sz w:val="19"/>
              </w:rPr>
              <w:t xml:space="preserve">3/5</w:t>
            </w:r>
          </w:p>
        </w:tc>
        <w:tc>
          <w:tcPr>
            <w:tcW w:w="5590" w:type="dxa"/>
            <w:vAlign w:val="top"/>
          </w:tcPr>
          <w:p>
            <w:pPr>
              <w:spacing w:before="0" w:after="35" w:line="240" w:lineRule="auto"/>
            </w:pPr>
            <w:r>
              <w:rPr>
                <w:sz w:val="19"/>
              </w:rPr>
              <w:t xml:space="preserve">Otomatik ve bağlamdan bağımsız değil</w:t>
            </w:r>
          </w:p>
        </w:tc>
      </w:tr>
      <w:tr>
        <w:trPr>
          <w:cantSplit/>
        </w:trPr>
        <w:tc>
          <w:tcPr>
            <w:tcW w:w="2891" w:type="dxa"/>
            <w:vAlign w:val="top"/>
          </w:tcPr>
          <w:p>
            <w:pPr>
              <w:spacing w:before="0" w:after="35" w:line="240" w:lineRule="auto"/>
            </w:pPr>
            <w:r>
              <w:rPr>
                <w:sz w:val="19"/>
              </w:rPr>
              <w:t xml:space="preserve">Digital suitability</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Dijital ve oyun tabanlı öğrenmede olumlu kanıt</w:t>
            </w:r>
          </w:p>
        </w:tc>
      </w:tr>
      <w:tr>
        <w:trPr>
          <w:cantSplit/>
        </w:trPr>
        <w:tc>
          <w:tcPr>
            <w:tcW w:w="2891" w:type="dxa"/>
            <w:vAlign w:val="top"/>
          </w:tcPr>
          <w:p>
            <w:pPr>
              <w:spacing w:before="0" w:after="35" w:line="240" w:lineRule="auto"/>
            </w:pPr>
            <w:r>
              <w:rPr>
                <w:sz w:val="19"/>
              </w:rPr>
              <w:t xml:space="preserve">Game suitability</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Kanıt, karar ve gerekçelendirme görevlerine uygunluk</w:t>
            </w:r>
          </w:p>
        </w:tc>
      </w:tr>
      <w:tr>
        <w:trPr>
          <w:cantSplit/>
        </w:trPr>
        <w:tc>
          <w:tcPr>
            <w:tcW w:w="2891" w:type="dxa"/>
            <w:vAlign w:val="top"/>
          </w:tcPr>
          <w:p>
            <w:pPr>
              <w:spacing w:before="0" w:after="35" w:line="240" w:lineRule="auto"/>
            </w:pPr>
            <w:r>
              <w:rPr>
                <w:sz w:val="19"/>
              </w:rPr>
              <w:t xml:space="preserve">Research-opportunity potential</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Davranışsal ölçüm ve dijital kaynak değerlendirmesinde boşluklar</w:t>
            </w:r>
          </w:p>
        </w:tc>
      </w:tr>
    </w:tbl>
    <w:p>
      <w:pPr>
        <w:spacing w:after="50"/>
      </w:pPr>
    </w:p>
    <w:p>
      <w:pPr/>
      <w:r>
        <w:t xml:space="preserve">Eleştirel düşünme, kurumsal önemi ve müdahale kanıtı bakımından güçlü bir araştırma alanıdır. Gözlenebilir alt süreçlere ayrılabilmesi ölçüm için temel sağlamakla birlikte yaşa, bağlama ve ölçüm yöntemine özgü doğrulama gereksinimi sürmektedir.</w:t>
      </w:r>
    </w:p>
    <w:p>
      <w:pPr>
        <w:pStyle w:val="Heading2"/>
        <w:pageBreakBefore/>
      </w:pPr>
      <w:bookmarkStart w:id="4" w:name="A2_2"/>
      <w:r>
        <w:t xml:space="preserve">A2.2. Problem Solving</w:t>
      </w:r>
      <w:bookmarkEnd w:id="4"/>
    </w:p>
    <w:p>
      <w:pPr>
        <w:pStyle w:val="Heading3"/>
      </w:pPr>
      <w:r>
        <w:t xml:space="preserve">Kavramsal çerçeve ve problem türleri</w:t>
      </w:r>
    </w:p>
    <w:p>
      <w:pPr/>
      <w:r>
        <w:t xml:space="preserve">Problem çözme (problem solving), ulaşılmak istenen hedefin bulunduğu ancak çözüm yolunun hemen açık olmadığı durumlarda problemi anlama, ilgili bilgi ve kısıtları belirleme, strateji üretme ve uygulama, sonucu izleme ve gerektiğinde stratejiyi değiştirme sürecidir. OECD'nin PISA 2012 çerçevesi bu kapasiteyi dört ana süreç ve sekiz alt süreç üzerinden ele almaktadır (OECD, 2013).</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Ana süreç</w:t>
            </w:r>
          </w:p>
        </w:tc>
        <w:tc>
          <w:tcPr>
            <w:tcW w:w="6939" w:type="dxa"/>
            <w:vAlign w:val="top"/>
            <w:shd w:fill="E9EEF3" w:val="clear"/>
          </w:tcPr>
          <w:p>
            <w:pPr>
              <w:spacing w:before="0" w:after="35" w:line="240" w:lineRule="auto"/>
            </w:pPr>
            <w:r>
              <w:rPr>
                <w:b/>
                <w:sz w:val="19"/>
              </w:rPr>
              <w:t xml:space="preserve">Alt süreçler ve içerik</w:t>
            </w:r>
          </w:p>
        </w:tc>
      </w:tr>
      <w:tr>
        <w:trPr>
          <w:cantSplit/>
        </w:trPr>
        <w:tc>
          <w:tcPr>
            <w:tcW w:w="2699" w:type="dxa"/>
            <w:vAlign w:val="top"/>
          </w:tcPr>
          <w:p>
            <w:pPr>
              <w:spacing w:before="0" w:after="35" w:line="240" w:lineRule="auto"/>
            </w:pPr>
            <w:r>
              <w:rPr>
                <w:sz w:val="19"/>
              </w:rPr>
              <w:t xml:space="preserve">Explore &amp; Understand</w:t>
            </w:r>
          </w:p>
        </w:tc>
        <w:tc>
          <w:tcPr>
            <w:tcW w:w="6939" w:type="dxa"/>
            <w:vAlign w:val="top"/>
          </w:tcPr>
          <w:p>
            <w:pPr>
              <w:spacing w:before="0" w:after="35" w:line="240" w:lineRule="auto"/>
            </w:pPr>
            <w:r>
              <w:rPr>
                <w:sz w:val="19"/>
              </w:rPr>
              <w:t xml:space="preserve">Keşfetme ve anlama: bilgi toplama ve problemi tanımlama</w:t>
            </w:r>
          </w:p>
        </w:tc>
      </w:tr>
      <w:tr>
        <w:trPr>
          <w:cantSplit/>
        </w:trPr>
        <w:tc>
          <w:tcPr>
            <w:tcW w:w="2699" w:type="dxa"/>
            <w:vAlign w:val="top"/>
          </w:tcPr>
          <w:p>
            <w:pPr>
              <w:spacing w:before="0" w:after="35" w:line="240" w:lineRule="auto"/>
            </w:pPr>
            <w:r>
              <w:rPr>
                <w:sz w:val="19"/>
              </w:rPr>
              <w:t xml:space="preserve">Represent &amp; Formulate</w:t>
            </w:r>
          </w:p>
        </w:tc>
        <w:tc>
          <w:tcPr>
            <w:tcW w:w="6939" w:type="dxa"/>
            <w:vAlign w:val="top"/>
          </w:tcPr>
          <w:p>
            <w:pPr>
              <w:spacing w:before="0" w:after="35" w:line="240" w:lineRule="auto"/>
            </w:pPr>
            <w:r>
              <w:rPr>
                <w:sz w:val="19"/>
              </w:rPr>
              <w:t xml:space="preserve">Temsil etme ve formüle etme: ilişkileri belirleme, zihinsel model ve hipotez oluşturma</w:t>
            </w:r>
          </w:p>
        </w:tc>
      </w:tr>
      <w:tr>
        <w:trPr>
          <w:cantSplit/>
        </w:trPr>
        <w:tc>
          <w:tcPr>
            <w:tcW w:w="2699" w:type="dxa"/>
            <w:vAlign w:val="top"/>
          </w:tcPr>
          <w:p>
            <w:pPr>
              <w:spacing w:before="0" w:after="35" w:line="240" w:lineRule="auto"/>
            </w:pPr>
            <w:r>
              <w:rPr>
                <w:sz w:val="19"/>
              </w:rPr>
              <w:t xml:space="preserve">Plan &amp; Execute</w:t>
            </w:r>
          </w:p>
        </w:tc>
        <w:tc>
          <w:tcPr>
            <w:tcW w:w="6939" w:type="dxa"/>
            <w:vAlign w:val="top"/>
          </w:tcPr>
          <w:p>
            <w:pPr>
              <w:spacing w:before="0" w:after="35" w:line="240" w:lineRule="auto"/>
            </w:pPr>
            <w:r>
              <w:rPr>
                <w:sz w:val="19"/>
              </w:rPr>
              <w:t xml:space="preserve">Planlama ve yürütme: hedef/alt hedef belirleme, strateji geliştirme ve çözümü deneme</w:t>
            </w:r>
          </w:p>
        </w:tc>
      </w:tr>
      <w:tr>
        <w:trPr>
          <w:cantSplit/>
        </w:trPr>
        <w:tc>
          <w:tcPr>
            <w:tcW w:w="2699" w:type="dxa"/>
            <w:vAlign w:val="top"/>
          </w:tcPr>
          <w:p>
            <w:pPr>
              <w:spacing w:before="0" w:after="35" w:line="240" w:lineRule="auto"/>
            </w:pPr>
            <w:r>
              <w:rPr>
                <w:sz w:val="19"/>
              </w:rPr>
              <w:t xml:space="preserve">Monitor &amp; Reflect</w:t>
            </w:r>
          </w:p>
        </w:tc>
        <w:tc>
          <w:tcPr>
            <w:tcW w:w="6939" w:type="dxa"/>
            <w:vAlign w:val="top"/>
          </w:tcPr>
          <w:p>
            <w:pPr>
              <w:spacing w:before="0" w:after="35" w:line="240" w:lineRule="auto"/>
            </w:pPr>
            <w:r>
              <w:rPr>
                <w:sz w:val="19"/>
              </w:rPr>
              <w:t xml:space="preserve">İzleme ve yansıtma: sonucu takip etme, hataları fark etme, stratejiyi değiştirme ve çözümü değerlendirme</w:t>
            </w:r>
          </w:p>
        </w:tc>
      </w:tr>
    </w:tbl>
    <w:p>
      <w:pPr>
        <w:spacing w:after="50"/>
      </w:pPr>
    </w:p>
    <w:p>
      <w:pPr/>
      <w:r>
        <w:t xml:space="preserve">A2.1'deki eleştirel düşünme, bilgi ve iddiaların gerekçeliliğini sorgularken problem çözme bir hedefe ulaşmak için çözüm yolu geliştirmeye odaklanır. İlki kanıtları, çıkarımları ve alternatif açıklamaları; ikincisi stratejileri, alternatif çözümleri ve uygulama sonuçlarını değerlendirir. Problem temsili, strateji üretimi, planlama, izleme ve yansıtma aşamaları eleştirel düşünme, akıl yürütme, üstbiliş ve yürütücü işlevlerle ilişkilidir; bu yapılar tamamen bağımsız kabul edilmemelidir.</w:t>
      </w:r>
    </w:p>
    <w:p>
      <w:pPr/>
      <w:r>
        <w:t xml:space="preserve">Jonassen'ın (1997) ayrımında iyi yapılandırılmış (well-structured) problemlerin başlangıç durumu, hedefi ve kuralları belirgindir; tek veya sınırlı sayıda çözüm bulunur. Elma sayısını hesaplama veya parçaları belirli sıraya yerleştirerek çıkışa ulaşma bu tür görevlere örnektir. İyi yapılandırılmamış (ill-structured) problemler ise eksik bilgi, belirsizlik, birden fazla hedef ve çözüm içerebilir; çözümün niteliği değerlendirme ölçütlerine bağlıdır. Artan su tüketimini insan ihtiyaçları ve çevresel zarar arasında denge kurarak azaltma problemi, kısıtların, ek bilgi gereksiniminin, seçenekler arasındaki ödünleşimlerin ve farklı sonuçların birlikte değerlendirilmesini gerektirir.</w:t>
      </w:r>
    </w:p>
    <w:p>
      <w:pPr/>
      <w:r>
        <w:t xml:space="preserve">2026 okul öncesi kapsam derlemesi, rutin matematik veya Tower-of-Hanoi türü görevlerden elde edilen sonuçların gerçek yaşam tipi ill-structured problemlere doğrudan genellenemeyeceğini vurgulamaktadır (Van Elsen ve ark., 2026). Dolayısıyla problem çözme, yalnızca bulmaca başarısı veya doğru yanıtla değil, yeni ve rutin olmayan durumlarda problemi yapılandırabilmeyle de ele alınmalıdır.</w:t>
      </w:r>
    </w:p>
    <w:p>
      <w:pPr>
        <w:pStyle w:val="Heading3"/>
      </w:pPr>
      <w:r>
        <w:t xml:space="preserve">Erken gelişim ve 3–6 yaş müdahaleleri</w:t>
      </w:r>
    </w:p>
    <w:p>
      <w:pPr/>
      <w:r>
        <w:t xml:space="preserve">Rachel Keen'in gelişim derlemesi, küçük çocuklarda problem çözmenin araç kullanımı, araç–amaç davranışı ve hedefe yönelik eylemler üzerinden gözlenebildiğini göstermektedir. Başarının yanında eylem planlama ve hatalardan yararlanma da önemlidir. 2026 tarihli gelişim derlemesi bilgi toplama, motor hazırlık, eylem seçimi ve eylem sırasında düzeltmenin koordinasyonunu vurgulamaktadır. Problem çözme, çocukluk boyunca karmaşıklaşan çok bileşenli bir süreçtir.</w:t>
      </w:r>
    </w:p>
    <w:p>
      <w:pPr/>
      <w:r>
        <w:t xml:space="preserve">Burns ve arkadaşlarının (2025) sistematik derleme ve meta-analizi, 3–6 yaş erken çocukluk eğitimi ve bakım ortamlarındaki STEM temelli problem çözme müdahalelerini incelemiştir. Taranan 13.030 özetten 19 çalışma sistematik derlemeye alınmış; 1.355 çocuğu içeren 10 örneklem meta-analize dahil edilmiştir. Problem çözme performansındaki birleştirilmiş etki yaklaşık 0.42 olarak raporlanmıştır.</w:t>
      </w:r>
    </w:p>
    <w:p>
      <w:pPr/>
      <w:r>
        <w:t xml:space="preserve">Etkinlikler bulmacalar, Lego ve yapı blokları, rampalar, labirentler, robotlar, uzamsal akıl yürütme görevleri ve matematik/fen materyallerini kapsamaktadır. Öğretim yaklaşımları doğrudan yönlendirme, çocukları farklı biçimlerde eşleştirme, yapılandırılmış müfredat, performans geri bildirimi ve materyallerle serbest/pratik etkileşim olarak sınıflandırılmıştır. Birden fazla çözüm üretmeye teşvik ve geri bildirim umut verici uygulamalardır. Bu yaşlarda somut, görsel, nesne veya manipülasyon temelli, hikâye/oyun bağlamındaki ve düşük soyutlama gerektiren görevler öne çıkmaktadır. Bulgular kısa dönem kazanımları desteklerken uzun dönem problem çözme, uyarlanabilirlik ve akademik sonuçlara ilişkin boylamsal kanıt daha sınırlıdır.</w:t>
      </w:r>
    </w:p>
    <w:p>
      <w:pPr>
        <w:pStyle w:val="Heading3"/>
      </w:pPr>
      <w:r>
        <w:t xml:space="preserve">İlkokulda alana özgü öğretim ve şema yaklaşımı</w:t>
      </w:r>
    </w:p>
    <w:p>
      <w:pPr/>
      <w:r>
        <w:t xml:space="preserve">Vessonen ve arkadaşlarının (2025) sistematik derleme ve meta-analizi, altı kıtadan 115 rapor ve 20.456 ilkokul öğrencisini kapsamaktadır. 1.–6. sınıflardaki matematiksel sözel problem müdahalelerinin ortalama etkisi yaklaşık g = 0.95'tir. Araştırmacıların geliştirdiği ölçümleri kullanan ve metodolojik kalitesi daha zayıf çalışmaların daha yüksek etki üretme eğilimi, bu büyüklüğün ihtiyatla yorumlanmasını gerektirir. Bulgular belirli matematiksel problem çözme stratejilerinin sistematik öğretimini desteklemekte; genel problem çözme yetkinliğinin aynı ölçüde geliştiğini göstermemektedir.</w:t>
      </w:r>
    </w:p>
    <w:p>
      <w:pPr/>
      <w:r>
        <w:t xml:space="preserve">Şema öğretimi (schema instruction), problemlerin yüzey özellikleri yerine altında yatan ilişkilerin tanınmasına dayanır. Peltier ve Vannest'in (2017) meta-analizi 21 çalışma ve 3.408 ilkokul öğrencisini incelemiştir. Öğretimin hemen sonrasındaki problem çözme performansında yaklaşık g = 1.57, transfer problem çözme performansında g = 1.09 raporlanmıştır. Buradaki transfer ağırlıkla öğrenilen matematiksel şemaların farklı matematiksel sözel problem biçimlerine uygulanmasıdır; sosyal, çevresel veya diğer gerçek yaşam problemlerine aktarımın kanıtı değildir.</w:t>
      </w:r>
    </w:p>
    <w:p>
      <w:pPr>
        <w:pStyle w:val="Heading3"/>
      </w:pPr>
      <w:r>
        <w:t xml:space="preserve">Dijital oyun tabanlı öğrenme</w:t>
      </w:r>
    </w:p>
    <w:p>
      <w:pPr/>
      <w:r>
        <w:t xml:space="preserve">Cai ve arkadaşlarının (2025) üç düzeyli meta-analizi 21 birincil çalışma ve 60 etki büyüklüğünü kapsamaktadır. Dijital oyun tabanlı öğrenmenin problem çözme yeteneği üzerindeki genel etkisi g = 0.654'tür. Yalnızca oyun kullanılan uygulamalarda etki yaklaşık g = 0.399; oyun uygun pedagojik öğretim stratejileriyle birleştirildiğinde g = 1.246 olarak raporlanmıştır. Kendi problem çözme algısını ölçen çalışmalarda etkiler, gerçek beceri performansını ölçen çalışmalardan daha yüksek bulunmuştur. Bu ölçüm farkı, genel etkiyi yorumlarken korunmalıdır.</w:t>
      </w:r>
    </w:p>
    <w:p>
      <w:pPr/>
      <w:r>
        <w:t xml:space="preserve">Oyun kullanımı tek başına öğretim yöntemiyle eşdeğer değildir. Doğru parçayı seçme görevi yalnızca sınıflandırma veya hatırlama gerektirebilirken problem çözme görevi keşif, temsil, hipotez oluşturma, planlama, uygulama, izleme ve uyarlamayı içermelidir.</w:t>
      </w:r>
    </w:p>
    <w:p>
      <w:pPr>
        <w:pStyle w:val="Heading3"/>
      </w:pPr>
      <w:r>
        <w:t xml:space="preserve">Ölçüm araçları ve süreç verileri</w:t>
      </w:r>
    </w:p>
    <w:p>
      <w:pPr/>
      <w:r>
        <w:t xml:space="preserve">Problem çözme ölçümünde uygulamalı görevler, sözlü problem senaryoları, matematiksel görevler, teknik inşa görevleri, öğretmen/çocuk anketleri, gözlem rubrikleri ve dijital etkileşimli görevler kullanılmaktadır. Van Elsen ve arkadaşları (2026), 3–6 yaşta ill-structured STEM problem çözme ölçümünü Web of Science, Scopus ve ERIC üzerinden inceleyerek 24 çalışma ve 18 farklı ölçüm yöntemi belirlemiştir. Yalnızca bir aracın psikometrik özellikleri yeterli düzeyde incelenmiştir. Değerlendirmelerin çoğu uygulamalı görev gözlemi veya sözlü çözüm üretimine dayanmakta; tek bir STEM alanına, sürecin bir aşamasına ya da yalnızca sonuca odaklanmaktadır. Sürecin tamamını kapsayan, farklı alanlarda kullanılabilen, güvenilir, geçerli ve tekrar uygulanabilir ölçümlere ihtiyaç vardır.</w:t>
      </w:r>
    </w:p>
    <w:p>
      <w:pPr/>
      <w:r>
        <w:t xml:space="preserve">Schäfer ve arkadaşları (2024), 6–8 yaşındaki 215 çocuğa teknik problem çözme görevlerinin fiziksel ve tablet tabanlı biçimlerini uygulamıştır. Dijital ve fiziksel görev performansları arasında anlamlı ilişkiler bulunmuş; benzer bilişsel kaynakların kullanılması tablet tabanlı değerlendirmenin geçerliliğini desteklemiştir. Bununla birlikte çalışma teknik problem çözme ve dişli mekanizması kurma bağlamındadır; bütün problem çözme türlerine genellenemez.</w:t>
      </w:r>
    </w:p>
    <w:p>
      <w:pPr/>
      <w:r>
        <w:t xml:space="preserve">PISA 2012'nin bazı bilgisayar tabanlı etkileşimli görevlerinde yalnızca son yanıt değil, eylem sırası da kaydedilmiştir. Bu süreç verileri, bilinmeyen sistemi keşfetme ile yanıtı tahmin etme gibi yaklaşımları ayırt etmeye olanak vermiştir. Bu örnek, küçük çocuklardaki dijital ölçüm çalışmalarından ayrı bir değerlendirme bağlamıdır.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Davranış verisi</w:t>
            </w:r>
          </w:p>
        </w:tc>
        <w:tc>
          <w:tcPr>
            <w:tcW w:w="6939" w:type="dxa"/>
            <w:vAlign w:val="top"/>
            <w:shd w:fill="E9EEF3" w:val="clear"/>
          </w:tcPr>
          <w:p>
            <w:pPr>
              <w:spacing w:before="0" w:after="35" w:line="240" w:lineRule="auto"/>
            </w:pPr>
            <w:r>
              <w:rPr>
                <w:b/>
                <w:sz w:val="19"/>
              </w:rPr>
              <w:t xml:space="preserve">Olası süreç göstergesi</w:t>
            </w:r>
          </w:p>
        </w:tc>
      </w:tr>
      <w:tr>
        <w:trPr>
          <w:cantSplit/>
        </w:trPr>
        <w:tc>
          <w:tcPr>
            <w:tcW w:w="2699" w:type="dxa"/>
            <w:vAlign w:val="top"/>
          </w:tcPr>
          <w:p>
            <w:pPr>
              <w:spacing w:before="0" w:after="35" w:line="240" w:lineRule="auto"/>
            </w:pPr>
            <w:r>
              <w:rPr>
                <w:sz w:val="19"/>
              </w:rPr>
              <w:t xml:space="preserve">İlk hamleden önce araştırmaya ayrılan süre</w:t>
            </w:r>
          </w:p>
        </w:tc>
        <w:tc>
          <w:tcPr>
            <w:tcW w:w="6939" w:type="dxa"/>
            <w:vAlign w:val="top"/>
          </w:tcPr>
          <w:p>
            <w:pPr>
              <w:spacing w:before="0" w:after="35" w:line="240" w:lineRule="auto"/>
            </w:pPr>
            <w:r>
              <w:rPr>
                <w:sz w:val="19"/>
              </w:rPr>
              <w:t xml:space="preserve">Exploration</w:t>
            </w:r>
          </w:p>
        </w:tc>
      </w:tr>
      <w:tr>
        <w:trPr>
          <w:cantSplit/>
        </w:trPr>
        <w:tc>
          <w:tcPr>
            <w:tcW w:w="2699" w:type="dxa"/>
            <w:vAlign w:val="top"/>
          </w:tcPr>
          <w:p>
            <w:pPr>
              <w:spacing w:before="0" w:after="35" w:line="240" w:lineRule="auto"/>
            </w:pPr>
            <w:r>
              <w:rPr>
                <w:sz w:val="19"/>
              </w:rPr>
              <w:t xml:space="preserve">Kullanılan bilgi kaynağı sayısı</w:t>
            </w:r>
          </w:p>
        </w:tc>
        <w:tc>
          <w:tcPr>
            <w:tcW w:w="6939" w:type="dxa"/>
            <w:vAlign w:val="top"/>
          </w:tcPr>
          <w:p>
            <w:pPr>
              <w:spacing w:before="0" w:after="35" w:line="240" w:lineRule="auto"/>
            </w:pPr>
            <w:r>
              <w:rPr>
                <w:sz w:val="19"/>
              </w:rPr>
              <w:t xml:space="preserve">Information gathering</w:t>
            </w:r>
          </w:p>
        </w:tc>
      </w:tr>
      <w:tr>
        <w:trPr>
          <w:cantSplit/>
        </w:trPr>
        <w:tc>
          <w:tcPr>
            <w:tcW w:w="2699" w:type="dxa"/>
            <w:vAlign w:val="top"/>
          </w:tcPr>
          <w:p>
            <w:pPr>
              <w:spacing w:before="0" w:after="35" w:line="240" w:lineRule="auto"/>
            </w:pPr>
            <w:r>
              <w:rPr>
                <w:sz w:val="19"/>
              </w:rPr>
              <w:t xml:space="preserve">Denenen farklı çözüm sayısı</w:t>
            </w:r>
          </w:p>
        </w:tc>
        <w:tc>
          <w:tcPr>
            <w:tcW w:w="6939" w:type="dxa"/>
            <w:vAlign w:val="top"/>
          </w:tcPr>
          <w:p>
            <w:pPr>
              <w:spacing w:before="0" w:after="35" w:line="240" w:lineRule="auto"/>
            </w:pPr>
            <w:r>
              <w:rPr>
                <w:sz w:val="19"/>
              </w:rPr>
              <w:t xml:space="preserve">Strategy generation</w:t>
            </w:r>
          </w:p>
        </w:tc>
      </w:tr>
      <w:tr>
        <w:trPr>
          <w:cantSplit/>
        </w:trPr>
        <w:tc>
          <w:tcPr>
            <w:tcW w:w="2699" w:type="dxa"/>
            <w:vAlign w:val="top"/>
          </w:tcPr>
          <w:p>
            <w:pPr>
              <w:spacing w:before="0" w:after="35" w:line="240" w:lineRule="auto"/>
            </w:pPr>
            <w:r>
              <w:rPr>
                <w:sz w:val="19"/>
              </w:rPr>
              <w:t xml:space="preserve">Alt hedef oluşturma</w:t>
            </w:r>
          </w:p>
        </w:tc>
        <w:tc>
          <w:tcPr>
            <w:tcW w:w="6939" w:type="dxa"/>
            <w:vAlign w:val="top"/>
          </w:tcPr>
          <w:p>
            <w:pPr>
              <w:spacing w:before="0" w:after="35" w:line="240" w:lineRule="auto"/>
            </w:pPr>
            <w:r>
              <w:rPr>
                <w:sz w:val="19"/>
              </w:rPr>
              <w:t xml:space="preserve">Planning</w:t>
            </w:r>
          </w:p>
        </w:tc>
      </w:tr>
      <w:tr>
        <w:trPr>
          <w:cantSplit/>
        </w:trPr>
        <w:tc>
          <w:tcPr>
            <w:tcW w:w="2699" w:type="dxa"/>
            <w:vAlign w:val="top"/>
          </w:tcPr>
          <w:p>
            <w:pPr>
              <w:spacing w:before="0" w:after="35" w:line="240" w:lineRule="auto"/>
            </w:pPr>
            <w:r>
              <w:rPr>
                <w:sz w:val="19"/>
              </w:rPr>
              <w:t xml:space="preserve">Aynı başarısız stratejiyi tekrarlama</w:t>
            </w:r>
          </w:p>
        </w:tc>
        <w:tc>
          <w:tcPr>
            <w:tcW w:w="6939" w:type="dxa"/>
            <w:vAlign w:val="top"/>
          </w:tcPr>
          <w:p>
            <w:pPr>
              <w:spacing w:before="0" w:after="35" w:line="240" w:lineRule="auto"/>
            </w:pPr>
            <w:r>
              <w:rPr>
                <w:sz w:val="19"/>
              </w:rPr>
              <w:t xml:space="preserve">Monitoring</w:t>
            </w:r>
          </w:p>
        </w:tc>
      </w:tr>
      <w:tr>
        <w:trPr>
          <w:cantSplit/>
        </w:trPr>
        <w:tc>
          <w:tcPr>
            <w:tcW w:w="2699" w:type="dxa"/>
            <w:vAlign w:val="top"/>
          </w:tcPr>
          <w:p>
            <w:pPr>
              <w:spacing w:before="0" w:after="35" w:line="240" w:lineRule="auto"/>
            </w:pPr>
            <w:r>
              <w:rPr>
                <w:sz w:val="19"/>
              </w:rPr>
              <w:t xml:space="preserve">Geri bildirimden sonra davranışı değiştirme</w:t>
            </w:r>
          </w:p>
        </w:tc>
        <w:tc>
          <w:tcPr>
            <w:tcW w:w="6939" w:type="dxa"/>
            <w:vAlign w:val="top"/>
          </w:tcPr>
          <w:p>
            <w:pPr>
              <w:spacing w:before="0" w:after="35" w:line="240" w:lineRule="auto"/>
            </w:pPr>
            <w:r>
              <w:rPr>
                <w:sz w:val="19"/>
              </w:rPr>
              <w:t xml:space="preserve">Adaptation</w:t>
            </w:r>
          </w:p>
        </w:tc>
      </w:tr>
      <w:tr>
        <w:trPr>
          <w:cantSplit/>
        </w:trPr>
        <w:tc>
          <w:tcPr>
            <w:tcW w:w="2699" w:type="dxa"/>
            <w:vAlign w:val="top"/>
          </w:tcPr>
          <w:p>
            <w:pPr>
              <w:spacing w:before="0" w:after="35" w:line="240" w:lineRule="auto"/>
            </w:pPr>
            <w:r>
              <w:rPr>
                <w:sz w:val="19"/>
              </w:rPr>
              <w:t xml:space="preserve">Gereksiz işlemleri azaltma</w:t>
            </w:r>
          </w:p>
        </w:tc>
        <w:tc>
          <w:tcPr>
            <w:tcW w:w="6939" w:type="dxa"/>
            <w:vAlign w:val="top"/>
          </w:tcPr>
          <w:p>
            <w:pPr>
              <w:spacing w:before="0" w:after="35" w:line="240" w:lineRule="auto"/>
            </w:pPr>
            <w:r>
              <w:rPr>
                <w:sz w:val="19"/>
              </w:rPr>
              <w:t xml:space="preserve">Strategy efficiency</w:t>
            </w:r>
          </w:p>
        </w:tc>
      </w:tr>
      <w:tr>
        <w:trPr>
          <w:cantSplit/>
        </w:trPr>
        <w:tc>
          <w:tcPr>
            <w:tcW w:w="2699" w:type="dxa"/>
            <w:vAlign w:val="top"/>
          </w:tcPr>
          <w:p>
            <w:pPr>
              <w:spacing w:before="0" w:after="35" w:line="240" w:lineRule="auto"/>
            </w:pPr>
            <w:r>
              <w:rPr>
                <w:sz w:val="19"/>
              </w:rPr>
              <w:t xml:space="preserve">Yeni kısıt karşısında planı değiştirme</w:t>
            </w:r>
          </w:p>
        </w:tc>
        <w:tc>
          <w:tcPr>
            <w:tcW w:w="6939" w:type="dxa"/>
            <w:vAlign w:val="top"/>
          </w:tcPr>
          <w:p>
            <w:pPr>
              <w:spacing w:before="0" w:after="35" w:line="240" w:lineRule="auto"/>
            </w:pPr>
            <w:r>
              <w:rPr>
                <w:sz w:val="19"/>
              </w:rPr>
              <w:t xml:space="preserve">Flexible problem solving</w:t>
            </w:r>
          </w:p>
        </w:tc>
      </w:tr>
    </w:tbl>
    <w:p>
      <w:pPr>
        <w:spacing w:after="50"/>
      </w:pPr>
    </w:p>
    <w:p>
      <w:pPr/>
      <w:r>
        <w:t xml:space="preserve">Türkiye'de 2024 yılında geliştirilen İlkokullar İçin Problem Çözme Ölçeği, 3. ve 4. sınıftaki 865 öğrenciyle doğrulanmıştır. Üç faktörü problem çözmede öz değerlendirme, problem çözme bilgisi ve problem çözmede üstbiliştir. Ölçeğin öz bildirim niteliği, görev performansından ayrı yorumlanmasını gerektirir; Cai ve arkadaşlarının (2025) ölçüm türüne göre farklılaşan etkileri de bu ayrımın önemini göstermektedir. Öz bildirim, performans görevi ve süreç verilerinin birlikte karşılaştırılması, ölçümlerin hangi bileşenleri yakaladığını incelemeye olanak sağlayabilir. Süreç verilerinden genel problem çözme profili çıkarılması ise henüz olgunlaşmış bir ölçüm alanı değildir.</w:t>
      </w:r>
    </w:p>
    <w:p>
      <w:pPr>
        <w:pStyle w:val="Heading3"/>
      </w:pPr>
      <w:r>
        <w:t xml:space="preserve">Gelişim, transfer ve eğitim çerçeveleri</w:t>
      </w:r>
    </w:p>
    <w:p>
      <w:pPr/>
      <w:r>
        <w:t xml:space="preserve">Molnár, Greiff ve Csapó'nun (2013) 9–17 yaş grubundaki çalışmasında alana özgü problem çözme, karmaşık/genel problem çözme ve tümevarımsal akıl yürütme ilişkili fakat ayrı yapılar olarak bulunmuştur. Yaklaşık r = .35–.44 aralığındaki korelasyonlar bu örtüşmenin sınırlılığını göstermektedir. Gelişim yıllar boyunca sürmekte; en güçlü gelişim dönemlerinden biri 7. sınıf civarında görülmektedir. Bu bulgular erken çocukluk sonuçlarıyla aynı yaş grubu kanıtı olarak değerlendirilmemelidir.</w:t>
      </w:r>
    </w:p>
    <w:p>
      <w:pPr/>
      <w:r>
        <w:t xml:space="preserve">Matematiksel problem çözmedeki güçlü müdahale kanıtına karşılık, stratejilerin farklı yaşam alanlarına aktarımı belirsizliğini korumaktadır. Planlama, deneme, gözlemleme ve değiştirme süreçlerinin matematik, fizik, şehir tasarımı, kaynak yönetimi ve sosyal karar bağlamlarındaki kullanımı ayrı değerlendirilmelidir. Açık uçlu problemlerde keşif, bağımsızlığı bütünüyle ortadan kaldırmayan destek, alternatif çözüm ve gerekçe üretimi, hata sonrası değerlendirme ve geri bildirim önemlidir. Sonucun hemen açıklanmaması stratejiyi değerlendirmeye alan açabilir; ancak üretken başarısızlıkta hangi yaşta ne kadar destek gerektiği ayrıca araştırılmalıdır. Yetkinlikler arasındaki ilişkiler A3'te sentezlenmektedir.</w:t>
      </w:r>
    </w:p>
    <w:p>
      <w:pPr/>
      <w:r>
        <w:t xml:space="preserve">OECD işbirlikçi problem çözme çerçevesi, iki veya daha fazla kişinin bilgi, anlayış ve çabasını paylaşarak problem çözmesini ayrı bir alan olarak tanımlar; grup kararı, grup koordinasyonu ve grup üretimi görevlerini içerir. İşbirliği bağlantısı A2.8'de ayrıca ele alınmaktadır.</w:t>
      </w:r>
    </w:p>
    <w:p>
      <w:pPr/>
      <w:r>
        <w:t xml:space="preserve">Türkiye Yüzyılı Maarif Modeli, problem çözmeyi üç üst düzey düşünme becerisinden biri olarak tanımlar. Süreç; problemi yapılandırma ve özetleme, mevcut bilgi/veriden tahmin üretme, çözüm önermeleri üzerinden akıl yürütme ve çözümü değerlendirme/yansıtma bileşenlerinden oluşur. Matematiksel Problem Çözme Becerisi ayrıca çözümleme, yorumlama, çözüm geliştirme ve yansıtmayı kapsar. MEB'in farklılaştırılmış öğretim yaklaşımı birden fazla çözüm yolu içeren problemlere yer verilmesini önermektedir.</w:t>
      </w:r>
    </w:p>
    <w:p>
      <w:pPr>
        <w:pStyle w:val="Heading3"/>
      </w:pPr>
      <w:r>
        <w:t xml:space="preserve">Ön Evidence Score</w:t>
      </w:r>
    </w:p>
    <w:p>
      <w:pPr/>
      <w:r>
        <w:t xml:space="preserve">Aşağıdaki puanlar araştırmacı değerlendirmesidir; standartlaştırılmış bilimsel ölçüm sonuçları değildir.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891"/>
        <w:gridCol w:w="1157"/>
        <w:gridCol w:w="5590"/>
      </w:tblGrid>
      <w:tr>
        <w:trPr>
          <w:cantSplit/>
          <w:tblHeader/>
        </w:trPr>
        <w:tc>
          <w:tcPr>
            <w:tcW w:w="2891" w:type="dxa"/>
            <w:vAlign w:val="top"/>
            <w:shd w:fill="E9EEF3" w:val="clear"/>
          </w:tcPr>
          <w:p>
            <w:pPr>
              <w:spacing w:before="0" w:after="35" w:line="240" w:lineRule="auto"/>
            </w:pPr>
            <w:r>
              <w:rPr>
                <w:b/>
                <w:sz w:val="19"/>
              </w:rPr>
              <w:t xml:space="preserve">Ölçüt</w:t>
            </w:r>
          </w:p>
        </w:tc>
        <w:tc>
          <w:tcPr>
            <w:tcW w:w="1157" w:type="dxa"/>
            <w:vAlign w:val="top"/>
            <w:shd w:fill="E9EEF3" w:val="clear"/>
          </w:tcPr>
          <w:p>
            <w:pPr>
              <w:spacing w:before="0" w:after="35" w:line="240" w:lineRule="auto"/>
            </w:pPr>
            <w:r>
              <w:rPr>
                <w:b/>
                <w:sz w:val="19"/>
              </w:rPr>
              <w:t xml:space="preserve">Puan</w:t>
            </w:r>
          </w:p>
        </w:tc>
        <w:tc>
          <w:tcPr>
            <w:tcW w:w="5590" w:type="dxa"/>
            <w:vAlign w:val="top"/>
            <w:shd w:fill="E9EEF3" w:val="clear"/>
          </w:tcPr>
          <w:p>
            <w:pPr>
              <w:spacing w:before="0" w:after="35" w:line="240" w:lineRule="auto"/>
            </w:pPr>
            <w:r>
              <w:rPr>
                <w:b/>
                <w:sz w:val="19"/>
              </w:rPr>
              <w:t xml:space="preserve">Değerlendirme</w:t>
            </w:r>
          </w:p>
        </w:tc>
      </w:tr>
      <w:tr>
        <w:trPr>
          <w:cantSplit/>
        </w:trPr>
        <w:tc>
          <w:tcPr>
            <w:tcW w:w="2891" w:type="dxa"/>
            <w:vAlign w:val="top"/>
          </w:tcPr>
          <w:p>
            <w:pPr>
              <w:spacing w:before="0" w:after="35" w:line="240" w:lineRule="auto"/>
            </w:pPr>
            <w:r>
              <w:rPr>
                <w:sz w:val="19"/>
              </w:rPr>
              <w:t xml:space="preserve">Future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Uluslararası ve ulusal çerçevelerde çekirdek beceri</w:t>
            </w:r>
          </w:p>
        </w:tc>
      </w:tr>
      <w:tr>
        <w:trPr>
          <w:cantSplit/>
        </w:trPr>
        <w:tc>
          <w:tcPr>
            <w:tcW w:w="2891" w:type="dxa"/>
            <w:vAlign w:val="top"/>
          </w:tcPr>
          <w:p>
            <w:pPr>
              <w:spacing w:before="0" w:after="35" w:line="240" w:lineRule="auto"/>
            </w:pPr>
            <w:r>
              <w:rPr>
                <w:sz w:val="19"/>
              </w:rPr>
              <w:t xml:space="preserve">Overall evidence strength</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Geniş araştırma literatürü</w:t>
            </w:r>
          </w:p>
        </w:tc>
      </w:tr>
      <w:tr>
        <w:trPr>
          <w:cantSplit/>
        </w:trPr>
        <w:tc>
          <w:tcPr>
            <w:tcW w:w="2891" w:type="dxa"/>
            <w:vAlign w:val="top"/>
          </w:tcPr>
          <w:p>
            <w:pPr>
              <w:spacing w:before="0" w:after="35" w:line="240" w:lineRule="auto"/>
            </w:pPr>
            <w:r>
              <w:rPr>
                <w:sz w:val="19"/>
              </w:rPr>
              <w:t xml:space="preserve">Teachability</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Erken çocukluk ve ilkokul müdahale kanıtı</w:t>
            </w:r>
          </w:p>
        </w:tc>
      </w:tr>
      <w:tr>
        <w:trPr>
          <w:cantSplit/>
        </w:trPr>
        <w:tc>
          <w:tcPr>
            <w:tcW w:w="2891" w:type="dxa"/>
            <w:vAlign w:val="top"/>
          </w:tcPr>
          <w:p>
            <w:pPr>
              <w:spacing w:before="0" w:after="35" w:line="240" w:lineRule="auto"/>
            </w:pPr>
            <w:r>
              <w:rPr>
                <w:sz w:val="19"/>
              </w:rPr>
              <w:t xml:space="preserve">Young-child evidence</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3–6 yaş için doğrudan meta-analiz</w:t>
            </w:r>
          </w:p>
        </w:tc>
      </w:tr>
      <w:tr>
        <w:trPr>
          <w:cantSplit/>
        </w:trPr>
        <w:tc>
          <w:tcPr>
            <w:tcW w:w="2891" w:type="dxa"/>
            <w:vAlign w:val="top"/>
          </w:tcPr>
          <w:p>
            <w:pPr>
              <w:spacing w:before="0" w:after="35" w:line="240" w:lineRule="auto"/>
            </w:pPr>
            <w:r>
              <w:rPr>
                <w:sz w:val="19"/>
              </w:rPr>
              <w:t xml:space="preserve">Domain-specific evidence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Özellikle matematikte güçlü kanıt</w:t>
            </w:r>
          </w:p>
        </w:tc>
      </w:tr>
      <w:tr>
        <w:trPr>
          <w:cantSplit/>
        </w:trPr>
        <w:tc>
          <w:tcPr>
            <w:tcW w:w="2891" w:type="dxa"/>
            <w:vAlign w:val="top"/>
          </w:tcPr>
          <w:p>
            <w:pPr>
              <w:spacing w:before="0" w:after="35" w:line="240" w:lineRule="auto"/>
            </w:pPr>
            <w:r>
              <w:rPr>
                <w:sz w:val="19"/>
              </w:rPr>
              <w:t xml:space="preserve">General/ill-structured evidence</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Daha sınırlı ve heterojen kanıt</w:t>
            </w:r>
          </w:p>
        </w:tc>
      </w:tr>
      <w:tr>
        <w:trPr>
          <w:cantSplit/>
        </w:trPr>
        <w:tc>
          <w:tcPr>
            <w:tcW w:w="2891" w:type="dxa"/>
            <w:vAlign w:val="top"/>
          </w:tcPr>
          <w:p>
            <w:pPr>
              <w:spacing w:before="0" w:after="35" w:line="240" w:lineRule="auto"/>
            </w:pPr>
            <w:r>
              <w:rPr>
                <w:sz w:val="19"/>
              </w:rPr>
              <w:t xml:space="preserve">Measurability</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Çeşitli yöntemler; standardizasyon ve geçerlik sorunları</w:t>
            </w:r>
          </w:p>
        </w:tc>
      </w:tr>
      <w:tr>
        <w:trPr>
          <w:cantSplit/>
        </w:trPr>
        <w:tc>
          <w:tcPr>
            <w:tcW w:w="2891" w:type="dxa"/>
            <w:vAlign w:val="top"/>
          </w:tcPr>
          <w:p>
            <w:pPr>
              <w:spacing w:before="0" w:after="35" w:line="240" w:lineRule="auto"/>
            </w:pPr>
            <w:r>
              <w:rPr>
                <w:sz w:val="19"/>
              </w:rPr>
              <w:t xml:space="preserve">Transfer evidence</w:t>
            </w:r>
          </w:p>
        </w:tc>
        <w:tc>
          <w:tcPr>
            <w:tcW w:w="1157" w:type="dxa"/>
            <w:vAlign w:val="top"/>
          </w:tcPr>
          <w:p>
            <w:pPr>
              <w:spacing w:before="0" w:after="35" w:line="240" w:lineRule="auto"/>
            </w:pPr>
            <w:r>
              <w:rPr>
                <w:sz w:val="19"/>
              </w:rPr>
              <w:t xml:space="preserve">3/5</w:t>
            </w:r>
          </w:p>
        </w:tc>
        <w:tc>
          <w:tcPr>
            <w:tcW w:w="5590" w:type="dxa"/>
            <w:vAlign w:val="top"/>
          </w:tcPr>
          <w:p>
            <w:pPr>
              <w:spacing w:before="0" w:after="35" w:line="240" w:lineRule="auto"/>
            </w:pPr>
            <w:r>
              <w:rPr>
                <w:sz w:val="19"/>
              </w:rPr>
              <w:t xml:space="preserve">Yakın transfer güçlü; uzak transfer belirsiz</w:t>
            </w:r>
          </w:p>
        </w:tc>
      </w:tr>
      <w:tr>
        <w:trPr>
          <w:cantSplit/>
        </w:trPr>
        <w:tc>
          <w:tcPr>
            <w:tcW w:w="2891" w:type="dxa"/>
            <w:vAlign w:val="top"/>
          </w:tcPr>
          <w:p>
            <w:pPr>
              <w:spacing w:before="0" w:after="35" w:line="240" w:lineRule="auto"/>
            </w:pPr>
            <w:r>
              <w:rPr>
                <w:sz w:val="19"/>
              </w:rPr>
              <w:t xml:space="preserve">Digital suitability</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Dijital değerlendirme ve DGBL için başlangıç kanıtı</w:t>
            </w:r>
          </w:p>
        </w:tc>
      </w:tr>
      <w:tr>
        <w:trPr>
          <w:cantSplit/>
        </w:trPr>
        <w:tc>
          <w:tcPr>
            <w:tcW w:w="2891" w:type="dxa"/>
            <w:vAlign w:val="top"/>
          </w:tcPr>
          <w:p>
            <w:pPr>
              <w:spacing w:before="0" w:after="35" w:line="240" w:lineRule="auto"/>
            </w:pPr>
            <w:r>
              <w:rPr>
                <w:sz w:val="19"/>
              </w:rPr>
              <w:t xml:space="preserve">Game suitability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Etkileşimli problem çözme görevlerine uygunluk</w:t>
            </w:r>
          </w:p>
        </w:tc>
      </w:tr>
      <w:tr>
        <w:trPr>
          <w:cantSplit/>
        </w:trPr>
        <w:tc>
          <w:tcPr>
            <w:tcW w:w="2891" w:type="dxa"/>
            <w:vAlign w:val="top"/>
          </w:tcPr>
          <w:p>
            <w:pPr>
              <w:spacing w:before="0" w:after="35" w:line="240" w:lineRule="auto"/>
            </w:pPr>
            <w:r>
              <w:rPr>
                <w:sz w:val="19"/>
              </w:rPr>
              <w:t xml:space="preserve">Research-opportunity potential</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Açık uçlu görevler ve süreç temelli ölçümde boşluklar</w:t>
            </w:r>
          </w:p>
        </w:tc>
      </w:tr>
    </w:tbl>
    <w:p>
      <w:pPr>
        <w:spacing w:after="50"/>
      </w:pPr>
    </w:p>
    <w:p>
      <w:pPr/>
      <w:r>
        <w:t xml:space="preserve">Problem çözme için müdahale kanıtı güçlü olmakla birlikte alana özgü başarı ile genel, yeni ve kısmen belirsiz durumlarda çözüm geliştirme kapasitesi ayrıştırılmalıdır. Açık uçlu görevlerde bilgi toplama, planlama, uygulama, izleme ve yeniden planlamanın geçerli biçimde değerlendirilmesi temel araştırma gereksinimidir.</w:t>
      </w:r>
    </w:p>
    <w:p>
      <w:pPr>
        <w:pStyle w:val="Heading2"/>
        <w:pageBreakBefore/>
      </w:pPr>
      <w:bookmarkStart w:id="5" w:name="A2_3"/>
      <w:r>
        <w:t xml:space="preserve">A2.3. Yaratıcılık ve Yaratıcı Düşünme</w:t>
      </w:r>
      <w:bookmarkEnd w:id="5"/>
    </w:p>
    <w:p>
      <w:pPr>
        <w:pStyle w:val="Heading3"/>
      </w:pPr>
      <w:r>
        <w:t xml:space="preserve">Kavramsal kapsam ve temel süreçler</w:t>
      </w:r>
    </w:p>
    <w:p>
      <w:pPr/>
      <w:r>
        <w:t xml:space="preserve">Runco ve Jaeger'in “standard definition of creativity” yaklaşımında yaratıcılık, özgünlük ile etkililiğin birlikte bulunmasını gerektirir: Bir fikir veya ürün yalnızca yeni değil, bağlamına uygun, anlamlı ya da işlevsel de olmalıdır. OECD, daha geniş yaratıcılık kavramından farklı olarak yaratıcı düşünmeyi, pratikle geliştirilebilen bilişsel süreçler üzerinden ele almaktadır. PISA 2022 tanımında bu yetkinlik; özgün ve etkili çözümler, bilgi gelişimi veya hayal gücü ürünleri ortaya çıkarabilecek fikirlerin üretilmesine, değerlendirilmesine ve geliştirilmesine üretken biçimde katılmayı kapsar. Yaratıcılık kişilik, motivasyon, ortam, alan bilgisi ve kültürü de içerirken, bu bölümün operasyonel odağı yaratıcı düşünmedir.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Süreç</w:t>
            </w:r>
          </w:p>
        </w:tc>
        <w:tc>
          <w:tcPr>
            <w:tcW w:w="6939" w:type="dxa"/>
            <w:vAlign w:val="top"/>
            <w:shd w:fill="E9EEF3" w:val="clear"/>
          </w:tcPr>
          <w:p>
            <w:pPr>
              <w:spacing w:before="0" w:after="35" w:line="240" w:lineRule="auto"/>
            </w:pPr>
            <w:r>
              <w:rPr>
                <w:b/>
                <w:sz w:val="19"/>
              </w:rPr>
              <w:t xml:space="preserve">Kapsam</w:t>
            </w:r>
          </w:p>
        </w:tc>
      </w:tr>
      <w:tr>
        <w:trPr>
          <w:cantSplit/>
        </w:trPr>
        <w:tc>
          <w:tcPr>
            <w:tcW w:w="2699" w:type="dxa"/>
            <w:vAlign w:val="top"/>
          </w:tcPr>
          <w:p>
            <w:pPr>
              <w:spacing w:before="0" w:after="35" w:line="240" w:lineRule="auto"/>
            </w:pPr>
            <w:r>
              <w:rPr>
                <w:sz w:val="19"/>
              </w:rPr>
              <w:t xml:space="preserve">Generate diverse ideas</w:t>
            </w:r>
          </w:p>
        </w:tc>
        <w:tc>
          <w:tcPr>
            <w:tcW w:w="6939" w:type="dxa"/>
            <w:vAlign w:val="top"/>
          </w:tcPr>
          <w:p>
            <w:pPr>
              <w:spacing w:before="0" w:after="35" w:line="240" w:lineRule="auto"/>
            </w:pPr>
            <w:r>
              <w:rPr>
                <w:sz w:val="19"/>
              </w:rPr>
              <w:t xml:space="preserve">Birbirinden anlamlı biçimde farklı alternatif fikirler üretme</w:t>
            </w:r>
          </w:p>
        </w:tc>
      </w:tr>
      <w:tr>
        <w:trPr>
          <w:cantSplit/>
        </w:trPr>
        <w:tc>
          <w:tcPr>
            <w:tcW w:w="2699" w:type="dxa"/>
            <w:vAlign w:val="top"/>
          </w:tcPr>
          <w:p>
            <w:pPr>
              <w:spacing w:before="0" w:after="35" w:line="240" w:lineRule="auto"/>
            </w:pPr>
            <w:r>
              <w:rPr>
                <w:sz w:val="19"/>
              </w:rPr>
              <w:t xml:space="preserve">Generate creative ideas</w:t>
            </w:r>
          </w:p>
        </w:tc>
        <w:tc>
          <w:tcPr>
            <w:tcW w:w="6939" w:type="dxa"/>
            <w:vAlign w:val="top"/>
          </w:tcPr>
          <w:p>
            <w:pPr>
              <w:spacing w:before="0" w:after="35" w:line="240" w:lineRule="auto"/>
            </w:pPr>
            <w:r>
              <w:rPr>
                <w:sz w:val="19"/>
              </w:rPr>
              <w:t xml:space="preserve">Özgün ve göreve uygun fikir geliştirme</w:t>
            </w:r>
          </w:p>
        </w:tc>
      </w:tr>
      <w:tr>
        <w:trPr>
          <w:cantSplit/>
        </w:trPr>
        <w:tc>
          <w:tcPr>
            <w:tcW w:w="2699" w:type="dxa"/>
            <w:vAlign w:val="top"/>
          </w:tcPr>
          <w:p>
            <w:pPr>
              <w:spacing w:before="0" w:after="35" w:line="240" w:lineRule="auto"/>
            </w:pPr>
            <w:r>
              <w:rPr>
                <w:sz w:val="19"/>
              </w:rPr>
              <w:t xml:space="preserve">Evaluate and improve ideas</w:t>
            </w:r>
          </w:p>
        </w:tc>
        <w:tc>
          <w:tcPr>
            <w:tcW w:w="6939" w:type="dxa"/>
            <w:vAlign w:val="top"/>
          </w:tcPr>
          <w:p>
            <w:pPr>
              <w:spacing w:before="0" w:after="35" w:line="240" w:lineRule="auto"/>
            </w:pPr>
            <w:r>
              <w:rPr>
                <w:sz w:val="19"/>
              </w:rPr>
              <w:t xml:space="preserve">Fikrin zayıflıklarını değerlendirme, özgünlüğünü ve etkililiğini artırma</w:t>
            </w:r>
          </w:p>
        </w:tc>
      </w:tr>
    </w:tbl>
    <w:p>
      <w:pPr>
        <w:spacing w:after="50"/>
      </w:pPr>
    </w:p>
    <w:p>
      <w:pPr/>
      <w:r>
        <w:t xml:space="preserve">Iraksak düşünme (divergent thinking), birden fazla çözüm üretme kapasitesidir; akıcılık uygun fikir sayısını, esneklik yaklaşım/kategori çeşitliliğini, özgünlük alışılmadıklığı, ayrıntılandırma ise fikrin geliştirilme düzeyini ifade eder. Bununla birlikte ıraksak düşünme yaratıcılıkla özdeş değildir: Çocukların bu testlerdeki performansı bazı yaratıcı sonuçları öngörse de bütün yaratıcı alanları öngörmez. Yakınsak/değerlendirici düşünme, fikirlerin uygunluğunu, değerini, uygulanabilirliğini ve özgünlüğünü karşılaştırarak seçim ve iyileştirme yapmayı sağlar. OECD'nin güncel PISA bulguları da fikir üretme ile değerlendirme ve seçmenin ayrı destekler gerektirdiğine işaret etmektedir.</w:t>
      </w:r>
    </w:p>
    <w:p>
      <w:pPr>
        <w:pStyle w:val="Heading3"/>
      </w:pPr>
      <w:r>
        <w:t xml:space="preserve">Öğretilebilirlik ve gelişimsel bulgular</w:t>
      </w:r>
    </w:p>
    <w:p>
      <w:pPr/>
      <w:r>
        <w:t xml:space="preserve">Sio ve Lortie-Forgues'un 2024'te Psychological Bulletin'de yayımlanan meta-analizi, 50 yıllık literatürdeki 169 yaratıcılık eğitimi çalışmasını ve 844 etki büyüklüğünü incelemiştir. Başlangıçta yaklaşık 0.53 standart sapmalık etki bulunmuş; ciddi yayın yanlılığı için yapılan düzeltmeler tahmini etkiyi 0.29–0.32 standart sapma aralığına düşürmüştür. Çalışmaların metodolojik kalite sorunları da dikkate alındığında bulgu, büyük ve kesin kazanımlardan ziyade küçük-orta düzeyde olumlu etkiyi desteklemektedir. Bu geniş literatürün sonucu, tek başına çocuklara özgü bir etki tahmini değildir.</w:t>
      </w:r>
    </w:p>
    <w:p>
      <w:pPr/>
      <w:r>
        <w:t xml:space="preserve">Ruiz-del-Pino ve arkadaşlarının ilkokul düzeyindeki sistematik derleme ve meta-analizi, metodolojik açıdan yeterli altı çalışmada yaratıcılık/ıraksak düşünme müdahaleleri için ES = 0.48 bildirmiştir. Müdahaleler; ıraksak düşünme, ifade etkinlikleri, fikir ayrıntılandırma, problem ve meydan okuma görevleri, açık uçlu keşif ve denemeyi içermektedir. 2026 tarihli K–12 sistematik derlemesi ise 2005–2025 dönemindeki 101 ampirik çalışmayı incelemiş; doğrudan yaratıcılık eğitiminin yanında fikir üretme teknikleri, oyun temelli etkinlikler, sorgulama, yaratıcı problem çözme, öğrenci merkezli öğrenme, STEM/STEAM ve yaratıcılığı destekleyen sınıf ortamlarıyla gelişim sağlanabildiğini bildirmiştir. Bu bulgular, desteğin ayrı bir dersle sınırlı olmadığını göstermektedir.</w:t>
      </w:r>
    </w:p>
    <w:p>
      <w:pPr/>
      <w:r>
        <w:t xml:space="preserve">Gelişimsel araştırmalar, yaratıcılığın okulla birlikte sürekli azaldığı görüşünü destekleyen tekdüze bir seyir ortaya koymamaktadır. 2025 tarihli boylamsal çalışmada izlenen 430 okul öncesi ve erken okul çağı çocuğunda genel artışın yanında üç farklı örüntü belirlenmiştir: düşük başlangıç–orta büyüme, orta başlangıç–hızlı büyüme ve yüksek başlangıç–yüksek/stabil seyir. Başlangıç düzeyi ve gelişim hızı bakımından belirgin bireysel farklılıklar vardır. 6–12 yaşındaki 1.491 çocukla yapılan araştırmada genel yaratıcılık ve özellikle değerlendirici yaratıcı beceriler yükselen eğriler gösterirken, ıraksak düşünme bileşenleri daha dalgalı seyretmiş ve bazı dönemlerde düşmüştür. Dolayısıyla yalnızca üretilen fikir sayısı gelişimi eksik temsil edebilir.</w:t>
      </w:r>
    </w:p>
    <w:p>
      <w:pPr/>
      <w:r>
        <w:t xml:space="preserve">2025 tarihli erken çocukluk sistematik derlemesi, 3–6 yaş grubundaki 74 ampirik çalışmada bağlama duyarlılığı vurgulamış; uzun dönem etkileri ve kültürel uyarlanabilirliği araştırma boşlukları olarak belirlemiştir. Sekiz yaşındaki çocukları boylamsal olarak izleyen ayrı bir 2025 çalışması, yaratıcı kapasitedeki bireysel farklılıkların yanı sıra aynı sınıftaki küçük yaş farklarının da performansla ilişkili olabileceğini göstermiştir. Bu bulgulara dayanan ihtiyatlı gelişimsel yorum; 3–5 yaşta oyun, görsel ifade, nesnelerin farklı kullanımları ve hikâye üretiminin; 6–8 yaşta çizim, alternatif kullanım ve basit tasarımın; 8–10 yaşta kısıtları değerlendirme ve fikir karşılaştırmanın; 10–12 yaşta ise üretici ve değerlendirici süreçleri birleştiren daha karmaşık görevlerin kullanılabileceğidir. Bunlar evrensel gelişim eşikleri değildir.</w:t>
      </w:r>
    </w:p>
    <w:p>
      <w:pPr>
        <w:pStyle w:val="Heading3"/>
      </w:pPr>
      <w:r>
        <w:t xml:space="preserve">Ölçme, alan özgüllüğü ve dijital değerlendirme</w:t>
      </w:r>
    </w:p>
    <w:p>
      <w:pPr/>
      <w:r>
        <w:t xml:space="preserve">Yaratıcı performansın alanlar arasında aynı düzeyde sürmesi beklenmemelidir. OECD'nin PISA 2022 yaratıcı düşünme yeniden puanlama çalışmasında, farklı alanlarda en az üç görevi tamamlayan öğrencilerin yalnızca yaklaşık %8'i, üç veya daha fazla görevde kendi ülke/dil grubuna göre yüksek performans göstermiştir. Bu bulgu, genel bilişsel bileşenlerin alan bilgisi ve becerileriyle birlikte değerlendirilmesini; anlatısal, görsel, bilimsel ve sosyal problem çözme performanslarının tek puanda aşırı basitleştirilmemesini gerektirir.</w:t>
      </w:r>
    </w:p>
    <w:p>
      <w:pPr/>
      <w:r>
        <w:t xml:space="preserve">Torrance Tests of Creative Thinking (TTCT) gibi araçlar akıcılık, özgünlük, esneklik ve ayrıntılandırma boyutlarını değerlendirmektedir. Bununla birlikte TTCT'nin yapı geçerliği ve alt puanların ayrı bilişsel yapıları temsil edip etmediği tartışmalıdır; bu testler yaratıcı potansiyelin tamamını ölçmez. PISA 2022 ise üç fikir oluşturma/değerlendirme sürecini, yazılı ifade, görsel ifade, sosyal problem çözme ve bilimsel problem çözme alanlarına dağıtılmış 32 açık uçlu, bilgisayar tabanlı görevle değerlendirmiştir.</w:t>
      </w:r>
    </w:p>
    <w:p>
      <w:pPr/>
      <w:r>
        <w:t xml:space="preserve">Öğretmen değerlendirmeleri de performans ölçümlerinin yerine geçmemektedir. 27 çalışma ve 6.423 öğrenciyi kapsayan meta-analizde öğretmenlerin yaratıcılık değerlendirmeleri ile öğrencilerin ıraksak düşünme test performansı arasındaki ilişki r = .23 bulunmuştur. Bu sınırlı ilişki, performans görevleri, yaratıcı ürünler, süreç verileri ve gerektiğinde öğretmen/ebeveyn gözlemlerinin birlikte ele alınmasını desteklemektedir; ölçümler aynı yapıyı bütünüyle yakalamayabilir.</w:t>
      </w:r>
    </w:p>
    <w:p>
      <w:pPr/>
      <w:r>
        <w:t xml:space="preserve">2023 tarihli Child–Computer Interaction sistematik derlemesi, çocukların yaratıcılığını destekleyen dijital araçların değerlendirildiği 81 hakemli çalışmayı incelemiştir. Yenilik, değer, akıcılık, esneklik, ifade gücü, iş birliği, etkileşim ve keyif alma gibi boyutlar kullanılmış; ancak yöntemler arasında önemli farklılıklar ve standart bir dijital yaratıcılık değerlendirme çerçevesinin yokluğu saptanmıştır. Booton ve arkadaşlarının, 4–12 yaş grubuna yönelik yaratıcılık iddiası taşıyan 152 Android uygulamasını sistematik değerlendirmesinde de kanıta dayalı yaratıcılık niteliği genel olarak düşük bulunmuştur. Özellikle yakınsak düşünme ve yaratıcı sürecin modellenmesi destekleri zayıftır; App Store puanı, indirme sayısı veya ücretli olma, kaliteyi güvenilir biçimde öngörmemiştir. Bu, uygulama özelliklerine ilişkin bir değerlendirmedir; çocuklarda müdahale etkisinin ölçümüyle eş tutulmamalıdır.</w:t>
      </w:r>
    </w:p>
    <w:p>
      <w:pPr>
        <w:pStyle w:val="Heading3"/>
      </w:pPr>
      <w:r>
        <w:t xml:space="preserve">Oyun, tasarım düşüncesi ve eleştirel düşünmeyle ilişkiler</w:t>
      </w:r>
    </w:p>
    <w:p>
      <w:pPr/>
      <w:r>
        <w:t xml:space="preserve">2025 tarihli dijital oyun meta-analizi, 37 çalışma ve 50 etki büyüklüğü üzerinden oyunların 21. yüzyıl becerilerine etkisini incelemiş; yaratıcılık için g = 0.37 bildirmiştir. Olumlu fakat görece küçük olan etki, oyun türü, sınıf düzeyi, ders alanı ve araştırma tasarımına göre değişmektedir. 2026 tarihli oyun ve çocuk yaratıcılığı meta-analizinde ise oyun çalışmalarının genel etkisi anlamlı bulunmamış; yetişkin rehberliğinde oyun, özellikle ilkokul çağındaki çocuklarda daha güçlü sonuçlarla ilişkili olmuştur. Oyun oynama, kendiliğinden yaratıcılık eğitimi anlamına gelmez; farklı alternatifler üretme, uygunluk değerlendirmesi ve iyileştirmeyi gerçekten gerektiren görevler önem taşır.</w:t>
      </w:r>
    </w:p>
    <w:p>
      <w:pPr/>
      <w:r>
        <w:t xml:space="preserve">Tasarım düşüncesi, yaratıcı düşünme ile problem çözmeyi ilişkilendiren bir pedagojik yaklaşımdır. 2025 tarihli meta-analiz, K–12 STEM bağlamındaki 18 hakemli araştırmadan 1.600'den fazla öğrenciyi kapsamış ve informal tasarım düşüncesi uygulamalarının yaratıcılık üzerindeki ortalama etkisini d = 0.876 olarak bildirmiştir. Ancak yüksek heterojenlik, bu değerin her program için beklenen sonuç olarak kullanılmasını engeller. İhtiyacı anlama, problemi tanımlama, fikir üretme, prototipleme, test ve iyileştirme süreçleri, yaratıcı düşünme ile değerlendirmeyi aynı görevde birleştirebilir.</w:t>
      </w:r>
    </w:p>
    <w:p>
      <w:pPr/>
      <w:r>
        <w:t xml:space="preserve">2026 meta-analizinde öğrencilerin yaratıcılığı ile eleştirel düşünmesi arasında r = .386 düzeyinde orta büyüklükte pozitif ilişki bulunmuştur. Bu ilişki iki becerinin özdeş olduğunu veya birinin diğerini nedensel olarak artırdığını göstermez; fikir üretme ile değerlendirici seçimin birbirini tamamlamasıyla uyumludur.</w:t>
      </w:r>
    </w:p>
    <w:p>
      <w:pPr>
        <w:pStyle w:val="Heading3"/>
      </w:pPr>
      <w:r>
        <w:t xml:space="preserve">Üretken yapay zekâ ve yaratıcı performans</w:t>
      </w:r>
    </w:p>
    <w:p>
      <w:pPr/>
      <w:r>
        <w:t xml:space="preserve">2024 tarihli Scientific Reports çalışmasında GPT-4, Alternative Uses Task ve benzeri ıraksak düşünme görevlerinde insan katılımcılardan daha yüksek özgünlük/ayrıntılandırma gösterebilmiştir. Beş deneyden oluşan Nature Human Behaviour çalışması da ChatGPT kullanımının katılımcıların ürettiği fikirlerin yaratıcılığını artırabildiğini bildirmiştir. Bu bulgular, belirli görevlerdeki üretim performansına ilişkindir; çocukların bağımsız yaratıcı düşünme becerisinin geliştiğini göstermez.</w:t>
      </w:r>
    </w:p>
    <w:p>
      <w:pPr/>
      <w:r>
        <w:t xml:space="preserve">2025 araştırmalarında, yapay zekânın bireysel yaratıcı çıktıyı iyileştirmesine karşın aynı modellerin yaygın kullanımının kolektif fikir çeşitliliğini azaltabileceğine ilişkin deneysel bulgular elde edilmiştir. Başka deneylerde ise yapay zekâ destekli kullanıcıların fikir kalitesi artarken bağımsız çalışanlar daha çok fikir ve daha yüksek esneklik göstermiştir. 2026 meta-analizi, GenAI destekli öğrenmede öğrenci yaratıcılığı için g = 0.420 bildirmiş; etkilerin ders alanı, uygulama biçimi, görev türü ve süreye göre değiştiğini göstermiştir.</w:t>
      </w:r>
    </w:p>
    <w:p>
      <w:pPr/>
      <w:r>
        <w:t xml:space="preserve">Bu literatürün önemli bölümü yetişkin ve yükseköğretim örneklemlerine dayandığından, sonuçlar çocuklara ve özellikle erken ilkokul öğrencilerine genellenemez. Araştırma açısından, yapay zekâ kullanılırken çocuğun fikir üretme, değerlendirme ve karar verme sorumluluğunun korunup korunmadığı sınanabilir; farklı iş birliği biçimlerinin üstünlüğü henüz çocuklar için doğrulanmış değildir.</w:t>
      </w:r>
    </w:p>
    <w:p>
      <w:pPr>
        <w:pStyle w:val="Heading3"/>
      </w:pPr>
      <w:r>
        <w:t xml:space="preserve">Müfredat bağlantısı ve araştırma boşlukları</w:t>
      </w:r>
    </w:p>
    <w:p>
      <w:pPr/>
      <w:r>
        <w:t xml:space="preserve">Türkiye Yüzyılı Maarif Modeli yaratıcılığı; farklı bakış açıları geliştirme, geçmiş deneyimlerden yararlanarak yeni durumlara uyum sağlama, özgün fikir/ürün oluşturma ve problem çözmeyle ilişkili bir eğilim olarak tanımlamaktadır. Yaratıcı öğrenci profili, yeni fikir üretme ve yenilikçi çözüm geliştirmeyi vurgular. MEB'in Tasarım Alan Becerileri kapsamında özgünlük, işlevsellik, uygunluk ve sürdürülebilirliğin birlikte ele alınması, özgünlük ile etkililiği birleştiren kavramsal yaklaşımla örtüşmektedir; bu uyum, tek başına müdahale etkililiği kanıtı değildir.</w:t>
      </w:r>
    </w:p>
    <w:p>
      <w:pPr/>
      <w:r>
        <w:t xml:space="preserve">Araştırma boşlukları; ölçme araçlarının farklı yapıları temsil etmesi, ıraksak düşünmenin baskınlığına karşılık değerlendirme ve iyileştirmenin daha az incelenmesi, dijital ölçümlerin doğrulanması ve alanlar arası aktarımın sınırları etrafında toplanmaktadır. Kısa dönem kazanımların kalıcılığı, gerçek yaşam yaratıcı davranışlarına aktarımı, kültürel uyarlanabilirlik, bireysel gelişim farklılıkları ve çocuk–yapay zekâ etkileşiminin uzun dönem sonuçları ayrıca araştırılmalıdır.</w:t>
      </w:r>
    </w:p>
    <w:p>
      <w:pPr/>
      <w:r>
        <w:t xml:space="preserve">Dijital görevlerde uygun alternatif sayısı, strateji kategorilerinin çeşitliliği, nadir çözüm, yinelemeli geliştirme, geri bildirim veya yeni kısıt sonrasında değişiklik yapma, kavramları birleştirme, ayrıntılandırma ve başkasının fikrini geliştirme olası süreç göstergeleridir. Ancak bunlar akıcılık, esneklik, özgünlük, iterasyon, değerlendirme ve iyileştirme, uyarlanabilir yaratıcılık, sentez, ayrıntılandırma ve iş birlikli yaratıcılığın doğrulanmış ölçümleri değildir. Özellikle nadir davranış, uygun veya değerli olmadığında yaratıcı sayılmaz. Bu göstergelerin PISA benzeri görevler ve doğrulanmış ıraksak düşünme ölçümleriyle ilişkisi araştırılabilir; bu öneri mevcut bir ölçme geçerliği bulgusu değildir.</w:t>
      </w:r>
    </w:p>
    <w:p>
      <w:pPr>
        <w:pStyle w:val="Heading3"/>
      </w:pPr>
      <w:r>
        <w:t xml:space="preserve">Ön kanıt değerlendirmesi ve sonuç</w:t>
      </w:r>
    </w:p>
    <w:p>
      <w:pPr/>
      <w:r>
        <w:t xml:space="preserve">Aşağıdaki Evidence Score, literatürün araştırmacı tarafından yapılan ön değerlendirmesidir; doğrulanmış bilimsel ölçek veya standartlaştırılmış etki ölçüsü değildir.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891"/>
        <w:gridCol w:w="1157"/>
        <w:gridCol w:w="5590"/>
      </w:tblGrid>
      <w:tr>
        <w:trPr>
          <w:cantSplit/>
          <w:tblHeader/>
        </w:trPr>
        <w:tc>
          <w:tcPr>
            <w:tcW w:w="2891" w:type="dxa"/>
            <w:vAlign w:val="top"/>
            <w:shd w:fill="E9EEF3" w:val="clear"/>
          </w:tcPr>
          <w:p>
            <w:pPr>
              <w:spacing w:before="0" w:after="35" w:line="240" w:lineRule="auto"/>
            </w:pPr>
            <w:r>
              <w:rPr>
                <w:b/>
                <w:sz w:val="19"/>
              </w:rPr>
              <w:t xml:space="preserve">Ölçüt</w:t>
            </w:r>
          </w:p>
        </w:tc>
        <w:tc>
          <w:tcPr>
            <w:tcW w:w="1157" w:type="dxa"/>
            <w:vAlign w:val="top"/>
            <w:shd w:fill="E9EEF3" w:val="clear"/>
          </w:tcPr>
          <w:p>
            <w:pPr>
              <w:spacing w:before="0" w:after="35" w:line="240" w:lineRule="auto"/>
            </w:pPr>
            <w:r>
              <w:rPr>
                <w:b/>
                <w:sz w:val="19"/>
              </w:rPr>
              <w:t xml:space="preserve">Puan</w:t>
            </w:r>
          </w:p>
        </w:tc>
        <w:tc>
          <w:tcPr>
            <w:tcW w:w="5590" w:type="dxa"/>
            <w:vAlign w:val="top"/>
            <w:shd w:fill="E9EEF3" w:val="clear"/>
          </w:tcPr>
          <w:p>
            <w:pPr>
              <w:spacing w:before="0" w:after="35" w:line="240" w:lineRule="auto"/>
            </w:pPr>
            <w:r>
              <w:rPr>
                <w:b/>
                <w:sz w:val="19"/>
              </w:rPr>
              <w:t xml:space="preserve">Kısa gerekçe</w:t>
            </w:r>
          </w:p>
        </w:tc>
      </w:tr>
      <w:tr>
        <w:trPr>
          <w:cantSplit/>
        </w:trPr>
        <w:tc>
          <w:tcPr>
            <w:tcW w:w="2891" w:type="dxa"/>
            <w:vAlign w:val="top"/>
          </w:tcPr>
          <w:p>
            <w:pPr>
              <w:spacing w:before="0" w:after="35" w:line="240" w:lineRule="auto"/>
            </w:pPr>
            <w:r>
              <w:rPr>
                <w:sz w:val="19"/>
              </w:rPr>
              <w:t xml:space="preserve">Future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Çok sayıda uluslararası çerçevede çekirdek yetkinlik</w:t>
            </w:r>
          </w:p>
        </w:tc>
      </w:tr>
      <w:tr>
        <w:trPr>
          <w:cantSplit/>
        </w:trPr>
        <w:tc>
          <w:tcPr>
            <w:tcW w:w="2891" w:type="dxa"/>
            <w:vAlign w:val="top"/>
          </w:tcPr>
          <w:p>
            <w:pPr>
              <w:spacing w:before="0" w:after="35" w:line="240" w:lineRule="auto"/>
            </w:pPr>
            <w:r>
              <w:rPr>
                <w:sz w:val="19"/>
              </w:rPr>
              <w:t xml:space="preserve">Overall evidence strength</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Geniş literatüre karşın önemli metodolojik sorunlar</w:t>
            </w:r>
          </w:p>
        </w:tc>
      </w:tr>
      <w:tr>
        <w:trPr>
          <w:cantSplit/>
        </w:trPr>
        <w:tc>
          <w:tcPr>
            <w:tcW w:w="2891" w:type="dxa"/>
            <w:vAlign w:val="top"/>
          </w:tcPr>
          <w:p>
            <w:pPr>
              <w:spacing w:before="0" w:after="35" w:line="240" w:lineRule="auto"/>
            </w:pPr>
            <w:r>
              <w:rPr>
                <w:sz w:val="19"/>
              </w:rPr>
              <w:t xml:space="preserve">Teachability</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Eğitim etkisi mevcut; yanlılık düzeltmeli etkiler küçük-orta</w:t>
            </w:r>
          </w:p>
        </w:tc>
      </w:tr>
      <w:tr>
        <w:trPr>
          <w:cantSplit/>
        </w:trPr>
        <w:tc>
          <w:tcPr>
            <w:tcW w:w="2891" w:type="dxa"/>
            <w:vAlign w:val="top"/>
          </w:tcPr>
          <w:p>
            <w:pPr>
              <w:spacing w:before="0" w:after="35" w:line="240" w:lineRule="auto"/>
            </w:pPr>
            <w:r>
              <w:rPr>
                <w:sz w:val="19"/>
              </w:rPr>
              <w:t xml:space="preserve">Young-child evidence</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Okul öncesi ve ilkokul araştırma havuzu mevcut</w:t>
            </w:r>
          </w:p>
        </w:tc>
      </w:tr>
      <w:tr>
        <w:trPr>
          <w:cantSplit/>
        </w:trPr>
        <w:tc>
          <w:tcPr>
            <w:tcW w:w="2891" w:type="dxa"/>
            <w:vAlign w:val="top"/>
          </w:tcPr>
          <w:p>
            <w:pPr>
              <w:spacing w:before="0" w:after="35" w:line="240" w:lineRule="auto"/>
            </w:pPr>
            <w:r>
              <w:rPr>
                <w:sz w:val="19"/>
              </w:rPr>
              <w:t xml:space="preserve">Developmental evidence</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Boylamsal çalışmalar giderek güçleniyor</w:t>
            </w:r>
          </w:p>
        </w:tc>
      </w:tr>
      <w:tr>
        <w:trPr>
          <w:cantSplit/>
        </w:trPr>
        <w:tc>
          <w:tcPr>
            <w:tcW w:w="2891" w:type="dxa"/>
            <w:vAlign w:val="top"/>
          </w:tcPr>
          <w:p>
            <w:pPr>
              <w:spacing w:before="0" w:after="35" w:line="240" w:lineRule="auto"/>
            </w:pPr>
            <w:r>
              <w:rPr>
                <w:sz w:val="19"/>
              </w:rPr>
              <w:t xml:space="preserve">Measurability</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Çok sayıda araç var; yapı parçalanması önemli</w:t>
            </w:r>
          </w:p>
        </w:tc>
      </w:tr>
      <w:tr>
        <w:trPr>
          <w:cantSplit/>
        </w:trPr>
        <w:tc>
          <w:tcPr>
            <w:tcW w:w="2891" w:type="dxa"/>
            <w:vAlign w:val="top"/>
          </w:tcPr>
          <w:p>
            <w:pPr>
              <w:spacing w:before="0" w:after="35" w:line="240" w:lineRule="auto"/>
            </w:pPr>
            <w:r>
              <w:rPr>
                <w:sz w:val="19"/>
              </w:rPr>
              <w:t xml:space="preserve">Domain transfer</w:t>
            </w:r>
          </w:p>
        </w:tc>
        <w:tc>
          <w:tcPr>
            <w:tcW w:w="1157" w:type="dxa"/>
            <w:vAlign w:val="top"/>
          </w:tcPr>
          <w:p>
            <w:pPr>
              <w:spacing w:before="0" w:after="35" w:line="240" w:lineRule="auto"/>
            </w:pPr>
            <w:r>
              <w:rPr>
                <w:sz w:val="19"/>
              </w:rPr>
              <w:t xml:space="preserve">3/5</w:t>
            </w:r>
          </w:p>
        </w:tc>
        <w:tc>
          <w:tcPr>
            <w:tcW w:w="5590" w:type="dxa"/>
            <w:vAlign w:val="top"/>
          </w:tcPr>
          <w:p>
            <w:pPr>
              <w:spacing w:before="0" w:after="35" w:line="240" w:lineRule="auto"/>
            </w:pPr>
            <w:r>
              <w:rPr>
                <w:sz w:val="19"/>
              </w:rPr>
              <w:t xml:space="preserve">Genel ve alana özgü bileşenler birlikte mevcut</w:t>
            </w:r>
          </w:p>
        </w:tc>
      </w:tr>
      <w:tr>
        <w:trPr>
          <w:cantSplit/>
        </w:trPr>
        <w:tc>
          <w:tcPr>
            <w:tcW w:w="2891" w:type="dxa"/>
            <w:vAlign w:val="top"/>
          </w:tcPr>
          <w:p>
            <w:pPr>
              <w:spacing w:before="0" w:after="35" w:line="240" w:lineRule="auto"/>
            </w:pPr>
            <w:r>
              <w:rPr>
                <w:sz w:val="19"/>
              </w:rPr>
              <w:t xml:space="preserve">Digital suitability</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Açık uçlu dijital üretimle uyumlu</w:t>
            </w:r>
          </w:p>
        </w:tc>
      </w:tr>
      <w:tr>
        <w:trPr>
          <w:cantSplit/>
        </w:trPr>
        <w:tc>
          <w:tcPr>
            <w:tcW w:w="2891" w:type="dxa"/>
            <w:vAlign w:val="top"/>
          </w:tcPr>
          <w:p>
            <w:pPr>
              <w:spacing w:before="0" w:after="35" w:line="240" w:lineRule="auto"/>
            </w:pPr>
            <w:r>
              <w:rPr>
                <w:sz w:val="19"/>
              </w:rPr>
              <w:t xml:space="preserve">Game suitability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Alternatif üretme, test, iterasyon ve tasarım oyun görevleriyle uyumlu</w:t>
            </w:r>
          </w:p>
        </w:tc>
      </w:tr>
      <w:tr>
        <w:trPr>
          <w:cantSplit/>
        </w:trPr>
        <w:tc>
          <w:tcPr>
            <w:tcW w:w="2891" w:type="dxa"/>
            <w:vAlign w:val="top"/>
          </w:tcPr>
          <w:p>
            <w:pPr>
              <w:spacing w:before="0" w:after="35" w:line="240" w:lineRule="auto"/>
            </w:pPr>
            <w:r>
              <w:rPr>
                <w:sz w:val="19"/>
              </w:rPr>
              <w:t xml:space="preserve">AI-era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İnsan–yapay zekâ ortak üretimiyle önemi biçim değiştiriyor</w:t>
            </w:r>
          </w:p>
        </w:tc>
      </w:tr>
      <w:tr>
        <w:trPr>
          <w:cantSplit/>
        </w:trPr>
        <w:tc>
          <w:tcPr>
            <w:tcW w:w="2891" w:type="dxa"/>
            <w:vAlign w:val="top"/>
          </w:tcPr>
          <w:p>
            <w:pPr>
              <w:spacing w:before="0" w:after="35" w:line="240" w:lineRule="auto"/>
            </w:pPr>
            <w:r>
              <w:rPr>
                <w:sz w:val="19"/>
              </w:rPr>
              <w:t xml:space="preserve">Research opportunity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Dijital davranışsal değerlendirme, yakınsak yaratıcılık ve yapay zekâ kesişiminde boşluklar</w:t>
            </w:r>
          </w:p>
        </w:tc>
      </w:tr>
    </w:tbl>
    <w:p>
      <w:pPr>
        <w:spacing w:after="50"/>
      </w:pPr>
    </w:p>
    <w:p>
      <w:pPr/>
      <w:r>
        <w:t xml:space="preserve">Kanıtlar, yaratıcı düşünmenin yalnızca sanat veya serbest fikir üretimi olarak değil, özgün ve uygun alternatifleri değerlendirme ve geliştirmeyi içeren öğretilebilir bir süreç olarak ele alınmasını desteklemektedir. Araştırmacı değerlendirmesinde alan güçlü bir önceliktir; buna karşılık etki büyüklükleri, ölçme geçerliği ve aktarım sınırları ihtiyat gerektirir. Diğer yetkinliklerle ortak süreçlerin ve ilişkilerin sentezi A3'te ele alınmaktadır.</w:t>
      </w:r>
    </w:p>
    <w:p>
      <w:pPr>
        <w:pStyle w:val="Heading2"/>
        <w:pageBreakBefore/>
      </w:pPr>
      <w:bookmarkStart w:id="6" w:name="A2_4"/>
      <w:r>
        <w:t xml:space="preserve">A2.4. Üstbiliş, Öğrenmeyi Öğrenme ve Öz Düzenlemeli Öğrenme</w:t>
      </w:r>
      <w:bookmarkEnd w:id="6"/>
    </w:p>
    <w:p>
      <w:pPr>
        <w:pStyle w:val="Heading3"/>
      </w:pPr>
      <w:r>
        <w:t xml:space="preserve">Kavramsal kapsam ve kuramsal modeller</w:t>
      </w:r>
    </w:p>
    <w:p>
      <w:pPr/>
      <w:r>
        <w:t xml:space="preserve">Üstbiliş (metacognition), kişinin kendi bilişsel süreçleri hakkında bilgi sahibi olması ve bu süreçleri izlemesi/düzenlemesidir. Üstbilişsel bilgi; öğrenenin kendi özelliklerini, görevin gereklerini, mevcut stratejileri ve bunların hangi koşullarda kullanılacağını bilmesini kapsar. Üstbilişsel düzenleme ise planlama, izleme, kontrol ve strateji değiştirme, değerlendirme ve yansıtmayı içerir. Eberhart ve arkadaşlarının meta-analizi de öğrenmenin planlanmasını, ilerlemenin izlenmesini, stratejilerin esnek biçimde değiştirilmesini ve öğrenme üzerine düşünmeyi vurgulamaktadır.</w:t>
      </w:r>
    </w:p>
    <w:p>
      <w:pPr/>
      <w:r>
        <w:t xml:space="preserve">Öz düzenlemeli öğrenme (self-regulated learning, SRL), üstbilişten daha geniştir. Panadero'nun altı temel SRL modelini karşılaştırdığı incelemede bilişsel, üstbilişsel, davranışsal, motivasyonel ve duygusal bileşenler birlikte ele alınmaktadır. Öğrenenin ne kadar bildiğini izlemesi üstbilişle; hedef belirleme, dikkati sürdürme, motivasyonu yönetme ve stratejik davranma ise daha geniş SRL yapısıyla ilişkilidir.</w:t>
      </w:r>
    </w:p>
    <w:p>
      <w:pPr/>
      <w:r>
        <w:t xml:space="preserve">Öğrenmeyi öğrenme, eğitimsel yetkinlik düzeyinde daha kapsayıcıdır. Avrupa Komisyonu LifeComp çerçevesinde bu alan; Growth Mindset, Critical Thinking ve Managing Learning bileşenlerinden oluşur. Managing Learning, öğrenmeyi planlama, organize etme, izleme ve gözden geçirme olarak tanımlanmaktadır. LifeComp'ın teknik arka planında öğrenmeyi öğrenme “second-order learning” olarak ele alınırken Managing Learning doğrudan üstbilişle ilişkilendirilir; SRL'nin duygu ve davranış düzenlemeyi de kapsadığı belirtilir. Öğrenmeyi öğrenme–SRL–üstbiliş ilişkisi kullanışlı bir çalışma çerçevesidir, ancak modeller arası farklılıklar nedeniyle katı ve evrensel bir taksonomi değildir.</w:t>
      </w:r>
    </w:p>
    <w:p>
      <w:pPr/>
      <w:r>
        <w:t xml:space="preserve">Zimmerman'ın döngüsel SRL modeli üç faz içerir: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Faz</w:t>
            </w:r>
          </w:p>
        </w:tc>
        <w:tc>
          <w:tcPr>
            <w:tcW w:w="6939" w:type="dxa"/>
            <w:vAlign w:val="top"/>
            <w:shd w:fill="E9EEF3" w:val="clear"/>
          </w:tcPr>
          <w:p>
            <w:pPr>
              <w:spacing w:before="0" w:after="35" w:line="240" w:lineRule="auto"/>
            </w:pPr>
            <w:r>
              <w:rPr>
                <w:b/>
                <w:sz w:val="19"/>
              </w:rPr>
              <w:t xml:space="preserve">Temel süreçler</w:t>
            </w:r>
          </w:p>
        </w:tc>
      </w:tr>
      <w:tr>
        <w:trPr>
          <w:cantSplit/>
        </w:trPr>
        <w:tc>
          <w:tcPr>
            <w:tcW w:w="2699" w:type="dxa"/>
            <w:vAlign w:val="top"/>
          </w:tcPr>
          <w:p>
            <w:pPr>
              <w:spacing w:before="0" w:after="35" w:line="240" w:lineRule="auto"/>
            </w:pPr>
            <w:r>
              <w:rPr>
                <w:sz w:val="19"/>
              </w:rPr>
              <w:t xml:space="preserve">Forethought</w:t>
            </w:r>
          </w:p>
        </w:tc>
        <w:tc>
          <w:tcPr>
            <w:tcW w:w="6939" w:type="dxa"/>
            <w:vAlign w:val="top"/>
          </w:tcPr>
          <w:p>
            <w:pPr>
              <w:spacing w:before="0" w:after="35" w:line="240" w:lineRule="auto"/>
            </w:pPr>
            <w:r>
              <w:rPr>
                <w:sz w:val="19"/>
              </w:rPr>
              <w:t xml:space="preserve">Görev analizi, hedef belirleme, stratejik planlama, öz yeterlik ve motivasyon</w:t>
            </w:r>
          </w:p>
        </w:tc>
      </w:tr>
      <w:tr>
        <w:trPr>
          <w:cantSplit/>
        </w:trPr>
        <w:tc>
          <w:tcPr>
            <w:tcW w:w="2699" w:type="dxa"/>
            <w:vAlign w:val="top"/>
          </w:tcPr>
          <w:p>
            <w:pPr>
              <w:spacing w:before="0" w:after="35" w:line="240" w:lineRule="auto"/>
            </w:pPr>
            <w:r>
              <w:rPr>
                <w:sz w:val="19"/>
              </w:rPr>
              <w:t xml:space="preserve">Performance</w:t>
            </w:r>
          </w:p>
        </w:tc>
        <w:tc>
          <w:tcPr>
            <w:tcW w:w="6939" w:type="dxa"/>
            <w:vAlign w:val="top"/>
          </w:tcPr>
          <w:p>
            <w:pPr>
              <w:spacing w:before="0" w:after="35" w:line="240" w:lineRule="auto"/>
            </w:pPr>
            <w:r>
              <w:rPr>
                <w:sz w:val="19"/>
              </w:rPr>
              <w:t xml:space="preserve">Strateji kullanımı, dikkat kontrolü, öz izleme, davranışın izlenmesi ve gerektiğinde değiştirilmesi</w:t>
            </w:r>
          </w:p>
        </w:tc>
      </w:tr>
      <w:tr>
        <w:trPr>
          <w:cantSplit/>
        </w:trPr>
        <w:tc>
          <w:tcPr>
            <w:tcW w:w="2699" w:type="dxa"/>
            <w:vAlign w:val="top"/>
          </w:tcPr>
          <w:p>
            <w:pPr>
              <w:spacing w:before="0" w:after="35" w:line="240" w:lineRule="auto"/>
            </w:pPr>
            <w:r>
              <w:rPr>
                <w:sz w:val="19"/>
              </w:rPr>
              <w:t xml:space="preserve">Self-Reflection</w:t>
            </w:r>
          </w:p>
        </w:tc>
        <w:tc>
          <w:tcPr>
            <w:tcW w:w="6939" w:type="dxa"/>
            <w:vAlign w:val="top"/>
          </w:tcPr>
          <w:p>
            <w:pPr>
              <w:spacing w:before="0" w:after="35" w:line="240" w:lineRule="auto"/>
            </w:pPr>
            <w:r>
              <w:rPr>
                <w:sz w:val="19"/>
              </w:rPr>
              <w:t xml:space="preserve">Performansı ve stratejiyi değerlendirme, başarı/başarısızlık nedenlerini düşünme, sonraki görev için çıkarım oluşturma</w:t>
            </w:r>
          </w:p>
        </w:tc>
      </w:tr>
    </w:tbl>
    <w:p>
      <w:pPr>
        <w:spacing w:after="50"/>
      </w:pPr>
    </w:p>
    <w:p>
      <w:pPr/>
      <w:r>
        <w:t xml:space="preserve">Model doğrusal bir kontrol listesi değildir; görev sonrasındaki değerlendirme, sonraki görevin hazırlık aşamasını etkiler.</w:t>
      </w:r>
    </w:p>
    <w:p>
      <w:pPr>
        <w:pStyle w:val="Heading3"/>
      </w:pPr>
      <w:r>
        <w:t xml:space="preserve">Erken gelişim: izleme, kontrol ve güven kalibrasyonu</w:t>
      </w:r>
    </w:p>
    <w:p>
      <w:pPr/>
      <w:r>
        <w:t xml:space="preserve">3–5 yaş çocuklarıyla yapılan davranışsal çalışmalar, bazı görevlerde belirsizliğin davranış yoluyla ifade edilebildiğini ve üstbilişsel izleme belirtilerinin okul öncesinde görülebildiğini göstermektedir. 4–6 yaşındaki 101 çocukla yapılan 2025 çalışmasında, dört yaşta dahi belirli üstbilişsel bilgi göstergeleri saptanmıştır. Yaşla birlikte güven yargılarının doğruluğu, etkili soru sorma ve yeni bilgiye göre güven düzeyini uygun biçimde değiştirme gelişmiş; altı yaş grubunda izleme doğruluğu ve bilgi arama stratejileri daha ileri bulunmuştur.</w:t>
      </w:r>
    </w:p>
    <w:p>
      <w:pPr/>
      <w:r>
        <w:t xml:space="preserve">İzleme ile kontrol aynı hızda gelişmemektedir. 5–7 yaşındaki 101 çocukla yapılan ayrı bir klasik çalışmada bütün yaş grupları doğru yanıtlarına yanlış yanıtlarından daha fazla güven bildirmiştir. Buna karşılık, daha az bildiğini düşündüğü konulara daha fazla çalışma zamanı ayırma ilişkisi altı ve yedi yaşta daha belirgin, beş yaşta daha zayıftır. Dolayısıyla bilginin yetersizliğini fark etmek, bu farkındalığı etkili öğrenme davranışına dönüştürmekle eşdeğer değildir.</w:t>
      </w:r>
    </w:p>
    <w:p>
      <w:pPr/>
      <w:r>
        <w:t xml:space="preserve">2025 tarihli boylamsal çalışma, 4–6 yaşındaki 148 çocukta yaklaşık beş yaşta güvenilir görev izleme, altı yaşta ise daha belirgin performans izleme davranışları bildirmiştir. Erken izleme kapasitesi sonraki kontrol davranışlarını öngörmüştür. Bu bulgu, farkındalık ile stratejik düzenleme arasında gelişimsel bağlantıya işaret eder; belirtilen yaşlar bütün çocuklar için değişmez eşikler olarak yorumlanmamalıdır.</w:t>
      </w:r>
    </w:p>
    <w:p>
      <w:pPr/>
      <w:r>
        <w:t xml:space="preserve">Türkiye'de 48–66 aylık 160 çocukla geliştirilen 2024 tarihli Metacognitive Thinking Test çalışmasında çocukların, özellikle hatalı hatırlamalarında, performanslarını olduğundan yüksek değerlendirebildikleri görülmüştür. Güven ile doğruluk arasındaki uyum bu nedenle önemlidir: Güven yargılarını gerçek performansla karşılaştırmak, kalibrasyonun yanı sıra aşırı veya düşük güveni incelemeye olanak sağlar.</w:t>
      </w:r>
    </w:p>
    <w:p>
      <w:pPr/>
      <w:r>
        <w:t xml:space="preserve">Gelişimsel bulgulara dayanan ihtiyatlı pedagojik yorum, 3–5 yaşta somut, kısa, görsel ve düşük sözel yüklü görevlerle belirsizlik/güven davranışlarının incelenmesi; 5–7 yaşta izleme bilgisinin kontrole dönüştürülmesinin desteklenmesidir. 7–9 yaşta planlama, çalışma düzenleme ve strateji uyarlama daha sistematik ele alınabilir; ancak aşırı güven, zayıf izleme ve uygun stratejiyi seçememe sürebilir. 9–12 yaşta hedef belirleme, zaman/kaynak yönetimi ve yansıtma içeren daha karmaşık süreçler anlam kazanır. Gelişim yaşla otomatik olarak tamamlanmaz; öğretim ve görev koşulları önemlidir.</w:t>
      </w:r>
    </w:p>
    <w:p>
      <w:pPr>
        <w:pStyle w:val="Heading3"/>
      </w:pPr>
      <w:r>
        <w:t xml:space="preserve">Müdahale etkileri, başarı ilişkisi ve kalıcılık</w:t>
      </w:r>
    </w:p>
    <w:p>
      <w:pPr/>
      <w:r>
        <w:t xml:space="preserve">Eberhart, Ingendahl ve Bryce'ın meta-analizi, okul öncesi ve ilkokul çocuklarına yönelik üstbiliş müdahalelerinde 67 çalışma ve 349 etki büyüklüğünü incelemiştir. Genel etki hemen son testte g = 0.48, takip ölçümünde g = 0.29 bulunmuştur. Bulgular üstbilişin pedagojik müdahalelerle geliştirilebildiğini ve bazı kazanımların müdahale sonrasına taşınabildiğini göstermektedir. Bununla birlikte takipte daha düşük etki, ilk kazanımların aynı büyüklükte sürdüğü veya uzun dönem aktarımın güvence altında olduğu biçiminde yorumlanamaz.</w:t>
      </w:r>
    </w:p>
    <w:p>
      <w:pPr/>
      <w:r>
        <w:t xml:space="preserve">Dignath, Büttner ve Langfeldt'in meta-analizi, 30 makale ve 48 müdahale karşılaştırması üzerinden ilkokul düzeyindeki SRL eğitimini incelemiştir. Sonuçlar akademik başarı, bilişsel ve üstbilişsel strateji kullanımı ile motivasyonda olumlu etkiler elde edilebildiğini göstermektedir. Küçük çocukların öğrenmelerini düzenleyemeyeceği varsayımı yerine, gelişmekte olan düzenleme kapasitesinin uygun pedagojik destekle güçlendirilebileceği yaklaşımı daha uygundur.</w:t>
      </w:r>
    </w:p>
    <w:p>
      <w:pPr/>
      <w:r>
        <w:t xml:space="preserve">Buna karşılık SRL ile akademik başarı arasındaki ilişki abartılmamalıdır. Dent ve Koenka'nın çocukluk–ergenlik meta-analizinde, başarıyla ortalama ilişki üstbilişsel SRL süreçleri için r = .20, bilişsel strateji kullanımı için r = .11 bulunmuştur. Bu ilişkiler anlamlı fakat sınırlıdır; müdahalelerin bütün akademik sonuçları otomatik olarak büyük ölçüde artıracağını göstermez.</w:t>
      </w:r>
    </w:p>
    <w:p>
      <w:pPr/>
      <w:r>
        <w:t xml:space="preserve">Bileşen düzeyindeki bulgular da tek bir stratejinin evrensel üstünlüğünü desteklememektedir. Önceki çalışmalar bazı koşullarda planlama–izleme veya planlama–değerlendirme birleşimlerinin etkili olabileceğini bildirirken, 2025 meta-analizi izleme içeren müdahalelerin her sonuç alanında daha büyük etki üretmediğini göstermiştir. Aynı yıl bildirilen yansıtma bulgusunda, dil sonuçlarına ilişkin etki yansıtma içeren müdahalelerde g = 0.82, içermeyenlerde g = 0.34'tür. Bu karşılaştırma belirli sonuç alanları ve çalışma gruplarına aittir; genel üstbiliş eğitiminin evrensel etkisi veya yansıtmanın bağımsız nedensel katkısı olarak kullanılamaz. Pedagojik çıkarım, yalnızca sonuç bildirmek yerine kullanılan strateji ve sonraki denemede yapılabilecek değişiklikler üzerine düşünmeyi desteklemektir; kısa bir yansıtma etkinliğinin tek başına yeterliliği bu bulgudan çıkarılamaz.</w:t>
      </w:r>
    </w:p>
    <w:p>
      <w:pPr>
        <w:pStyle w:val="Heading3"/>
      </w:pPr>
      <w:r>
        <w:t xml:space="preserve">Ölçme ve dijital süreç verileri</w:t>
      </w:r>
    </w:p>
    <w:p>
      <w:pPr/>
      <w:r>
        <w:t xml:space="preserve">Üstbiliş ve SRL; öz bildirim ölçekleri, görüşmeler, sesli düşünme protokolleri, güven yargıları, öğrenme yargısı görevleri, öğretmen değerlendirmeleri, performans görevleri ve gözlemle ölçülmektedir. Öz bildirilen strateji kullanımı, görev sırasında gerçekleşen davranışla örtüşmeyebilir. Bu nedenle bildirilen SRL ile uygulanan SRL ayrımı önemlidir. Küçük çocukların değerlendirilmesinde dil yükü, güven yanlılığı ve görev yapısı ayrıca dikkate alınmalıdır.</w:t>
      </w:r>
    </w:p>
    <w:p>
      <w:pPr/>
      <w:r>
        <w:t xml:space="preserve">Du, Hew ve Liu'nun 38 ampirik çalışmayı kapsayan sistematik derlemesi, çevrim içi iz verilerinin SRL ölçümünde giderek daha fazla kullanıldığını göstermiş; geçerlik, genellenebilirlik ve zamansal bölümlemeyi temel sorunlar olarak belirlemiştir. Örneğin bir ekranda uzun süre kalmak düşünme, anlamama veya dikkat dağılmasıyla ilişkili olabilir; tek başına belirli bir bilişsel süreci göstermez.</w:t>
      </w:r>
    </w:p>
    <w:p>
      <w:pPr/>
      <w:r>
        <w:t xml:space="preserve">Boulahmel, Djelil ve Smits'in 2025 sistematik derlemesi, 2015–2023 arasındaki 53 ampirik çalışmada dijital iz verilerinin öğrenen davranışı, SRL profilleri, performans ve pedagojik destekle ilişkilendirilebildiğini göstermiştir. Öğrenen profillerini kişiselleştirilmiş destek için kullanmak bir araştırma yönü olarak öne çıkarılmıştır; bu, her profilin geçerli olduğu veya her uyarlamanın etkili olduğu anlamına gelmez.</w:t>
      </w:r>
    </w:p>
    <w:p>
      <w:pPr/>
      <w:r>
        <w:t xml:space="preserve">Dijital görevlerde seçenekleri önceden inceleme, hedef ve zorluk seçme, yanıt sonrası güven bildirme, hata sonrası strateji değiştirme, yardım isteme zamanı, göreve devam etme, aynı stratejiyi yineleme, geçmiş performansı inceleme, görev sonrası açıklama ve sonraki görevde uyarlama olası süreç göstergeleridir. Gereksiz yardımı reddetme de özerk düzenleme açısından incelenebilir. Ancak bunların planlama, öz bilgi, izleme, kontrol, yardım arama, sebat veya yansıtmayı temsil ettiği ayrıca doğrulanmalıdır. Özellikle strateji değiştirmemek; hatayı fark etmeme, alternatif bilmeme, motivasyon kaybı veya duygusal zorlanma gibi farklı nedenlere dayanabilir.</w:t>
      </w:r>
    </w:p>
    <w:p>
      <w:pPr>
        <w:pStyle w:val="Heading3"/>
      </w:pPr>
      <w:r>
        <w:t xml:space="preserve">Oyun temelli öğrenme, uyarlanabilir destek ve yapay zekâ</w:t>
      </w:r>
    </w:p>
    <w:p>
      <w:pPr/>
      <w:r>
        <w:t xml:space="preserve">Haziran 2026'da yayımlanan kapsam derlemesi, 2015–2025 dönemindeki 11 hakemli araştırmayı ilkokul ve alt ortaokul bağlamında incelemiştir. Oyun temelli öğrenme ortamlarının hedef belirleme, gerçek zamanlı geri bildirim, ilerlemenin görselleştirilmesi ve yansıtma yoluyla üstbilişsel süreçleri destekleyebildiği bildirilmiştir. En güçlü destek izleme alanında görülürken, planlama ve değerlendirme daha az sistematik ele alınmıştır. Derleme, üstbilişsel değerin ortamın oyun olmasından çok açık düzenleme destekleriyle ilişkili olduğunu vurgulamaktadır; puan, rozet veya ilerleme göstergesi tek başına üstbilişsel öğrenme kanıtı değildir.</w:t>
      </w:r>
    </w:p>
    <w:p>
      <w:pPr/>
      <w:r>
        <w:t xml:space="preserve">2026 tarihli sistematik derleme, 1990–2024 dönemindeki 51 K–12 çalışmasını incelemiştir. SRL, hazırlık, performans ve değerlendirme fazları ile (üst)biliş, (üst)motivasyon ve (üst)duygu alanlarında ele alınmıştır. Dijital sistemlerin ağırlıkla biliş ve üstbilişe odaklandığı, motivasyonun ve özellikle duygu düzenlemenin daha az araştırıldığı görülmüştür. Bu dağılım, öğrenme düzenlemesini yalnızca strateji kullanımından çıkarmanın sınırlarını göstermektedir.</w:t>
      </w:r>
    </w:p>
    <w:p>
      <w:pPr/>
      <w:r>
        <w:t xml:space="preserve">Aynı K–12 derlemesi, yapay zekâ ve uyarlanabilir sistemlerde düzenlemenin sisteme devredilmesi riskini tartışmaktadır. Sistem hedef, strateji, tekrar ve yardım kararlarını öğrencinin yerine aldığında performansın iyileşmesi, öğrencinin kendi öğrenmesini düzenlemeyi öğrendiği anlamına gelmeyebilir. Bu risk, çocuklarda kanıtlanmış evrensel bir zarar olarak değil, sistem desteği ile bağımsız düzenleme gelişiminin ayrı değerlendirilmesi gereken bir araştırma sorunu olarak ele alınmalıdır.</w:t>
      </w:r>
    </w:p>
    <w:p>
      <w:pPr/>
      <w:r>
        <w:t xml:space="preserve">Araştırma açısından sınanabilecek yaklaşım, desteğin öğrencinin kararlarını bütünüyle devralması yerine gerekçelendirme ve strateji seçimini desteklemesidir. Ancak bu yaklaşımın çocuklarda diğer yardım biçimlerinden üstün olduğu henüz doğrulanmış değildir; farklı SRL profillerine göre uyarlanmış desteğin K–12 düzeyindeki kanıtı da sınırlıdır.</w:t>
      </w:r>
    </w:p>
    <w:p>
      <w:pPr>
        <w:pStyle w:val="Heading3"/>
      </w:pPr>
      <w:r>
        <w:t xml:space="preserve">Müfredat bağlantısı, aktarım ve araştırma boşlukları</w:t>
      </w:r>
    </w:p>
    <w:p>
      <w:pPr/>
      <w:r>
        <w:t xml:space="preserve">Türkiye Yüzyılı Maarif Modeli'nin Sosyal-Duygusal Öğrenme çerçevesinde birey, “öğrenmeyi öğrenen, sorgulayan, yeni durumlara kolaylıkla uyum sağlayan” bir profil üzerinden ele alınmaktadır. Öğrencinin öğrenme sürecinde söz sahibi olması, etkin ve yaparak öğrenmesi, yaptıkları üzerine düşünmesi vurgulanır. Bu yaklaşım; yansıtma, öğrenen özerkliği, öz düzenleme ve etkin öğrenmeyle kavramsal olarak örtüşmektedir.</w:t>
      </w:r>
    </w:p>
    <w:p>
      <w:pPr/>
      <w:r>
        <w:t xml:space="preserve">Strateji bilgisi ile aktarım birbirinden ayrılmalıdır. Bir alanda öğrenilen düzenleme stratejisi, farklı bir ders, yeni görev veya gerçek yaşam probleminde kendiliğinden kullanılmayabilir. Bu nedenle hangi stratejinin ne zaman uygun olduğunu bilme, stratejiyi bilmek kadar önemlidir. Takipte müdahale etkisinin azalması da kalıcılık ve alanlar arası aktarımın ayrıca incelenmesini gerektirir.</w:t>
      </w:r>
    </w:p>
    <w:p>
      <w:pPr/>
      <w:r>
        <w:t xml:space="preserve">Öncelikli araştırma boşlukları; okul öncesinde dil ve görev yapısına duyarlı ölçme, öz bildirim ile davranış arasındaki fark, dijital izlerin kuramsal yapılarla doğrulanması, motivasyon ve duygu düzenlemenin eksik temsili, oyunlarda planlama/değerlendirme desteğinin sınırlılığı ve uzun dönem aktarımdır. Açık uçlu görevlerden elde edilen planlama, güven kalibrasyonu, yardım arama, hata sonrası uyarlama ve yansıtma verilerinin geçerli bir üstbiliş/SRL profili sağlayıp sağlamadığı araştırılabilir. Böyle bir profilin kişiselleştirilmiş destek için kullanımı değerlendirilirken, öğrencinin kendi öğrenme kontrolünü koruyup korumadığı da ölçülmelidir. Bunlar mevcut geçerlik veya etkililik sonuçları değil, araştırma sorularıdır.</w:t>
      </w:r>
    </w:p>
    <w:p>
      <w:pPr>
        <w:pStyle w:val="Heading3"/>
      </w:pPr>
      <w:r>
        <w:t xml:space="preserve">Ön kanıt değerlendirmesi ve sonuç</w:t>
      </w:r>
    </w:p>
    <w:p>
      <w:pPr/>
      <w:r>
        <w:t xml:space="preserve">Aşağıdaki Evidence Score, araştırmacının literatüre ilişkin ön değerlendirmesidir; doğrulanmış bilimsel ölçek veya standartlaştırılmış etki ölçüsü değildir.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891"/>
        <w:gridCol w:w="1157"/>
        <w:gridCol w:w="5590"/>
      </w:tblGrid>
      <w:tr>
        <w:trPr>
          <w:cantSplit/>
          <w:tblHeader/>
        </w:trPr>
        <w:tc>
          <w:tcPr>
            <w:tcW w:w="2891" w:type="dxa"/>
            <w:vAlign w:val="top"/>
            <w:shd w:fill="E9EEF3" w:val="clear"/>
          </w:tcPr>
          <w:p>
            <w:pPr>
              <w:spacing w:before="0" w:after="35" w:line="240" w:lineRule="auto"/>
            </w:pPr>
            <w:r>
              <w:rPr>
                <w:b/>
                <w:sz w:val="19"/>
              </w:rPr>
              <w:t xml:space="preserve">Ölçüt</w:t>
            </w:r>
          </w:p>
        </w:tc>
        <w:tc>
          <w:tcPr>
            <w:tcW w:w="1157" w:type="dxa"/>
            <w:vAlign w:val="top"/>
            <w:shd w:fill="E9EEF3" w:val="clear"/>
          </w:tcPr>
          <w:p>
            <w:pPr>
              <w:spacing w:before="0" w:after="35" w:line="240" w:lineRule="auto"/>
            </w:pPr>
            <w:r>
              <w:rPr>
                <w:b/>
                <w:sz w:val="19"/>
              </w:rPr>
              <w:t xml:space="preserve">Puan</w:t>
            </w:r>
          </w:p>
        </w:tc>
        <w:tc>
          <w:tcPr>
            <w:tcW w:w="5590" w:type="dxa"/>
            <w:vAlign w:val="top"/>
            <w:shd w:fill="E9EEF3" w:val="clear"/>
          </w:tcPr>
          <w:p>
            <w:pPr>
              <w:spacing w:before="0" w:after="35" w:line="240" w:lineRule="auto"/>
            </w:pPr>
            <w:r>
              <w:rPr>
                <w:b/>
                <w:sz w:val="19"/>
              </w:rPr>
              <w:t xml:space="preserve">Kısa gerekçe</w:t>
            </w:r>
          </w:p>
        </w:tc>
      </w:tr>
      <w:tr>
        <w:trPr>
          <w:cantSplit/>
        </w:trPr>
        <w:tc>
          <w:tcPr>
            <w:tcW w:w="2891" w:type="dxa"/>
            <w:vAlign w:val="top"/>
          </w:tcPr>
          <w:p>
            <w:pPr>
              <w:spacing w:before="0" w:after="35" w:line="240" w:lineRule="auto"/>
            </w:pPr>
            <w:r>
              <w:rPr>
                <w:sz w:val="19"/>
              </w:rPr>
              <w:t xml:space="preserve">Future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Öğrenmeyi öğrenme ve yaşam boyu öğrenmenin temel mekanizması</w:t>
            </w:r>
          </w:p>
        </w:tc>
      </w:tr>
      <w:tr>
        <w:trPr>
          <w:cantSplit/>
        </w:trPr>
        <w:tc>
          <w:tcPr>
            <w:tcW w:w="2891" w:type="dxa"/>
            <w:vAlign w:val="top"/>
          </w:tcPr>
          <w:p>
            <w:pPr>
              <w:spacing w:before="0" w:after="35" w:line="240" w:lineRule="auto"/>
            </w:pPr>
            <w:r>
              <w:rPr>
                <w:sz w:val="19"/>
              </w:rPr>
              <w:t xml:space="preserve">Overall evidence strength</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Uzun kuramsal gelenek ve güncel meta-analizler</w:t>
            </w:r>
          </w:p>
        </w:tc>
      </w:tr>
      <w:tr>
        <w:trPr>
          <w:cantSplit/>
        </w:trPr>
        <w:tc>
          <w:tcPr>
            <w:tcW w:w="2891" w:type="dxa"/>
            <w:vAlign w:val="top"/>
          </w:tcPr>
          <w:p>
            <w:pPr>
              <w:spacing w:before="0" w:after="35" w:line="240" w:lineRule="auto"/>
            </w:pPr>
            <w:r>
              <w:rPr>
                <w:sz w:val="19"/>
              </w:rPr>
              <w:t xml:space="preserve">Teachability</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Okul öncesi ve ilkokul müdahale kanıtı güçlü</w:t>
            </w:r>
          </w:p>
        </w:tc>
      </w:tr>
      <w:tr>
        <w:trPr>
          <w:cantSplit/>
        </w:trPr>
        <w:tc>
          <w:tcPr>
            <w:tcW w:w="2891" w:type="dxa"/>
            <w:vAlign w:val="top"/>
          </w:tcPr>
          <w:p>
            <w:pPr>
              <w:spacing w:before="0" w:after="35" w:line="240" w:lineRule="auto"/>
            </w:pPr>
            <w:r>
              <w:rPr>
                <w:sz w:val="19"/>
              </w:rPr>
              <w:t xml:space="preserve">Young-child evidence</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Üstbilişsel izleme okul öncesinde gözlenebiliyor</w:t>
            </w:r>
          </w:p>
        </w:tc>
      </w:tr>
      <w:tr>
        <w:trPr>
          <w:cantSplit/>
        </w:trPr>
        <w:tc>
          <w:tcPr>
            <w:tcW w:w="2891" w:type="dxa"/>
            <w:vAlign w:val="top"/>
          </w:tcPr>
          <w:p>
            <w:pPr>
              <w:spacing w:before="0" w:after="35" w:line="240" w:lineRule="auto"/>
            </w:pPr>
            <w:r>
              <w:rPr>
                <w:sz w:val="19"/>
              </w:rPr>
              <w:t xml:space="preserve">Developmental evidence</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İzleme–kontrol gelişimine ilişkin güçlü gelişimsel çalışmalar</w:t>
            </w:r>
          </w:p>
        </w:tc>
      </w:tr>
      <w:tr>
        <w:trPr>
          <w:cantSplit/>
        </w:trPr>
        <w:tc>
          <w:tcPr>
            <w:tcW w:w="2891" w:type="dxa"/>
            <w:vAlign w:val="top"/>
          </w:tcPr>
          <w:p>
            <w:pPr>
              <w:spacing w:before="0" w:after="35" w:line="240" w:lineRule="auto"/>
            </w:pPr>
            <w:r>
              <w:rPr>
                <w:sz w:val="19"/>
              </w:rPr>
              <w:t xml:space="preserve">Measurability</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Çok sayıda yöntem var; öz bildirim ve geçerlik sorunları önemli</w:t>
            </w:r>
          </w:p>
        </w:tc>
      </w:tr>
      <w:tr>
        <w:trPr>
          <w:cantSplit/>
        </w:trPr>
        <w:tc>
          <w:tcPr>
            <w:tcW w:w="2891" w:type="dxa"/>
            <w:vAlign w:val="top"/>
          </w:tcPr>
          <w:p>
            <w:pPr>
              <w:spacing w:before="0" w:after="35" w:line="240" w:lineRule="auto"/>
            </w:pPr>
            <w:r>
              <w:rPr>
                <w:sz w:val="19"/>
              </w:rPr>
              <w:t xml:space="preserve">Transfer</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Öğrenme süreçlerine aktarılabilir; strateji aktarımı otomatik değil</w:t>
            </w:r>
          </w:p>
        </w:tc>
      </w:tr>
      <w:tr>
        <w:trPr>
          <w:cantSplit/>
        </w:trPr>
        <w:tc>
          <w:tcPr>
            <w:tcW w:w="2891" w:type="dxa"/>
            <w:vAlign w:val="top"/>
          </w:tcPr>
          <w:p>
            <w:pPr>
              <w:spacing w:before="0" w:after="35" w:line="240" w:lineRule="auto"/>
            </w:pPr>
            <w:r>
              <w:rPr>
                <w:sz w:val="19"/>
              </w:rPr>
              <w:t xml:space="preserve">Digital suitability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Süreç ve iz verileriyle incelemeye uygun</w:t>
            </w:r>
          </w:p>
        </w:tc>
      </w:tr>
      <w:tr>
        <w:trPr>
          <w:cantSplit/>
        </w:trPr>
        <w:tc>
          <w:tcPr>
            <w:tcW w:w="2891" w:type="dxa"/>
            <w:vAlign w:val="top"/>
          </w:tcPr>
          <w:p>
            <w:pPr>
              <w:spacing w:before="0" w:after="35" w:line="240" w:lineRule="auto"/>
            </w:pPr>
            <w:r>
              <w:rPr>
                <w:sz w:val="19"/>
              </w:rPr>
              <w:t xml:space="preserve">Game suitability</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Planlama–izleme–yansıtma oyun görevlerine yerleştirilebilir</w:t>
            </w:r>
          </w:p>
        </w:tc>
      </w:tr>
      <w:tr>
        <w:trPr>
          <w:cantSplit/>
        </w:trPr>
        <w:tc>
          <w:tcPr>
            <w:tcW w:w="2891" w:type="dxa"/>
            <w:vAlign w:val="top"/>
          </w:tcPr>
          <w:p>
            <w:pPr>
              <w:spacing w:before="0" w:after="35" w:line="240" w:lineRule="auto"/>
            </w:pPr>
            <w:r>
              <w:rPr>
                <w:sz w:val="19"/>
              </w:rPr>
              <w:t xml:space="preserve">AI-era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Bağımsız öğrenme ve düzenlemenin önemi artıyor</w:t>
            </w:r>
          </w:p>
        </w:tc>
      </w:tr>
      <w:tr>
        <w:trPr>
          <w:cantSplit/>
        </w:trPr>
        <w:tc>
          <w:tcPr>
            <w:tcW w:w="2891" w:type="dxa"/>
            <w:vAlign w:val="top"/>
          </w:tcPr>
          <w:p>
            <w:pPr>
              <w:spacing w:before="0" w:after="35" w:line="240" w:lineRule="auto"/>
            </w:pPr>
            <w:r>
              <w:rPr>
                <w:sz w:val="19"/>
              </w:rPr>
              <w:t xml:space="preserve">Research opportunity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Uyarlanabilir destek, davranışsal değerlendirme ve düzenlemenin sisteme devri sorunu</w:t>
            </w:r>
          </w:p>
        </w:tc>
      </w:tr>
    </w:tbl>
    <w:p>
      <w:pPr>
        <w:spacing w:after="50"/>
      </w:pPr>
    </w:p>
    <w:p>
      <w:pPr/>
      <w:r>
        <w:t xml:space="preserve">Kanıtlar, üstbiliş ve öz düzenlemeli öğrenmenin erken çocukluktan itibaren gelişen ve uygun öğretimle desteklenebilen süreçler olduğunu göstermektedir. İzleme ile kontrolün ayrışması, takip etkilerinin azalması ve ölçme sorunları, kazanımların dikkatle değerlendirilmesini gerektirir. Araştırmacı değerlendirmesinde alan güçlü bir önceliktir; temel hedef yalnızca görev başarısını artırmak değil, öğrenenin kendi sürecini izleme ve gerektiğinde değiştirme kapasitesini geliştirmektir. Diğer yetkinliklerle ortak süreçlerin ve ilişkilerin sentezi A3'te ele alınmaktadır.</w:t>
      </w:r>
    </w:p>
    <w:p>
      <w:pPr>
        <w:pStyle w:val="Heading2"/>
        <w:pageBreakBefore/>
      </w:pPr>
      <w:bookmarkStart w:id="7" w:name="A2_5"/>
      <w:r>
        <w:t xml:space="preserve">A2.5. Sistem Düşüncesi</w:t>
      </w:r>
      <w:bookmarkEnd w:id="7"/>
    </w:p>
    <w:p>
      <w:pPr>
        <w:pStyle w:val="Heading3"/>
      </w:pPr>
      <w:r>
        <w:t xml:space="preserve">Kavramsal çerçeve ve temel bileşenler</w:t>
      </w:r>
    </w:p>
    <w:p>
      <w:pPr/>
      <w:r>
        <w:t xml:space="preserve">Sistem düşüncesi (systems thinking) için disiplinler arasında bütünüyle uzlaşılmış tek bir tanım bulunmamaktadır. Arnold ve Wade'in farklı tanımları ortak bileşenler üzerinden sentezleme girişimi, kavramın disiplinler arası niteliğini olduğu kadar ölçümdeki çeşitliliği de göstermektedir. Farklı araştırmalar, sistem düşüncesi adı altında kısmen farklı bilişsel süreçleri değerlendirebilmektedir. GreenComp ise kavramı, sürdürülebilirlik problemlerini farklı yönlerden ele alma ve zaman, mekân ile bağlamı dikkate alarak sistemlerin içindeki ve sistemler arasındaki etkileşimleri anlama yeterliliği olarak tanımlar (Bianchi ve diğerleri, 2022; </w:t>
      </w:r>
      <w:hyperlink r:id="rIdLink1">
        <w:r>
          <w:rPr>
            <w:rStyle w:val="Hyperlink"/>
          </w:rPr>
          <w:t xml:space="preserve">https://doi.org/10.2760/13286</w:t>
        </w:r>
      </w:hyperlink>
      <w:r>
        <w:t xml:space="preserve">).</w:t>
      </w:r>
    </w:p>
    <w:p>
      <w:pPr/>
      <w:r>
        <w:t xml:space="preserve">Bu raporda sistem düşüncesi; bir sistemi ayrı parçaların toplamı olarak değil, parçalar arasındaki ilişkiler, nedensel bağlantılar, zaman içindeki değişimler, geri bildirimler ve ortaya çıkan sonuçlarla birlikte anlama, modelleme ve müdahalelerin olası etkilerini değerlendirme yetkinliği olarak ele alınmaktadır. Eğitim literatüründe özellikle bileşenler, bağlantılar, etkileşimler, karmaşıklık ve dinamikler öne çıkmaktadır.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Bileşen</w:t>
            </w:r>
          </w:p>
        </w:tc>
        <w:tc>
          <w:tcPr>
            <w:tcW w:w="6939" w:type="dxa"/>
            <w:vAlign w:val="top"/>
            <w:shd w:fill="E9EEF3" w:val="clear"/>
          </w:tcPr>
          <w:p>
            <w:pPr>
              <w:spacing w:before="0" w:after="35" w:line="240" w:lineRule="auto"/>
            </w:pPr>
            <w:r>
              <w:rPr>
                <w:b/>
                <w:sz w:val="19"/>
              </w:rPr>
              <w:t xml:space="preserve">İncelenen boyut</w:t>
            </w:r>
          </w:p>
        </w:tc>
      </w:tr>
      <w:tr>
        <w:trPr>
          <w:cantSplit/>
        </w:trPr>
        <w:tc>
          <w:tcPr>
            <w:tcW w:w="2699" w:type="dxa"/>
            <w:vAlign w:val="top"/>
          </w:tcPr>
          <w:p>
            <w:pPr>
              <w:spacing w:before="0" w:after="35" w:line="240" w:lineRule="auto"/>
            </w:pPr>
            <w:r>
              <w:rPr>
                <w:sz w:val="19"/>
              </w:rPr>
              <w:t xml:space="preserve">Sistem sınırları</w:t>
            </w:r>
          </w:p>
        </w:tc>
        <w:tc>
          <w:tcPr>
            <w:tcW w:w="6939" w:type="dxa"/>
            <w:vAlign w:val="top"/>
          </w:tcPr>
          <w:p>
            <w:pPr>
              <w:spacing w:before="0" w:after="35" w:line="240" w:lineRule="auto"/>
            </w:pPr>
            <w:r>
              <w:rPr>
                <w:sz w:val="19"/>
              </w:rPr>
              <w:t xml:space="preserve">Sisteme hangi öğelerin dâhil olduğu</w:t>
            </w:r>
          </w:p>
        </w:tc>
      </w:tr>
      <w:tr>
        <w:trPr>
          <w:cantSplit/>
        </w:trPr>
        <w:tc>
          <w:tcPr>
            <w:tcW w:w="2699" w:type="dxa"/>
            <w:vAlign w:val="top"/>
          </w:tcPr>
          <w:p>
            <w:pPr>
              <w:spacing w:before="0" w:after="35" w:line="240" w:lineRule="auto"/>
            </w:pPr>
            <w:r>
              <w:rPr>
                <w:sz w:val="19"/>
              </w:rPr>
              <w:t xml:space="preserve">Bileşenler</w:t>
            </w:r>
          </w:p>
        </w:tc>
        <w:tc>
          <w:tcPr>
            <w:tcW w:w="6939" w:type="dxa"/>
            <w:vAlign w:val="top"/>
          </w:tcPr>
          <w:p>
            <w:pPr>
              <w:spacing w:before="0" w:after="35" w:line="240" w:lineRule="auto"/>
            </w:pPr>
            <w:r>
              <w:rPr>
                <w:sz w:val="19"/>
              </w:rPr>
              <w:t xml:space="preserve">Sistemi oluşturan parçalar</w:t>
            </w:r>
          </w:p>
        </w:tc>
      </w:tr>
      <w:tr>
        <w:trPr>
          <w:cantSplit/>
        </w:trPr>
        <w:tc>
          <w:tcPr>
            <w:tcW w:w="2699" w:type="dxa"/>
            <w:vAlign w:val="top"/>
          </w:tcPr>
          <w:p>
            <w:pPr>
              <w:spacing w:before="0" w:after="35" w:line="240" w:lineRule="auto"/>
            </w:pPr>
            <w:r>
              <w:rPr>
                <w:sz w:val="19"/>
              </w:rPr>
              <w:t xml:space="preserve">Bağlantılar</w:t>
            </w:r>
          </w:p>
        </w:tc>
        <w:tc>
          <w:tcPr>
            <w:tcW w:w="6939" w:type="dxa"/>
            <w:vAlign w:val="top"/>
          </w:tcPr>
          <w:p>
            <w:pPr>
              <w:spacing w:before="0" w:after="35" w:line="240" w:lineRule="auto"/>
            </w:pPr>
            <w:r>
              <w:rPr>
                <w:sz w:val="19"/>
              </w:rPr>
              <w:t xml:space="preserve">Parçalar arasındaki etkileşimler</w:t>
            </w:r>
          </w:p>
        </w:tc>
      </w:tr>
      <w:tr>
        <w:trPr>
          <w:cantSplit/>
        </w:trPr>
        <w:tc>
          <w:tcPr>
            <w:tcW w:w="2699" w:type="dxa"/>
            <w:vAlign w:val="top"/>
          </w:tcPr>
          <w:p>
            <w:pPr>
              <w:spacing w:before="0" w:after="35" w:line="240" w:lineRule="auto"/>
            </w:pPr>
            <w:r>
              <w:rPr>
                <w:sz w:val="19"/>
              </w:rPr>
              <w:t xml:space="preserve">Nedensellik</w:t>
            </w:r>
          </w:p>
        </w:tc>
        <w:tc>
          <w:tcPr>
            <w:tcW w:w="6939" w:type="dxa"/>
            <w:vAlign w:val="top"/>
          </w:tcPr>
          <w:p>
            <w:pPr>
              <w:spacing w:before="0" w:after="35" w:line="240" w:lineRule="auto"/>
            </w:pPr>
            <w:r>
              <w:rPr>
                <w:sz w:val="19"/>
              </w:rPr>
              <w:t xml:space="preserve">Değişimlerin nedenleri ve sonuçları</w:t>
            </w:r>
          </w:p>
        </w:tc>
      </w:tr>
      <w:tr>
        <w:trPr>
          <w:cantSplit/>
        </w:trPr>
        <w:tc>
          <w:tcPr>
            <w:tcW w:w="2699" w:type="dxa"/>
            <w:vAlign w:val="top"/>
          </w:tcPr>
          <w:p>
            <w:pPr>
              <w:spacing w:before="0" w:after="35" w:line="240" w:lineRule="auto"/>
            </w:pPr>
            <w:r>
              <w:rPr>
                <w:sz w:val="19"/>
              </w:rPr>
              <w:t xml:space="preserve">Geri bildirim</w:t>
            </w:r>
          </w:p>
        </w:tc>
        <w:tc>
          <w:tcPr>
            <w:tcW w:w="6939" w:type="dxa"/>
            <w:vAlign w:val="top"/>
          </w:tcPr>
          <w:p>
            <w:pPr>
              <w:spacing w:before="0" w:after="35" w:line="240" w:lineRule="auto"/>
            </w:pPr>
            <w:r>
              <w:rPr>
                <w:sz w:val="19"/>
              </w:rPr>
              <w:t xml:space="preserve">Sonuçların başlangıçtaki nedenleri yeniden etkilemesi</w:t>
            </w:r>
          </w:p>
        </w:tc>
      </w:tr>
      <w:tr>
        <w:trPr>
          <w:cantSplit/>
        </w:trPr>
        <w:tc>
          <w:tcPr>
            <w:tcW w:w="2699" w:type="dxa"/>
            <w:vAlign w:val="top"/>
          </w:tcPr>
          <w:p>
            <w:pPr>
              <w:spacing w:before="0" w:after="35" w:line="240" w:lineRule="auto"/>
            </w:pPr>
            <w:r>
              <w:rPr>
                <w:sz w:val="19"/>
              </w:rPr>
              <w:t xml:space="preserve">Zaman içindeki değişim</w:t>
            </w:r>
          </w:p>
        </w:tc>
        <w:tc>
          <w:tcPr>
            <w:tcW w:w="6939" w:type="dxa"/>
            <w:vAlign w:val="top"/>
          </w:tcPr>
          <w:p>
            <w:pPr>
              <w:spacing w:before="0" w:after="35" w:line="240" w:lineRule="auto"/>
            </w:pPr>
            <w:r>
              <w:rPr>
                <w:sz w:val="19"/>
              </w:rPr>
              <w:t xml:space="preserve">Sistemin zamana bağlı davranışı</w:t>
            </w:r>
          </w:p>
        </w:tc>
      </w:tr>
      <w:tr>
        <w:trPr>
          <w:cantSplit/>
        </w:trPr>
        <w:tc>
          <w:tcPr>
            <w:tcW w:w="2699" w:type="dxa"/>
            <w:vAlign w:val="top"/>
          </w:tcPr>
          <w:p>
            <w:pPr>
              <w:spacing w:before="0" w:after="35" w:line="240" w:lineRule="auto"/>
            </w:pPr>
            <w:r>
              <w:rPr>
                <w:sz w:val="19"/>
              </w:rPr>
              <w:t xml:space="preserve">Gizli süreçler</w:t>
            </w:r>
          </w:p>
        </w:tc>
        <w:tc>
          <w:tcPr>
            <w:tcW w:w="6939" w:type="dxa"/>
            <w:vAlign w:val="top"/>
          </w:tcPr>
          <w:p>
            <w:pPr>
              <w:spacing w:before="0" w:after="35" w:line="240" w:lineRule="auto"/>
            </w:pPr>
            <w:r>
              <w:rPr>
                <w:sz w:val="19"/>
              </w:rPr>
              <w:t xml:space="preserve">Doğrudan gözlenemeyen mekanizmalar</w:t>
            </w:r>
          </w:p>
        </w:tc>
      </w:tr>
      <w:tr>
        <w:trPr>
          <w:cantSplit/>
        </w:trPr>
        <w:tc>
          <w:tcPr>
            <w:tcW w:w="2699" w:type="dxa"/>
            <w:vAlign w:val="top"/>
          </w:tcPr>
          <w:p>
            <w:pPr>
              <w:spacing w:before="0" w:after="35" w:line="240" w:lineRule="auto"/>
            </w:pPr>
            <w:r>
              <w:rPr>
                <w:sz w:val="19"/>
              </w:rPr>
              <w:t xml:space="preserve">Çoklu bakış açıları</w:t>
            </w:r>
          </w:p>
        </w:tc>
        <w:tc>
          <w:tcPr>
            <w:tcW w:w="6939" w:type="dxa"/>
            <w:vAlign w:val="top"/>
          </w:tcPr>
          <w:p>
            <w:pPr>
              <w:spacing w:before="0" w:after="35" w:line="240" w:lineRule="auto"/>
            </w:pPr>
            <w:r>
              <w:rPr>
                <w:sz w:val="19"/>
              </w:rPr>
              <w:t xml:space="preserve">Farklı konum ve bağlamlardan yapılan değerlendirmeler</w:t>
            </w:r>
          </w:p>
        </w:tc>
      </w:tr>
      <w:tr>
        <w:trPr>
          <w:cantSplit/>
        </w:trPr>
        <w:tc>
          <w:tcPr>
            <w:tcW w:w="2699" w:type="dxa"/>
            <w:vAlign w:val="top"/>
          </w:tcPr>
          <w:p>
            <w:pPr>
              <w:spacing w:before="0" w:after="35" w:line="240" w:lineRule="auto"/>
            </w:pPr>
            <w:r>
              <w:rPr>
                <w:sz w:val="19"/>
              </w:rPr>
              <w:t xml:space="preserve">Beklenmeyen sonuçlar</w:t>
            </w:r>
          </w:p>
        </w:tc>
        <w:tc>
          <w:tcPr>
            <w:tcW w:w="6939" w:type="dxa"/>
            <w:vAlign w:val="top"/>
          </w:tcPr>
          <w:p>
            <w:pPr>
              <w:spacing w:before="0" w:after="35" w:line="240" w:lineRule="auto"/>
            </w:pPr>
            <w:r>
              <w:rPr>
                <w:sz w:val="19"/>
              </w:rPr>
              <w:t xml:space="preserve">Müdahalenin öngörülmeyen etkileri</w:t>
            </w:r>
          </w:p>
        </w:tc>
      </w:tr>
      <w:tr>
        <w:trPr>
          <w:cantSplit/>
        </w:trPr>
        <w:tc>
          <w:tcPr>
            <w:tcW w:w="2699" w:type="dxa"/>
            <w:vAlign w:val="top"/>
          </w:tcPr>
          <w:p>
            <w:pPr>
              <w:spacing w:before="0" w:after="35" w:line="240" w:lineRule="auto"/>
            </w:pPr>
            <w:r>
              <w:rPr>
                <w:sz w:val="19"/>
              </w:rPr>
              <w:t xml:space="preserve">Kaldıraç ve müdahale noktaları</w:t>
            </w:r>
          </w:p>
        </w:tc>
        <w:tc>
          <w:tcPr>
            <w:tcW w:w="6939" w:type="dxa"/>
            <w:vAlign w:val="top"/>
          </w:tcPr>
          <w:p>
            <w:pPr>
              <w:spacing w:before="0" w:after="35" w:line="240" w:lineRule="auto"/>
            </w:pPr>
            <w:r>
              <w:rPr>
                <w:sz w:val="19"/>
              </w:rPr>
              <w:t xml:space="preserve">Sınırlı müdahaleyle yüksek etki sağlayabilecek noktalar</w:t>
            </w:r>
          </w:p>
        </w:tc>
      </w:tr>
      <w:tr>
        <w:trPr>
          <w:cantSplit/>
        </w:trPr>
        <w:tc>
          <w:tcPr>
            <w:tcW w:w="2699" w:type="dxa"/>
            <w:vAlign w:val="top"/>
          </w:tcPr>
          <w:p>
            <w:pPr>
              <w:spacing w:before="0" w:after="35" w:line="240" w:lineRule="auto"/>
            </w:pPr>
            <w:r>
              <w:rPr>
                <w:sz w:val="19"/>
              </w:rPr>
              <w:t xml:space="preserve">Öngörü</w:t>
            </w:r>
          </w:p>
        </w:tc>
        <w:tc>
          <w:tcPr>
            <w:tcW w:w="6939" w:type="dxa"/>
            <w:vAlign w:val="top"/>
          </w:tcPr>
          <w:p>
            <w:pPr>
              <w:spacing w:before="0" w:after="35" w:line="240" w:lineRule="auto"/>
            </w:pPr>
            <w:r>
              <w:rPr>
                <w:sz w:val="19"/>
              </w:rPr>
              <w:t xml:space="preserve">Mevcut davranışın gelecekteki olası sonuçları</w:t>
            </w:r>
          </w:p>
        </w:tc>
      </w:tr>
      <w:tr>
        <w:trPr>
          <w:cantSplit/>
        </w:trPr>
        <w:tc>
          <w:tcPr>
            <w:tcW w:w="2699" w:type="dxa"/>
            <w:vAlign w:val="top"/>
          </w:tcPr>
          <w:p>
            <w:pPr>
              <w:spacing w:before="0" w:after="35" w:line="240" w:lineRule="auto"/>
            </w:pPr>
            <w:r>
              <w:rPr>
                <w:sz w:val="19"/>
              </w:rPr>
              <w:t xml:space="preserve">Modelleme</w:t>
            </w:r>
          </w:p>
        </w:tc>
        <w:tc>
          <w:tcPr>
            <w:tcW w:w="6939" w:type="dxa"/>
            <w:vAlign w:val="top"/>
          </w:tcPr>
          <w:p>
            <w:pPr>
              <w:spacing w:before="0" w:after="35" w:line="240" w:lineRule="auto"/>
            </w:pPr>
            <w:r>
              <w:rPr>
                <w:sz w:val="19"/>
              </w:rPr>
              <w:t xml:space="preserve">Sistemin işleyişinin temsili</w:t>
            </w:r>
          </w:p>
        </w:tc>
      </w:tr>
    </w:tbl>
    <w:p>
      <w:pPr>
        <w:spacing w:after="50"/>
      </w:pPr>
    </w:p>
    <w:p>
      <w:pPr/>
      <w:r>
        <w:t xml:space="preserve">Problem çözme hedefe ulaşma yollarına odaklanırken sistem düşüncesi, problemin hangi daha geniş yapının içinde bulunduğunu ve çözümün bu yapının diğer öğelerini nasıl etkileyebileceğini sorgular. İki alan özellikle iyi yapılandırılmamış problemlerde kesişir; ancak birbirinin yerine kullanılamaz. Sistem düşüncesi sürdürülebilirlikle de özdeş değildir. Ekosistemler ilişkileri, nüfus değişimlerini ve geri bildirimleri incelemek için elverişli olsa da ekonomi, şehir planlama, enerji, sağlık, sosyal sistemler, tedarik zincirleri, teknoloji ve örgütler de sistemik incelemenin konusudur.</w:t>
      </w:r>
    </w:p>
    <w:p>
      <w:pPr>
        <w:pStyle w:val="Heading3"/>
      </w:pPr>
      <w:r>
        <w:t xml:space="preserve">Nedensellik, geri bildirim ve gelişimsel ilerleme</w:t>
      </w:r>
    </w:p>
    <w:p>
      <w:pPr/>
      <w:r>
        <w:t xml:space="preserve">Sistem düşüncesinde önemli bir geçiş, doğrusal nedensellikten (A → B) bağlantılı nedensel zincirlere (A → B → C) ve döngüsel nedenselliğe (A → B → C → A) ilerlemektir. Ayırt edici nokta, bir öğenin diğerini etkilemesini fark etmekten, öğelerin zaman içinde birbirlerini karşılıklı olarak değiştirdiğini anlamaya geçiştir. Güçlendirici geri bildirim değişimi büyütürken dengeleyici geri bildirim sistemdeki değişime karşı düzenleyici bir tepki oluşturur. Karmaşık sistemlerde bu iki döngü türü birlikte işleyebilir.</w:t>
      </w:r>
    </w:p>
    <w:p>
      <w:pPr/>
      <w:r>
        <w:t xml:space="preserve">Gecikmeler, kısa ve uzun vadeli sonuçlar arasındaki ayrım, beklenmeyen etkiler ve hedefler arasındaki ödünleşimler de bu çerçevenin parçalarıdır. Bir müdahalenin ilk sonucu olumlu olsa bile sonraki etkileri farklı olabilir; bütün hedeflerin aynı anda en üst düzeye çıkarılamayacağını değerlendirmek gerekir. Kaldıraç noktalarını belirleme ise yalnızca görünen soruna müdahale etmekten çok, sorunu üreten ilişkileri değiştirmeyi gerektirir. Bu ileri bileşenler küçük çocuklardan doğrudan beklenmemeli, pedagojik destekle ele alınmalıdır.</w:t>
      </w:r>
    </w:p>
    <w:p>
      <w:pPr/>
      <w:r>
        <w:t xml:space="preserve">K–12 literatüründe önerilen öğretim sıralaması aşağıda özetlenmiştir. Bu sıralamayı sunan Frontiers makalesi kavramsal analiz ve öğretim deneyimi sentezidir; kontrollü bir gelişimsel meta-analiz değildir. Dolayısıyla tablo kesin yaş normları değil, ihtiyatlı bir öğretim çerçevesi sunmaktadır.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Eğitim düzeyi</w:t>
            </w:r>
          </w:p>
        </w:tc>
        <w:tc>
          <w:tcPr>
            <w:tcW w:w="6939" w:type="dxa"/>
            <w:vAlign w:val="top"/>
            <w:shd w:fill="E9EEF3" w:val="clear"/>
          </w:tcPr>
          <w:p>
            <w:pPr>
              <w:spacing w:before="0" w:after="35" w:line="240" w:lineRule="auto"/>
            </w:pPr>
            <w:r>
              <w:rPr>
                <w:b/>
                <w:sz w:val="19"/>
              </w:rPr>
              <w:t xml:space="preserve">Önerilen odak</w:t>
            </w:r>
          </w:p>
        </w:tc>
      </w:tr>
      <w:tr>
        <w:trPr>
          <w:cantSplit/>
        </w:trPr>
        <w:tc>
          <w:tcPr>
            <w:tcW w:w="2699" w:type="dxa"/>
            <w:vAlign w:val="top"/>
          </w:tcPr>
          <w:p>
            <w:pPr>
              <w:spacing w:before="0" w:after="35" w:line="240" w:lineRule="auto"/>
            </w:pPr>
            <w:r>
              <w:rPr>
                <w:sz w:val="19"/>
              </w:rPr>
              <w:t xml:space="preserve">Anaokulu</w:t>
            </w:r>
          </w:p>
        </w:tc>
        <w:tc>
          <w:tcPr>
            <w:tcW w:w="6939" w:type="dxa"/>
            <w:vAlign w:val="top"/>
          </w:tcPr>
          <w:p>
            <w:pPr>
              <w:spacing w:before="0" w:after="35" w:line="240" w:lineRule="auto"/>
            </w:pPr>
            <w:r>
              <w:rPr>
                <w:sz w:val="19"/>
              </w:rPr>
              <w:t xml:space="preserve">Parçalar, bire bir ilişkiler ve gözlenebilir değişim</w:t>
            </w:r>
          </w:p>
        </w:tc>
      </w:tr>
      <w:tr>
        <w:trPr>
          <w:cantSplit/>
        </w:trPr>
        <w:tc>
          <w:tcPr>
            <w:tcW w:w="2699" w:type="dxa"/>
            <w:vAlign w:val="top"/>
          </w:tcPr>
          <w:p>
            <w:pPr>
              <w:spacing w:before="0" w:after="35" w:line="240" w:lineRule="auto"/>
            </w:pPr>
            <w:r>
              <w:rPr>
                <w:sz w:val="19"/>
              </w:rPr>
              <w:t xml:space="preserve">İlkokul</w:t>
            </w:r>
          </w:p>
        </w:tc>
        <w:tc>
          <w:tcPr>
            <w:tcW w:w="6939" w:type="dxa"/>
            <w:vAlign w:val="top"/>
          </w:tcPr>
          <w:p>
            <w:pPr>
              <w:spacing w:before="0" w:after="35" w:line="240" w:lineRule="auto"/>
            </w:pPr>
            <w:r>
              <w:rPr>
                <w:sz w:val="19"/>
              </w:rPr>
              <w:t xml:space="preserve">Çoktan bire ilişkiler, basit bir geri bildirim döngüsü ve temel üstel davranış</w:t>
            </w:r>
          </w:p>
        </w:tc>
      </w:tr>
      <w:tr>
        <w:trPr>
          <w:cantSplit/>
        </w:trPr>
        <w:tc>
          <w:tcPr>
            <w:tcW w:w="2699" w:type="dxa"/>
            <w:vAlign w:val="top"/>
          </w:tcPr>
          <w:p>
            <w:pPr>
              <w:spacing w:before="0" w:after="35" w:line="240" w:lineRule="auto"/>
            </w:pPr>
            <w:r>
              <w:rPr>
                <w:sz w:val="19"/>
              </w:rPr>
              <w:t xml:space="preserve">Ortaokul</w:t>
            </w:r>
          </w:p>
        </w:tc>
        <w:tc>
          <w:tcPr>
            <w:tcW w:w="6939" w:type="dxa"/>
            <w:vAlign w:val="top"/>
          </w:tcPr>
          <w:p>
            <w:pPr>
              <w:spacing w:before="0" w:after="35" w:line="240" w:lineRule="auto"/>
            </w:pPr>
            <w:r>
              <w:rPr>
                <w:sz w:val="19"/>
              </w:rPr>
              <w:t xml:space="preserve">Birden fazla döngü, karmaşık nedensellik ve sistem içi nedenler</w:t>
            </w:r>
          </w:p>
        </w:tc>
      </w:tr>
      <w:tr>
        <w:trPr>
          <w:cantSplit/>
        </w:trPr>
        <w:tc>
          <w:tcPr>
            <w:tcW w:w="2699" w:type="dxa"/>
            <w:vAlign w:val="top"/>
          </w:tcPr>
          <w:p>
            <w:pPr>
              <w:spacing w:before="0" w:after="35" w:line="240" w:lineRule="auto"/>
            </w:pPr>
            <w:r>
              <w:rPr>
                <w:sz w:val="19"/>
              </w:rPr>
              <w:t xml:space="preserve">Lise</w:t>
            </w:r>
          </w:p>
        </w:tc>
        <w:tc>
          <w:tcPr>
            <w:tcW w:w="6939" w:type="dxa"/>
            <w:vAlign w:val="top"/>
          </w:tcPr>
          <w:p>
            <w:pPr>
              <w:spacing w:before="0" w:after="35" w:line="240" w:lineRule="auto"/>
            </w:pPr>
            <w:r>
              <w:rPr>
                <w:sz w:val="19"/>
              </w:rPr>
              <w:t xml:space="preserve">Çoklu geri bildirim döngüleri, stok–akış ilişkileri, gecikmeler, karmaşık dinamik davranış, politika sınama ve nicel modelleme</w:t>
            </w:r>
          </w:p>
        </w:tc>
      </w:tr>
    </w:tbl>
    <w:p>
      <w:pPr>
        <w:spacing w:after="50"/>
      </w:pPr>
    </w:p>
    <w:p>
      <w:pPr/>
      <w:r>
        <w:t xml:space="preserve">Genel öğretim sırası; parçalar, bağlantılar, nedensellik, geri bildirim, dinamikler ve müdahale biçiminde özetlenebilir. Bununla birlikte hangi bileşenin hangi yaşta güvenilir biçimde geliştiğini gösteren geniş ölçekli boylamsal normlar henüz yetersizdir.</w:t>
      </w:r>
    </w:p>
    <w:p>
      <w:pPr>
        <w:pStyle w:val="Heading3"/>
      </w:pPr>
      <w:r>
        <w:t xml:space="preserve">Çocuklarda gelişim ve öğretilebilirlik bulguları</w:t>
      </w:r>
    </w:p>
    <w:p>
      <w:pPr/>
      <w:r>
        <w:t xml:space="preserve">Feriver ve diğerleri (2019), Türkiye ve Almanya'daki okul öncesi eğitim bağlamlarında 4–6 yaşındaki 52 çocukla çalışmıştır. Bir ekosistem hikâyesi üzerinden gizli boyut, nedensellik, geri bildirim, dinamik davranış, bütünü görme, sistem mekanizmaları, geleceği öngörme ve müdahale noktaları olmak üzere sekiz boyut değerlendirilmiştir. Çocuklar basit değişimleri, iki aşamalı nedenselliği ve birden fazla tek yönlü ilişkiyi fark edebilmiş; bazı dengeleyici geri bildirim ilişkilerini açıklayabilmiştir. Buna karşılık güçlendirici geri bildirim, gizli süreçler, beklenmeyen sonuçlar, çok boyutlu bakış, yüksek etkili müdahale noktaları ve gelecekteki sistem davranışını öngörme daha zor bulunmuştur (DOI: 10.3390/su11051478).</w:t>
      </w:r>
    </w:p>
    <w:p>
      <w:pPr/>
      <w:r>
        <w:t xml:space="preserve">Aynı çalışmada yaşın toplam sistem düşüncesi puanları üzerindeki etkisi anlamlıdır. Ortalama puanlar 48–59 aylık çocuklarda yaklaşık 10.05, 60–71 aylık çocuklarda 11.77 ve 72 ay ve üzerindekilerde 14.12 olarak bildirilmiştir. Bu bulgular bazı sistem düşüncesi öncüllerinin 4–6 yaşta gözlenebildiğini destekler; ancak 52 çocukla yürütülen tek bir nitel durum çalışması bütün okul öncesi çocuklar için gelişim normu oluşturmaz.</w:t>
      </w:r>
    </w:p>
    <w:p>
      <w:pPr/>
      <w:r>
        <w:t xml:space="preserve">Hokayem, Ma ve Jin (2015), 1.–4. sınıflardaki 44 çocukta avcı–av ve nüfus ilişkileri üzerinden ekosistemlerde geri bildirim döngüsü akıl yürütmesini incelemiştir. Çok az öğrenci sürdürülebilir ekosistemdeki tam döngüsel ilişkiyi fark etmiş; akıl yürütme farklı problem bağlamlarında tutarlı olmamıştır. Bu sonuç, ilkokulun ilk yıllarında parçaların ve basit ilişkilerin uygun başlangıç noktaları olduğunu, geri bildirim, gecikme ve dinamik davranış için daha yoğun destek gerekebileceğini düşündürmektedir (DOI: 10.1080/00219266.2014.943789).</w:t>
      </w:r>
    </w:p>
    <w:p>
      <w:pPr/>
      <w:r>
        <w:t xml:space="preserve">Türkiye kaynaklı 2026 tarihli eleştirel derleme de ilkokul öğrencilerinin sistem bileşenlerini belirleme, temel ilişkileri fark etme ve süreçleri betimlemede gelişebildiğini; geri bildirim döngüleri, uzun dönemli dinamikler ve karmaşık sistem davranışında ise zorlandığını bildirmektedir. Derlemeye göre ilkokul araştırmaları ortaokul ve lise araştırmalarından daha sınırlıdır.</w:t>
      </w:r>
    </w:p>
    <w:p>
      <w:pPr/>
      <w:r>
        <w:t xml:space="preserve">Nancy Roberts'ın 10–11 yaş çocuklarla yürüttüğü erken pilot çalışmada nedensel döngü diyagramlarını okuma, ilişkileri diyagramla gösterme ve dinamik geri bildirim sistemlerini açıklama öğretilmiştir. Bulgular, uygun pedagojik destekle bu yaş grubunun ileri düzey eğitimde kullanılan dinamik sistem kavramlarını öğrenebileceğine işaret eder. Bununla birlikte çalışma eski ve pilot niteliktedir; tek başına güçlü müdahale kanıtı sayılmaz.</w:t>
      </w:r>
    </w:p>
    <w:p>
      <w:pPr/>
      <w:r>
        <w:t xml:space="preserve">Assaraf ve Orion'un (2005) yaklaşık 50 sekizinci sınıf öğrencisiyle yürüttüğü su döngüsü ve yer sistemleri odaklı programda, başlangıç becerileri sınırlı olmasına rağmen öğrencilerin çoğu anlamlı gelişim göstermiş, yaklaşık üçte biri en yüksek sistem düşüncesi düzeylerine ulaşmıştır. Araştırmacılar temel sistem becerilerinin daha karmaşık becerilere ön koşul oluşturabileceği hiyerarşik bir gelişim yapısı önermektedir (DOI: 10.1002/tea.20061).</w:t>
      </w:r>
    </w:p>
    <w:p>
      <w:pPr/>
      <w:r>
        <w:t xml:space="preserve">Assaraf ve Orion, aynı programdan dört öğrenciyi 6 yıl sonra yeniden incelemiştir. Sistemlere ilişkin zihinsel modellerin bazı yönlerinin korunabildiği ve üstbilişsel öğrenme örüntülerinin uzun dönemli model inşasında önemli olduğu görülmüştür. Ancak N = 4 olan bu izlem, eğitimin etkisinin genel olarak altı yıl sürdüğünü göstermez; yalnızca uzun dönemli kalıcılığın mümkün olabileceğine ilişkin nitel kanıt sağlar.</w:t>
      </w:r>
    </w:p>
    <w:p>
      <w:pPr>
        <w:pStyle w:val="Heading3"/>
      </w:pPr>
      <w:r>
        <w:t xml:space="preserve">Hesaplamalı modelleme, simülasyon ve oyun tasarımı</w:t>
      </w:r>
    </w:p>
    <w:p>
      <w:pPr/>
      <w:r>
        <w:t xml:space="preserve">Sun ve diğerlerinin (2026) meta-analizi, fen eğitimi bağlamında hesaplamalı modellemenin K–16 öğrencilerinin sistem düşüncesine etkisini 25 çalışma ve 62 etki büyüklüğü üzerinden incelemiştir. Genel etki g = 0.470 olarak bulunmuştur (DOI: 10.1002/tea.70028).</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Sonuç alanı</w:t>
            </w:r>
          </w:p>
        </w:tc>
        <w:tc>
          <w:tcPr>
            <w:tcW w:w="6939" w:type="dxa"/>
            <w:vAlign w:val="top"/>
            <w:shd w:fill="E9EEF3" w:val="clear"/>
          </w:tcPr>
          <w:p>
            <w:pPr>
              <w:spacing w:before="0" w:after="35" w:line="240" w:lineRule="auto"/>
            </w:pPr>
            <w:r>
              <w:rPr>
                <w:b/>
                <w:sz w:val="19"/>
              </w:rPr>
              <w:t xml:space="preserve">Etki büyüklüğü</w:t>
            </w:r>
          </w:p>
        </w:tc>
      </w:tr>
      <w:tr>
        <w:trPr>
          <w:cantSplit/>
        </w:trPr>
        <w:tc>
          <w:tcPr>
            <w:tcW w:w="2699" w:type="dxa"/>
            <w:vAlign w:val="top"/>
          </w:tcPr>
          <w:p>
            <w:pPr>
              <w:spacing w:before="0" w:after="35" w:line="240" w:lineRule="auto"/>
            </w:pPr>
            <w:r>
              <w:rPr>
                <w:sz w:val="19"/>
              </w:rPr>
              <w:t xml:space="preserve">Genel sistem düşüncesi</w:t>
            </w:r>
          </w:p>
        </w:tc>
        <w:tc>
          <w:tcPr>
            <w:tcW w:w="6939" w:type="dxa"/>
            <w:vAlign w:val="top"/>
          </w:tcPr>
          <w:p>
            <w:pPr>
              <w:spacing w:before="0" w:after="35" w:line="240" w:lineRule="auto"/>
            </w:pPr>
            <w:r>
              <w:rPr>
                <w:sz w:val="19"/>
              </w:rPr>
              <w:t xml:space="preserve">g = 0.470</w:t>
            </w:r>
          </w:p>
        </w:tc>
      </w:tr>
      <w:tr>
        <w:trPr>
          <w:cantSplit/>
        </w:trPr>
        <w:tc>
          <w:tcPr>
            <w:tcW w:w="2699" w:type="dxa"/>
            <w:vAlign w:val="top"/>
          </w:tcPr>
          <w:p>
            <w:pPr>
              <w:spacing w:before="0" w:after="35" w:line="240" w:lineRule="auto"/>
            </w:pPr>
            <w:r>
              <w:rPr>
                <w:sz w:val="19"/>
              </w:rPr>
              <w:t xml:space="preserve">Sistemleri uygulama/değerlendirme</w:t>
            </w:r>
          </w:p>
        </w:tc>
        <w:tc>
          <w:tcPr>
            <w:tcW w:w="6939" w:type="dxa"/>
            <w:vAlign w:val="top"/>
          </w:tcPr>
          <w:p>
            <w:pPr>
              <w:spacing w:before="0" w:after="35" w:line="240" w:lineRule="auto"/>
            </w:pPr>
            <w:r>
              <w:rPr>
                <w:sz w:val="19"/>
              </w:rPr>
              <w:t xml:space="preserve">g = 0.617</w:t>
            </w:r>
          </w:p>
        </w:tc>
      </w:tr>
      <w:tr>
        <w:trPr>
          <w:cantSplit/>
        </w:trPr>
        <w:tc>
          <w:tcPr>
            <w:tcW w:w="2699" w:type="dxa"/>
            <w:vAlign w:val="top"/>
          </w:tcPr>
          <w:p>
            <w:pPr>
              <w:spacing w:before="0" w:after="35" w:line="240" w:lineRule="auto"/>
            </w:pPr>
            <w:r>
              <w:rPr>
                <w:sz w:val="19"/>
              </w:rPr>
              <w:t xml:space="preserve">Sistem yapısını belirleme</w:t>
            </w:r>
          </w:p>
        </w:tc>
        <w:tc>
          <w:tcPr>
            <w:tcW w:w="6939" w:type="dxa"/>
            <w:vAlign w:val="top"/>
          </w:tcPr>
          <w:p>
            <w:pPr>
              <w:spacing w:before="0" w:after="35" w:line="240" w:lineRule="auto"/>
            </w:pPr>
            <w:r>
              <w:rPr>
                <w:sz w:val="19"/>
              </w:rPr>
              <w:t xml:space="preserve">g = 0.447</w:t>
            </w:r>
          </w:p>
        </w:tc>
      </w:tr>
      <w:tr>
        <w:trPr>
          <w:cantSplit/>
        </w:trPr>
        <w:tc>
          <w:tcPr>
            <w:tcW w:w="2699" w:type="dxa"/>
            <w:vAlign w:val="top"/>
          </w:tcPr>
          <w:p>
            <w:pPr>
              <w:spacing w:before="0" w:after="35" w:line="240" w:lineRule="auto"/>
            </w:pPr>
            <w:r>
              <w:rPr>
                <w:sz w:val="19"/>
              </w:rPr>
              <w:t xml:space="preserve">Sistem davranışını çözümleme</w:t>
            </w:r>
          </w:p>
        </w:tc>
        <w:tc>
          <w:tcPr>
            <w:tcW w:w="6939" w:type="dxa"/>
            <w:vAlign w:val="top"/>
          </w:tcPr>
          <w:p>
            <w:pPr>
              <w:spacing w:before="0" w:after="35" w:line="240" w:lineRule="auto"/>
            </w:pPr>
            <w:r>
              <w:rPr>
                <w:sz w:val="19"/>
              </w:rPr>
              <w:t xml:space="preserve">g = 0.318</w:t>
            </w:r>
          </w:p>
        </w:tc>
      </w:tr>
    </w:tbl>
    <w:p>
      <w:pPr>
        <w:spacing w:after="50"/>
      </w:pPr>
    </w:p>
    <w:p>
      <w:pPr/>
      <w:r>
        <w:t xml:space="preserve">Bu sonuçlar, incelenen eğitim bağlamlarında sistem düşüncesinin öğretilebilirliğini destekler. Ancak K–16 aralığının birlikte değerlendirilmesi nedeniyle genel etki küçük çocuklara veya tek bir yaşa mal edilemez. Çalışmaların ağırlıklı olarak fen eğitimi ve hesaplamalı modellemeye dayanması, her yaşta ve her alanda aynı etkinin beklenmesini de engeller.</w:t>
      </w:r>
    </w:p>
    <w:p>
      <w:pPr/>
      <w:r>
        <w:t xml:space="preserve">Aynı meta-analizde düşük karmaşıklıktaki hesaplamalı modelleme araçları daha güçlü etkilerle ilişkilendirilmiştir. Özellikle ajan tabanlı blok modeller ve pencere tabanlı uygulamalar daha olumlu sonuçlar göstermiştir. Bu bulgu, yalnızca teknolojik karmaşıklığın artırılmasının daha iyi öğrenme anlamına gelmediğini düşündürür. Modelleme; bileşenleri ve ilişkileri belirleme, kuralları oluşturma, modeli çalıştırma, davranışı gözleme, beklentiyle uyuşmayan sonuçlara göre modeli düzeltme ve yeni senaryoları sınama döngüsünü destekleyebilir.</w:t>
      </w:r>
    </w:p>
    <w:p>
      <w:pPr/>
      <w:r>
        <w:t xml:space="preserve">11–12 yaş çocuklarla yürütülmüş simülasyon temelli araştırmalar, dinamik sistem ilişkilerinin anlaşılmasının desteklenebildiğini bildirmektedir. Ayrıca 2026'da beşinci sınıflarla yapılan bir çalışma, simülasyon temelli fen öğretiminin sistem düşüncesi ve problem çözme algısı üzerindeki etkilerini incelemiştir; bu çalışma için sonuç yönü veya etki büyüklüğü belirtilmemiştir. Simülasyonu izlemek ile simülasyon üzerinde neden–sonuç hipotezlerini sınamak birbirinden ayrılmalıdır.</w:t>
      </w:r>
    </w:p>
    <w:p>
      <w:pPr/>
      <w:r>
        <w:t xml:space="preserve">Doğrudan sistem düşüncesine odaklanan oyun araştırmaları, problem çözme ve yaratıcılık literatürüne göre daha sınırlıdır. Akcaoglu ve Green'in (2019) küçük ölçekli yarı deneysel çalışmasında 19 ortaokul öğrencisi bir akademik yıl boyunca haftalık oyun tasarımı programına katılmıştır. Sistem analizi ve tasarımı becerilerinde kontrol grubuna göre anlamlı gelişme görülmüştür: F(1,33) = 16.516, p &lt; .001 (DOI: 10.1007/s11423-018-9596-8). Müdahale oyun oynamaya değil, oyun tasarlamaya dayanmaktadır. Tasarım süreci kuralların, ilişkilerin, geri bildirimin, dengenin, dinamik davranışın ve beklenmeyen sonuçların birlikte değerlendirilmesini gerektirebilir. Öğrenciler görüşmelerde geliştirdikleri sistem analizi becerilerini farklı problem bağlamlarına nasıl taşıdıklarını açıklayabilmiştir; bu sonuç güçlü ve genel bir uzak transfer kanıtı olarak yorumlanmamalıdır.</w:t>
      </w:r>
    </w:p>
    <w:p>
      <w:pPr>
        <w:pStyle w:val="Heading3"/>
      </w:pPr>
      <w:r>
        <w:t xml:space="preserve">Ölçme, alan bağımlılığı ve transfer</w:t>
      </w:r>
    </w:p>
    <w:p>
      <w:pPr/>
      <w:r>
        <w:t xml:space="preserve">Sistem düşüncesinin ölçülmesinde kavram haritaları, nedensel döngü diyagramları, görüşmeler, çizim görevleri, senaryo soruları, çoktan seçmeli yeterlik testleri, sistem modelleri, simülasyon görevleri ve nitel dereceli puanlama anahtarları kullanılmaktadır. Feriver ve diğerlerinin okul öncesi çalışmasında sekiz boyutlu Systems Thinking Developmental Rubric for K-Level geliştirilmiştir. Mehren ve diğerleri (2018) ise coğrafya alanında psikometrik olarak sınanmış bir sistem yeterliği modeli sunmuştur. En iyi uyumu gösteren model, sistemin organizasyonu ve davranışı ile sisteme uygun eylem niyeti olmak üzere iki ana boyut içermektedir (DOI: 10.1002/tea.21436). Bu çalışmalar ölçmenin mümkün olduğunu gösterse de yaş ve konu alanı bağımlılığı sürmektedir.</w:t>
      </w:r>
    </w:p>
    <w:p>
      <w:pPr/>
      <w:r>
        <w:t xml:space="preserve">Mambrey ve diğerleri (2020), 5. ve 6. sınıflardaki 196 öğrenciye 36 maddelik bir sistem düşüncesi testi uygulamış; sistem organizasyonu, sistem davranışı ve sistem modelleme becerilerini doğrulamıştır. Çalışma, sistemin kendine özgü özelliklerinin performans üzerindeki rolünü incelemektedir (DOI: 10.1002/tea.21649). Dolayısıyla ekosistem bağlamındaki başarı, ekonomik veya sosyal sistemlerde eşdeğer başarı anlamına gelmez. Alan bilgisi ve sistem özellikleri dikkate alınmadan tek bir toplam puanla genel yeterlik çıkarımı yapmak aşırı basitleştirme olabilir.</w:t>
      </w:r>
    </w:p>
    <w:p>
      <w:pPr/>
      <w:r>
        <w:t xml:space="preserve">Assaraf–Orion çalışmalarında gelişim yer sistemleri bağlamında gösterilmiştir; oyun tasarımı araştırmasındaki transfer açıklamaları da görüşme verisine dayanmaktadır. Bir alanda öğrenilen sistem düşüncesinin içerik bakımından farklı, yapısal olarak benzer sistemlere aktarımına ilişkin güçlü uzak transfer kanıtı henüz sınırlıdır. Yüzey benzerliği ile ortak nedensel veya geri bildirim yapısını tanıma birbirinden ayrılmalıdır.</w:t>
      </w:r>
    </w:p>
    <w:p>
      <w:pPr/>
      <w:r>
        <w:t xml:space="preserve">Dijital süreç verileri için önerilen göstergeler aşağıda özetlenmiştir. Bunlar doğrulanmış yeterlik ölçümleri değil, dış ölçütlerle ilişkisi sınanması gereken olası göstergelerdir.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Gözlenebilir davranış</w:t>
            </w:r>
          </w:p>
        </w:tc>
        <w:tc>
          <w:tcPr>
            <w:tcW w:w="6939" w:type="dxa"/>
            <w:vAlign w:val="top"/>
            <w:shd w:fill="E9EEF3" w:val="clear"/>
          </w:tcPr>
          <w:p>
            <w:pPr>
              <w:spacing w:before="0" w:after="35" w:line="240" w:lineRule="auto"/>
            </w:pPr>
            <w:r>
              <w:rPr>
                <w:b/>
                <w:sz w:val="19"/>
              </w:rPr>
              <w:t xml:space="preserve">Olası sistem düşüncesi göstergesi</w:t>
            </w:r>
          </w:p>
        </w:tc>
      </w:tr>
      <w:tr>
        <w:trPr>
          <w:cantSplit/>
        </w:trPr>
        <w:tc>
          <w:tcPr>
            <w:tcW w:w="2699" w:type="dxa"/>
            <w:vAlign w:val="top"/>
          </w:tcPr>
          <w:p>
            <w:pPr>
              <w:spacing w:before="0" w:after="35" w:line="240" w:lineRule="auto"/>
            </w:pPr>
            <w:r>
              <w:rPr>
                <w:sz w:val="19"/>
              </w:rPr>
              <w:t xml:space="preserve">İncelenen bileşenlerin kapsamı</w:t>
            </w:r>
          </w:p>
        </w:tc>
        <w:tc>
          <w:tcPr>
            <w:tcW w:w="6939" w:type="dxa"/>
            <w:vAlign w:val="top"/>
          </w:tcPr>
          <w:p>
            <w:pPr>
              <w:spacing w:before="0" w:after="35" w:line="240" w:lineRule="auto"/>
            </w:pPr>
            <w:r>
              <w:rPr>
                <w:sz w:val="19"/>
              </w:rPr>
              <w:t xml:space="preserve">Sistem kapsamı</w:t>
            </w:r>
          </w:p>
        </w:tc>
      </w:tr>
      <w:tr>
        <w:trPr>
          <w:cantSplit/>
        </w:trPr>
        <w:tc>
          <w:tcPr>
            <w:tcW w:w="2699" w:type="dxa"/>
            <w:vAlign w:val="top"/>
          </w:tcPr>
          <w:p>
            <w:pPr>
              <w:spacing w:before="0" w:after="35" w:line="240" w:lineRule="auto"/>
            </w:pPr>
            <w:r>
              <w:rPr>
                <w:sz w:val="19"/>
              </w:rPr>
              <w:t xml:space="preserve">Birden fazla nedeni değerlendirme</w:t>
            </w:r>
          </w:p>
        </w:tc>
        <w:tc>
          <w:tcPr>
            <w:tcW w:w="6939" w:type="dxa"/>
            <w:vAlign w:val="top"/>
          </w:tcPr>
          <w:p>
            <w:pPr>
              <w:spacing w:before="0" w:after="35" w:line="240" w:lineRule="auto"/>
            </w:pPr>
            <w:r>
              <w:rPr>
                <w:sz w:val="19"/>
              </w:rPr>
              <w:t xml:space="preserve">Nedensel karmaşıklık</w:t>
            </w:r>
          </w:p>
        </w:tc>
      </w:tr>
      <w:tr>
        <w:trPr>
          <w:cantSplit/>
        </w:trPr>
        <w:tc>
          <w:tcPr>
            <w:tcW w:w="2699" w:type="dxa"/>
            <w:vAlign w:val="top"/>
          </w:tcPr>
          <w:p>
            <w:pPr>
              <w:spacing w:before="0" w:after="35" w:line="240" w:lineRule="auto"/>
            </w:pPr>
            <w:r>
              <w:rPr>
                <w:sz w:val="19"/>
              </w:rPr>
              <w:t xml:space="preserve">İkinci düzey sonuçları inceleme</w:t>
            </w:r>
          </w:p>
        </w:tc>
        <w:tc>
          <w:tcPr>
            <w:tcW w:w="6939" w:type="dxa"/>
            <w:vAlign w:val="top"/>
          </w:tcPr>
          <w:p>
            <w:pPr>
              <w:spacing w:before="0" w:after="35" w:line="240" w:lineRule="auto"/>
            </w:pPr>
            <w:r>
              <w:rPr>
                <w:sz w:val="19"/>
              </w:rPr>
              <w:t xml:space="preserve">Sonuçlar üzerine akıl yürütme</w:t>
            </w:r>
          </w:p>
        </w:tc>
      </w:tr>
      <w:tr>
        <w:trPr>
          <w:cantSplit/>
        </w:trPr>
        <w:tc>
          <w:tcPr>
            <w:tcW w:w="2699" w:type="dxa"/>
            <w:vAlign w:val="top"/>
          </w:tcPr>
          <w:p>
            <w:pPr>
              <w:spacing w:before="0" w:after="35" w:line="240" w:lineRule="auto"/>
            </w:pPr>
            <w:r>
              <w:rPr>
                <w:sz w:val="19"/>
              </w:rPr>
              <w:t xml:space="preserve">Zaman içindeki değişimi inceleme</w:t>
            </w:r>
          </w:p>
        </w:tc>
        <w:tc>
          <w:tcPr>
            <w:tcW w:w="6939" w:type="dxa"/>
            <w:vAlign w:val="top"/>
          </w:tcPr>
          <w:p>
            <w:pPr>
              <w:spacing w:before="0" w:after="35" w:line="240" w:lineRule="auto"/>
            </w:pPr>
            <w:r>
              <w:rPr>
                <w:sz w:val="19"/>
              </w:rPr>
              <w:t xml:space="preserve">Dinamik düşünme</w:t>
            </w:r>
          </w:p>
        </w:tc>
      </w:tr>
      <w:tr>
        <w:trPr>
          <w:cantSplit/>
        </w:trPr>
        <w:tc>
          <w:tcPr>
            <w:tcW w:w="2699" w:type="dxa"/>
            <w:vAlign w:val="top"/>
          </w:tcPr>
          <w:p>
            <w:pPr>
              <w:spacing w:before="0" w:after="35" w:line="240" w:lineRule="auto"/>
            </w:pPr>
            <w:r>
              <w:rPr>
                <w:sz w:val="19"/>
              </w:rPr>
              <w:t xml:space="preserve">Geri bildirim döngüsünü fark etme</w:t>
            </w:r>
          </w:p>
        </w:tc>
        <w:tc>
          <w:tcPr>
            <w:tcW w:w="6939" w:type="dxa"/>
            <w:vAlign w:val="top"/>
          </w:tcPr>
          <w:p>
            <w:pPr>
              <w:spacing w:before="0" w:after="35" w:line="240" w:lineRule="auto"/>
            </w:pPr>
            <w:r>
              <w:rPr>
                <w:sz w:val="19"/>
              </w:rPr>
              <w:t xml:space="preserve">Geri bildirim üzerine akıl yürütme</w:t>
            </w:r>
          </w:p>
        </w:tc>
      </w:tr>
      <w:tr>
        <w:trPr>
          <w:cantSplit/>
        </w:trPr>
        <w:tc>
          <w:tcPr>
            <w:tcW w:w="2699" w:type="dxa"/>
            <w:vAlign w:val="top"/>
          </w:tcPr>
          <w:p>
            <w:pPr>
              <w:spacing w:before="0" w:after="35" w:line="240" w:lineRule="auto"/>
            </w:pPr>
            <w:r>
              <w:rPr>
                <w:sz w:val="19"/>
              </w:rPr>
              <w:t xml:space="preserve">Birden fazla değişkeni birlikte değiştirme</w:t>
            </w:r>
          </w:p>
        </w:tc>
        <w:tc>
          <w:tcPr>
            <w:tcW w:w="6939" w:type="dxa"/>
            <w:vAlign w:val="top"/>
          </w:tcPr>
          <w:p>
            <w:pPr>
              <w:spacing w:before="0" w:after="35" w:line="240" w:lineRule="auto"/>
            </w:pPr>
            <w:r>
              <w:rPr>
                <w:sz w:val="19"/>
              </w:rPr>
              <w:t xml:space="preserve">Çok değişkenli akıl yürütme</w:t>
            </w:r>
          </w:p>
        </w:tc>
      </w:tr>
      <w:tr>
        <w:trPr>
          <w:cantSplit/>
        </w:trPr>
        <w:tc>
          <w:tcPr>
            <w:tcW w:w="2699" w:type="dxa"/>
            <w:vAlign w:val="top"/>
          </w:tcPr>
          <w:p>
            <w:pPr>
              <w:spacing w:before="0" w:after="35" w:line="240" w:lineRule="auto"/>
            </w:pPr>
            <w:r>
              <w:rPr>
                <w:sz w:val="19"/>
              </w:rPr>
              <w:t xml:space="preserve">Müdahale sonrasında modeli yeniden kurma</w:t>
            </w:r>
          </w:p>
        </w:tc>
        <w:tc>
          <w:tcPr>
            <w:tcW w:w="6939" w:type="dxa"/>
            <w:vAlign w:val="top"/>
          </w:tcPr>
          <w:p>
            <w:pPr>
              <w:spacing w:before="0" w:after="35" w:line="240" w:lineRule="auto"/>
            </w:pPr>
            <w:r>
              <w:rPr>
                <w:sz w:val="19"/>
              </w:rPr>
              <w:t xml:space="preserve">Uyarlanabilir sistem modelleme</w:t>
            </w:r>
          </w:p>
        </w:tc>
      </w:tr>
      <w:tr>
        <w:trPr>
          <w:cantSplit/>
        </w:trPr>
        <w:tc>
          <w:tcPr>
            <w:tcW w:w="2699" w:type="dxa"/>
            <w:vAlign w:val="top"/>
          </w:tcPr>
          <w:p>
            <w:pPr>
              <w:spacing w:before="0" w:after="35" w:line="240" w:lineRule="auto"/>
            </w:pPr>
            <w:r>
              <w:rPr>
                <w:sz w:val="19"/>
              </w:rPr>
              <w:t xml:space="preserve">Kısa ve uzun vadeyi karşılaştırma</w:t>
            </w:r>
          </w:p>
        </w:tc>
        <w:tc>
          <w:tcPr>
            <w:tcW w:w="6939" w:type="dxa"/>
            <w:vAlign w:val="top"/>
          </w:tcPr>
          <w:p>
            <w:pPr>
              <w:spacing w:before="0" w:after="35" w:line="240" w:lineRule="auto"/>
            </w:pPr>
            <w:r>
              <w:rPr>
                <w:sz w:val="19"/>
              </w:rPr>
              <w:t xml:space="preserve">Zamansal sistem akıl yürütmesi</w:t>
            </w:r>
          </w:p>
        </w:tc>
      </w:tr>
      <w:tr>
        <w:trPr>
          <w:cantSplit/>
        </w:trPr>
        <w:tc>
          <w:tcPr>
            <w:tcW w:w="2699" w:type="dxa"/>
            <w:vAlign w:val="top"/>
          </w:tcPr>
          <w:p>
            <w:pPr>
              <w:spacing w:before="0" w:after="35" w:line="240" w:lineRule="auto"/>
            </w:pPr>
            <w:r>
              <w:rPr>
                <w:sz w:val="19"/>
              </w:rPr>
              <w:t xml:space="preserve">Beklenmeyen sonucu fark etme</w:t>
            </w:r>
          </w:p>
        </w:tc>
        <w:tc>
          <w:tcPr>
            <w:tcW w:w="6939" w:type="dxa"/>
            <w:vAlign w:val="top"/>
          </w:tcPr>
          <w:p>
            <w:pPr>
              <w:spacing w:before="0" w:after="35" w:line="240" w:lineRule="auto"/>
            </w:pPr>
            <w:r>
              <w:rPr>
                <w:sz w:val="19"/>
              </w:rPr>
              <w:t xml:space="preserve">Öngörülmeyen sonuç farkındalığı</w:t>
            </w:r>
          </w:p>
        </w:tc>
      </w:tr>
      <w:tr>
        <w:trPr>
          <w:cantSplit/>
        </w:trPr>
        <w:tc>
          <w:tcPr>
            <w:tcW w:w="2699" w:type="dxa"/>
            <w:vAlign w:val="top"/>
          </w:tcPr>
          <w:p>
            <w:pPr>
              <w:spacing w:before="0" w:after="35" w:line="240" w:lineRule="auto"/>
            </w:pPr>
            <w:r>
              <w:rPr>
                <w:sz w:val="19"/>
              </w:rPr>
              <w:t xml:space="preserve">Sınırlı müdahaleyle yüksek etki sağlayan noktayı bulma</w:t>
            </w:r>
          </w:p>
        </w:tc>
        <w:tc>
          <w:tcPr>
            <w:tcW w:w="6939" w:type="dxa"/>
            <w:vAlign w:val="top"/>
          </w:tcPr>
          <w:p>
            <w:pPr>
              <w:spacing w:before="0" w:after="35" w:line="240" w:lineRule="auto"/>
            </w:pPr>
            <w:r>
              <w:rPr>
                <w:sz w:val="19"/>
              </w:rPr>
              <w:t xml:space="preserve">Kaldıraç noktası üzerine akıl yürütme</w:t>
            </w:r>
          </w:p>
        </w:tc>
      </w:tr>
    </w:tbl>
    <w:p>
      <w:pPr>
        <w:spacing w:after="50"/>
      </w:pPr>
    </w:p>
    <w:p>
      <w:pPr/>
      <w:r>
        <w:t xml:space="preserve">Ölçme araçlarının farklı yapıları yakalaması ve ortak bir K–12 standardının bulunmaması, dijital davranışlardan genel yeterlik çıkarımını sınırlandırmaktadır.</w:t>
      </w:r>
    </w:p>
    <w:p>
      <w:pPr>
        <w:pStyle w:val="Heading3"/>
      </w:pPr>
      <w:r>
        <w:t xml:space="preserve">Eğitim çerçeveleri ve Türkiye bağlamı</w:t>
      </w:r>
    </w:p>
    <w:p>
      <w:pPr/>
      <w:r>
        <w:t xml:space="preserve">Türkiye Yüzyılı Maarif Modeli, “Sistem Düşüncesi ve Okuryazarlık Becerileri” başlığı altında sistem düşüncesini karmaşıklığı anlamanın ve yönetmenin aracı olarak ele almakta, okul öncesinden itibaren sarmal biçimde geliştirmeyi hedeflemektedir. Modeldeki sistem okuryazarlığı yapısı; sistemin parçalarını belirleme, sistemi ve bileşenlerini çözümleme, sistemi yapılandırma, sistem davranışını öngören araçları kullanma veya oluşturma, sistemdeki problemleri çözme ve sürdürülebilir çözümleri eyleme dönüştürme süreçlerini kapsamaktadır.</w:t>
      </w:r>
    </w:p>
    <w:p>
      <w:pPr/>
      <w:r>
        <w:t xml:space="preserve">MEB, sistem düşüncesini tek bir dersle sınırlamamakta; bilgi, dijital, finansal, görsel, kültür, vatandaşlık, veri, sürdürülebilirlik ve sanat okuryazarlıklarını bu bağlamda ilişkilendirmektedir. Bu yapı, sistem düşüncesinin farklı içerik alanları arasında bağ kuran niteliğiyle uyumludur.</w:t>
      </w:r>
    </w:p>
    <w:p>
      <w:pPr/>
      <w:r>
        <w:t xml:space="preserve">GreenComp'ta sistem düşüncesi, eleştirel düşünme ve problem çerçeveleme ile birlikte “Sürdürülebilirlikte Karmaşıklığı Kucaklama” alanındaki üç temel yeterlilikten biridir (Bianchi ve diğerleri, 2022). PISA 2025 Fen Çerçevesi ise çevresel ve sosyal-ekolojik problemlerde yaratıcı düşünme ve sistem düşüncesinin kullanılmasını; çözüm yollarının mevcut ve gelecek kuşaklar üzerindeki etkilerinin değerlendirilmesini beklemektedir.</w:t>
      </w:r>
    </w:p>
    <w:p>
      <w:pPr>
        <w:pStyle w:val="Heading3"/>
      </w:pPr>
      <w:r>
        <w:t xml:space="preserve">Kanıt değerlendirmesi ve araştırma sınırları</w:t>
      </w:r>
    </w:p>
    <w:p>
      <w:pPr/>
      <w:r>
        <w:t xml:space="preserve">Sistem düşüncesi, güçlü bir kuramsal temele ve hesaplamalı modelleme alanında olumlu nicel senteze sahiptir. Bununla birlikte çocuk müdahale literatürü eleştirel düşünme ve problem çözme kadar geniş değildir. Özellikle ilkokulun ilk yıllarında örneklem havuzu, gelişimsel sıralamanın açıklığı, geri bildirim ve uzun dönemli dinamiklerin anlaşılması, alanlar arası transfer ve dijital süreç ölçümlerinin geçerliği başlıca araştırma boşluklarıdır. Oyun ve simülasyon bulguları olumlu örnekler sunsa da doğrudan sistem düşüncesi müdahalelerine ilişkin kanıt havuzu sınırlıdır.</w:t>
      </w:r>
    </w:p>
    <w:p>
      <w:pPr/>
      <w:r>
        <w:t xml:space="preserve">Aşağıdaki Ön Kanıt Puanı (Evidence Score), bu rapora ait araştırmacı kodlamasıdır; standartlaştırılmış bir ölçek veya meta-analitik sonuç değildir.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891"/>
        <w:gridCol w:w="1157"/>
        <w:gridCol w:w="5590"/>
      </w:tblGrid>
      <w:tr>
        <w:trPr>
          <w:cantSplit/>
          <w:tblHeader/>
        </w:trPr>
        <w:tc>
          <w:tcPr>
            <w:tcW w:w="2891" w:type="dxa"/>
            <w:vAlign w:val="top"/>
            <w:shd w:fill="E9EEF3" w:val="clear"/>
          </w:tcPr>
          <w:p>
            <w:pPr>
              <w:spacing w:before="0" w:after="35" w:line="240" w:lineRule="auto"/>
            </w:pPr>
            <w:r>
              <w:rPr>
                <w:b/>
                <w:sz w:val="19"/>
              </w:rPr>
              <w:t xml:space="preserve">Ölçüt</w:t>
            </w:r>
          </w:p>
        </w:tc>
        <w:tc>
          <w:tcPr>
            <w:tcW w:w="1157" w:type="dxa"/>
            <w:vAlign w:val="top"/>
            <w:shd w:fill="E9EEF3" w:val="clear"/>
          </w:tcPr>
          <w:p>
            <w:pPr>
              <w:spacing w:before="0" w:after="35" w:line="240" w:lineRule="auto"/>
            </w:pPr>
            <w:r>
              <w:rPr>
                <w:b/>
                <w:sz w:val="19"/>
              </w:rPr>
              <w:t xml:space="preserve">Puan</w:t>
            </w:r>
          </w:p>
        </w:tc>
        <w:tc>
          <w:tcPr>
            <w:tcW w:w="5590" w:type="dxa"/>
            <w:vAlign w:val="top"/>
            <w:shd w:fill="E9EEF3" w:val="clear"/>
          </w:tcPr>
          <w:p>
            <w:pPr>
              <w:spacing w:before="0" w:after="35" w:line="240" w:lineRule="auto"/>
            </w:pPr>
            <w:r>
              <w:rPr>
                <w:b/>
                <w:sz w:val="19"/>
              </w:rPr>
              <w:t xml:space="preserve">Kısa gerekçe</w:t>
            </w:r>
          </w:p>
        </w:tc>
      </w:tr>
      <w:tr>
        <w:trPr>
          <w:cantSplit/>
        </w:trPr>
        <w:tc>
          <w:tcPr>
            <w:tcW w:w="2891" w:type="dxa"/>
            <w:vAlign w:val="top"/>
          </w:tcPr>
          <w:p>
            <w:pPr>
              <w:spacing w:before="0" w:after="35" w:line="240" w:lineRule="auto"/>
            </w:pPr>
            <w:r>
              <w:rPr>
                <w:sz w:val="19"/>
              </w:rPr>
              <w:t xml:space="preserve">Future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Karmaşıklık, sürdürülebilirlik ve problem çözmeyle ilişkili</w:t>
            </w:r>
          </w:p>
        </w:tc>
      </w:tr>
      <w:tr>
        <w:trPr>
          <w:cantSplit/>
        </w:trPr>
        <w:tc>
          <w:tcPr>
            <w:tcW w:w="2891" w:type="dxa"/>
            <w:vAlign w:val="top"/>
          </w:tcPr>
          <w:p>
            <w:pPr>
              <w:spacing w:before="0" w:after="35" w:line="240" w:lineRule="auto"/>
            </w:pPr>
            <w:r>
              <w:rPr>
                <w:sz w:val="19"/>
              </w:rPr>
              <w:t xml:space="preserve">Policy/framework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GreenComp, PISA 2025 ve MEB'de açık karşılığı var</w:t>
            </w:r>
          </w:p>
        </w:tc>
      </w:tr>
      <w:tr>
        <w:trPr>
          <w:cantSplit/>
        </w:trPr>
        <w:tc>
          <w:tcPr>
            <w:tcW w:w="2891" w:type="dxa"/>
            <w:vAlign w:val="top"/>
          </w:tcPr>
          <w:p>
            <w:pPr>
              <w:spacing w:before="0" w:after="35" w:line="240" w:lineRule="auto"/>
            </w:pPr>
            <w:r>
              <w:rPr>
                <w:sz w:val="19"/>
              </w:rPr>
              <w:t xml:space="preserve">Overall academic evidence</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Kuramsal literatür ve güncel meta-analiz mevcut</w:t>
            </w:r>
          </w:p>
        </w:tc>
      </w:tr>
      <w:tr>
        <w:trPr>
          <w:cantSplit/>
        </w:trPr>
        <w:tc>
          <w:tcPr>
            <w:tcW w:w="2891" w:type="dxa"/>
            <w:vAlign w:val="top"/>
          </w:tcPr>
          <w:p>
            <w:pPr>
              <w:spacing w:before="0" w:after="35" w:line="240" w:lineRule="auto"/>
            </w:pPr>
            <w:r>
              <w:rPr>
                <w:sz w:val="19"/>
              </w:rPr>
              <w:t xml:space="preserve">Teachability</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Müdahale ve hesaplamalı modelleme bulguları olumlu</w:t>
            </w:r>
          </w:p>
        </w:tc>
      </w:tr>
      <w:tr>
        <w:trPr>
          <w:cantSplit/>
        </w:trPr>
        <w:tc>
          <w:tcPr>
            <w:tcW w:w="2891" w:type="dxa"/>
            <w:vAlign w:val="top"/>
          </w:tcPr>
          <w:p>
            <w:pPr>
              <w:spacing w:before="0" w:after="35" w:line="240" w:lineRule="auto"/>
            </w:pPr>
            <w:r>
              <w:rPr>
                <w:sz w:val="19"/>
              </w:rPr>
              <w:t xml:space="preserve">Young-child evidence</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Okul öncesi ve ilkokul kanıt havuzu sınırlı</w:t>
            </w:r>
          </w:p>
        </w:tc>
      </w:tr>
      <w:tr>
        <w:trPr>
          <w:cantSplit/>
        </w:trPr>
        <w:tc>
          <w:tcPr>
            <w:tcW w:w="2891" w:type="dxa"/>
            <w:vAlign w:val="top"/>
          </w:tcPr>
          <w:p>
            <w:pPr>
              <w:spacing w:before="0" w:after="35" w:line="240" w:lineRule="auto"/>
            </w:pPr>
            <w:r>
              <w:rPr>
                <w:sz w:val="19"/>
              </w:rPr>
              <w:t xml:space="preserve">Developmental clarity</w:t>
            </w:r>
          </w:p>
        </w:tc>
        <w:tc>
          <w:tcPr>
            <w:tcW w:w="1157" w:type="dxa"/>
            <w:vAlign w:val="top"/>
          </w:tcPr>
          <w:p>
            <w:pPr>
              <w:spacing w:before="0" w:after="35" w:line="240" w:lineRule="auto"/>
            </w:pPr>
            <w:r>
              <w:rPr>
                <w:sz w:val="19"/>
              </w:rPr>
              <w:t xml:space="preserve">3/5</w:t>
            </w:r>
          </w:p>
        </w:tc>
        <w:tc>
          <w:tcPr>
            <w:tcW w:w="5590" w:type="dxa"/>
            <w:vAlign w:val="top"/>
          </w:tcPr>
          <w:p>
            <w:pPr>
              <w:spacing w:before="0" w:after="35" w:line="240" w:lineRule="auto"/>
            </w:pPr>
            <w:r>
              <w:rPr>
                <w:sz w:val="19"/>
              </w:rPr>
              <w:t xml:space="preserve">Kesin yaş sıralamaları yeterince belirgin değil</w:t>
            </w:r>
          </w:p>
        </w:tc>
      </w:tr>
      <w:tr>
        <w:trPr>
          <w:cantSplit/>
        </w:trPr>
        <w:tc>
          <w:tcPr>
            <w:tcW w:w="2891" w:type="dxa"/>
            <w:vAlign w:val="top"/>
          </w:tcPr>
          <w:p>
            <w:pPr>
              <w:spacing w:before="0" w:after="35" w:line="240" w:lineRule="auto"/>
            </w:pPr>
            <w:r>
              <w:rPr>
                <w:sz w:val="19"/>
              </w:rPr>
              <w:t xml:space="preserve">Measurability</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Doğrulanmış modeller var; yapı ve alan çeşitliliği yüksek</w:t>
            </w:r>
          </w:p>
        </w:tc>
      </w:tr>
      <w:tr>
        <w:trPr>
          <w:cantSplit/>
        </w:trPr>
        <w:tc>
          <w:tcPr>
            <w:tcW w:w="2891" w:type="dxa"/>
            <w:vAlign w:val="top"/>
          </w:tcPr>
          <w:p>
            <w:pPr>
              <w:spacing w:before="0" w:after="35" w:line="240" w:lineRule="auto"/>
            </w:pPr>
            <w:r>
              <w:rPr>
                <w:sz w:val="19"/>
              </w:rPr>
              <w:t xml:space="preserve">Transfer evidence</w:t>
            </w:r>
          </w:p>
        </w:tc>
        <w:tc>
          <w:tcPr>
            <w:tcW w:w="1157" w:type="dxa"/>
            <w:vAlign w:val="top"/>
          </w:tcPr>
          <w:p>
            <w:pPr>
              <w:spacing w:before="0" w:after="35" w:line="240" w:lineRule="auto"/>
            </w:pPr>
            <w:r>
              <w:rPr>
                <w:sz w:val="19"/>
              </w:rPr>
              <w:t xml:space="preserve">3/5</w:t>
            </w:r>
          </w:p>
        </w:tc>
        <w:tc>
          <w:tcPr>
            <w:tcW w:w="5590" w:type="dxa"/>
            <w:vAlign w:val="top"/>
          </w:tcPr>
          <w:p>
            <w:pPr>
              <w:spacing w:before="0" w:after="35" w:line="240" w:lineRule="auto"/>
            </w:pPr>
            <w:r>
              <w:rPr>
                <w:sz w:val="19"/>
              </w:rPr>
              <w:t xml:space="preserve">Kanıt henüz yeterince güçlü değil</w:t>
            </w:r>
          </w:p>
        </w:tc>
      </w:tr>
      <w:tr>
        <w:trPr>
          <w:cantSplit/>
        </w:trPr>
        <w:tc>
          <w:tcPr>
            <w:tcW w:w="2891" w:type="dxa"/>
            <w:vAlign w:val="top"/>
          </w:tcPr>
          <w:p>
            <w:pPr>
              <w:spacing w:before="0" w:after="35" w:line="240" w:lineRule="auto"/>
            </w:pPr>
            <w:r>
              <w:rPr>
                <w:sz w:val="19"/>
              </w:rPr>
              <w:t xml:space="preserve">Digital suitability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Simülasyon ve modellemeye uygun</w:t>
            </w:r>
          </w:p>
        </w:tc>
      </w:tr>
      <w:tr>
        <w:trPr>
          <w:cantSplit/>
        </w:trPr>
        <w:tc>
          <w:tcPr>
            <w:tcW w:w="2891" w:type="dxa"/>
            <w:vAlign w:val="top"/>
          </w:tcPr>
          <w:p>
            <w:pPr>
              <w:spacing w:before="0" w:after="35" w:line="240" w:lineRule="auto"/>
            </w:pPr>
            <w:r>
              <w:rPr>
                <w:sz w:val="19"/>
              </w:rPr>
              <w:t xml:space="preserve">Game suitability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Geri bildirim, sonuçlar ve kaynak sistemleriyle ilişkili</w:t>
            </w:r>
          </w:p>
        </w:tc>
      </w:tr>
      <w:tr>
        <w:trPr>
          <w:cantSplit/>
        </w:trPr>
        <w:tc>
          <w:tcPr>
            <w:tcW w:w="2891" w:type="dxa"/>
            <w:vAlign w:val="top"/>
          </w:tcPr>
          <w:p>
            <w:pPr>
              <w:spacing w:before="0" w:after="35" w:line="240" w:lineRule="auto"/>
            </w:pPr>
            <w:r>
              <w:rPr>
                <w:sz w:val="19"/>
              </w:rPr>
              <w:t xml:space="preserve">AI-era relevance</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İnsan–teknoloji sistemlerini anlamayla ilişkili</w:t>
            </w:r>
          </w:p>
        </w:tc>
      </w:tr>
      <w:tr>
        <w:trPr>
          <w:cantSplit/>
        </w:trPr>
        <w:tc>
          <w:tcPr>
            <w:tcW w:w="2891" w:type="dxa"/>
            <w:vAlign w:val="top"/>
          </w:tcPr>
          <w:p>
            <w:pPr>
              <w:spacing w:before="0" w:after="35" w:line="240" w:lineRule="auto"/>
            </w:pPr>
            <w:r>
              <w:rPr>
                <w:sz w:val="19"/>
              </w:rPr>
              <w:t xml:space="preserve">Research-opportunity potential</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Küçük çocuklar, transfer ve süreç ölçümünde boşluklar var</w:t>
            </w:r>
          </w:p>
        </w:tc>
      </w:tr>
    </w:tbl>
    <w:p>
      <w:pPr>
        <w:spacing w:after="50"/>
      </w:pPr>
    </w:p>
    <w:p>
      <w:pPr/>
      <w:r>
        <w:t xml:space="preserve">Genel değerlendirme, sistem düşüncesinin güçlü ve yüksek araştırma potansiyeline sahip bir alan olduğudur. En belirgin araştırma yönü, çocukların sistem bileşenlerini ve ilişkilerini inceleme, müdahalede bulunma, sonuçları gözleme ve nedensel modellerini değiştirme süreçlerinin nasıl geliştiğini belirlemektir. Eleştirel düşünme, problem çözme, yaratıcılık ve üstbilişle kesişen ortak süreçlerin sentezi A3'te ele alınmaktadır.</w:t>
      </w:r>
    </w:p>
    <w:p>
      <w:pPr>
        <w:pStyle w:val="Heading2"/>
        <w:pageBreakBefore/>
      </w:pPr>
      <w:bookmarkStart w:id="8" w:name="A2_6"/>
      <w:r>
        <w:t xml:space="preserve">A2.6. Yapay Zekâ, Bilgi ve Medya Okuryazarlığı</w:t>
      </w:r>
      <w:bookmarkEnd w:id="8"/>
    </w:p>
    <w:p>
      <w:pPr>
        <w:pStyle w:val="Heading3"/>
      </w:pPr>
      <w:r>
        <w:t xml:space="preserve">Kavramsal ayrımlar ve yeterlik çerçevesi</w:t>
      </w:r>
    </w:p>
    <w:p>
      <w:pPr/>
      <w:r>
        <w:t xml:space="preserve">Yapay zekâ okuryazarlığı, bilgi okuryazarlığı ve medya okuryazarlığı birbiriyle ilişkili, ancak farklı yapılardır. Yapay zekâ okuryazarlığı; yapay zekânın temel doğasını, olanaklarını ve sınırlılıklarını anlama, sistemlerle bilinçli biçimde etkileşme, çıktıları eleştirel değerlendirme, veri, yanlılık, mahremiyet ve etik sonuçları sorgulama ve sorumlu biçimde üretim yapma yeterliğidir. Bilgi okuryazarlığı, gereksinim duyulan bilgiye ulaşmayı, kaynakları değerlendirmeyi ve karşılaştırmayı, doğruluğu sorgulamayı ve kanıta dayalı sonuç çıkarmayı kapsar. Medya okuryazarlığı ise içeriği kimin, hangi amaçla ve hangi üretim veya dağıtım mekanizmalarıyla oluşturduğunu; içeriğin nasıl ikna, yönlendirme veya manipülasyon yapabileceğini değerlendirmeye odaklanır.</w:t>
      </w:r>
    </w:p>
    <w:p>
      <w:pPr/>
      <w:r>
        <w:t xml:space="preserve">Üretken yapay zekâ bu alanların kesişimini genişletmektedir. Bir içeriğin gerçekliğini değerlendirmek, yapay zekâ tarafından üretilmiş olma olasılığını incelemek ve iddiaları bağımsız kaynaklardan doğrulamak farklı, fakat birbirini tamamlayan süreçlerdir. Bu nedenle üç alan ilişkili ancak ayrı yeterlikler olarak değerlendirilmelidir.</w:t>
      </w:r>
    </w:p>
    <w:p>
      <w:pPr/>
      <w:r>
        <w:t xml:space="preserve">UNESCO'nun 2024 tarihli AI Competency Framework for Students çerçevesi, öğrenciler için 12 yeterliği dört boyutta toplar: insan merkezli zihniyet, yapay zekâ etiği, yapay zekâ teknikleri ve uygulamaları, yapay zekâ sistem tasarımı. Yeterlikler anlama, uygulama ve yaratma olmak üzere üç düzeyde düzenlenmiştir (Miao, Shiohira ve Lao, 2024). Çerçeve yalnızca araç kullanımını değil; insanın karar yetkisini, sorumlu kullanımı, toplumsal etkileri, temel çalışma ilkelerini, eleştirel değerlendirmeyi ve sorumlu tasarımı da kapsar.</w:t>
      </w:r>
    </w:p>
    <w:p>
      <w:pPr/>
      <w:r>
        <w:t xml:space="preserve">Bu raporda yapay zekâ okuryazarlığı, sistemin ne yapabildiğini ve yapamadığını anlama, veri ve modellerin sonuçlarını sorgulama, çıktıların doğruluğunu ve uygunluğunu değerlendirme ve insan kontrolünü koruyarak sorumlu biçimde üretim yapma çerçevesinde ele alınmaktadır. İyi istem yazabilmek tek başına yeterli değildir. Hatalı bilgi üretimini, kaynağı, insan–makine ayrımını, kişisel veri risklerini ve yanlılığı değerlendiremeyen bir kullanıcının araç kullanım becerisi genel okuryazarlıkla özdeşleştirilemez.</w:t>
      </w:r>
    </w:p>
    <w:p>
      <w:pPr>
        <w:pStyle w:val="Heading3"/>
      </w:pPr>
      <w:r>
        <w:t xml:space="preserve">Çocuklarda öğretilebilirlik, veri ve etik</w:t>
      </w:r>
    </w:p>
    <w:p>
      <w:pPr/>
      <w:r>
        <w:t xml:space="preserve">Çocuklar ve gençler için yapay zekâ okuryazarlığı eğitimlerini inceleyen 2025 tarihli sistematik derleme, 23 makalede programların ağırlıklı olarak işlemsel okuryazarlığa odaklandığını; sosyokültürel ve özellikle eleştirel yapay zekâ okuryazarlığının daha az temsil edildiğini göstermiştir. Bu dağılım, araç kullanımının yanında sistemleri sorgulamanın da araştırılması gerektiğine işaret etmektedir.</w:t>
      </w:r>
    </w:p>
    <w:p>
      <w:pPr/>
      <w:r>
        <w:t xml:space="preserve">Yim ve Su'nun (2025) ilkokul bağlamındaki sistematik derlemesi 25 ampirik çalışmayı kapsamaktadır. Çalışmaların hiçbiri 2019 öncesinde yayımlanmamıştır. Derlemede yapay zekâyla etkileşim ve iş birliği, bilgi işlemsel düşünme, yapay zekâ etiği ve eleştirel veri okuryazarlığı olmak üzere dört temel bileşen öne çıkmaktadır. Çalışmalar, uygun pedagojik destekle çocukların makine öğrenmesinde tahmin, eğitim verisi, sinir ağı mantığı, algoritmik yanlılık ve toplumsal veya etik etkiler gibi belirli kavramları anlayabildiğine ilişkin olumlu sonuçlar bildirmektedir.</w:t>
      </w:r>
    </w:p>
    <w:p>
      <w:pPr/>
      <w:r>
        <w:t xml:space="preserve">2024 tarihli K–12 öğrenme görevleri sistematik derlemesi de 47 ampirik çalışmada, özellikle iyi tasarlanmış uygulamalı görevlerle yapay zekâ kavramlarının anlaşılması ve öğrenmeye katılım açısından olumlu sonuçlar raporlamıştır. Ancak bu sonuçlar, her yaş grubuna aynı içeriğin uygun olduğu anlamına gelmez. İlkokul derlemesi yaşa uygun kavramlar, araçlar ve değerlendirme yöntemleri konusunda araştırma eksikliklerinin sürdüğünü belirtmektedir.</w:t>
      </w:r>
    </w:p>
    <w:p>
      <w:pPr/>
      <w:r>
        <w:t xml:space="preserve">İlkokul literatüründe constructionism, constructivism, proje tabanlı öğrenme, programlama, insan–ajan etkileşimi ve uygulamalı etkinlikler öne çıkmaktadır. K–12 derlemeleri deneyimsel öğrenme, gerçek yaşam bağlamları, grup çalışması ve öğretmen desteğini de vurgulamaktadır. Veri seçme, modeli eğitme, sonucu gözleme, hatayı belirleme, veriyi değiştirme ve yeniden sınama gibi süreçler, yapay zekâyı yalnızca kullanılan bir araç değil, incelenen bir sistem olarak ele almaya olanak verebilir.</w:t>
      </w:r>
    </w:p>
    <w:p>
      <w:pPr/>
      <w:r>
        <w:t xml:space="preserve">Eleştirel veri okuryazarlığı; verinin kaynağını ve üretim biçimini, eğitim verisinin sonuçlar üzerindeki etkisini ve yanlı veri kümelerinin yanlı çıktılar oluşturabileceğini anlamayı kapsar. 2024 tarihli K–12 veri kavramları çalışması, veri toplama, hazırlama ve veri yaşam döngüsünü anlamayı yapay zekâ eğitiminin temel ön koşulları arasında ele almaktadır.</w:t>
      </w:r>
    </w:p>
    <w:p>
      <w:pPr/>
      <w:r>
        <w:t xml:space="preserve">Etik de teknik öğrenmenin sonuna eklenen bağımsız bir konu olarak görülmemelidir. 2025 tarihli bir sistematik derleme, 68 hakemli K–12 yayınını inceleyerek yapay zekâ etiğinin sınıf uygulamalarında yeterince önceliklendirilmediğini bildirmiştir. Adalet, yanlılık, hesap verebilirlik, mahremiyet, toplumsal etki ve sorumlu yapay zekâ incelenen konular arasındadır; ancak öğretim yöntemleri ve değerlendirme sorunları sürmektedir.</w:t>
      </w:r>
    </w:p>
    <w:p>
      <w:pPr>
        <w:pStyle w:val="Heading3"/>
      </w:pPr>
      <w:r>
        <w:t xml:space="preserve">Epistemik güven ve içeriğin değerlendirilmesi</w:t>
      </w:r>
    </w:p>
    <w:p>
      <w:pPr/>
      <w:r>
        <w:t xml:space="preserve">6–14 yaşındaki 63 öğrenciyle yürütülen çocuk dostu sohbet robotu çalışmasında öğrenciler sisteme genel olarak yüksek güven duymuş ve onu bilgili ve akıllı olarak değerlendirmiştir. Bununla birlikte bazı çocukların, yanıtını bildikleri sorularla sistemi sınayarak güvenilirliğini kontrol etmeye çalıştığı gözlenmiştir. İlkokulun üst sınıflarındaki öğrencilerle 2026'da yapılan iki deneyde ise etkileşim sonrasında yapay zekâ önerilerine duyulan güvenin öğretmen önerilerine duyulan güvenden yüksek olabildiği ve insanbiçimci tasarımın çocukların tercihlerini değiştirme olasılığını etkileyebildiği bulunmuştur. Yüz, ad veya insana benzer konuşma gibi özellikler bu nedenle yalnızca görsel tercihler olarak değerlendirilemez; epistemik güvenle ilişkileri dikkate alınmalıdır.</w:t>
      </w:r>
    </w:p>
    <w:p>
      <w:pPr/>
      <w:r>
        <w:t xml:space="preserve">Çocukların güveni bütünüyle koşulsuz değildir. 4–8 yaşındaki 84 çocukla yürütülen araştırmada, internet kaynağının daha önce hatalı bilgi verdiğini gören çocuklar o kaynağa güvenlerini azaltmıştır. Ayrı bir çalışmada 5–8 yaş çocuklar hem hatalı internet kaynağına hem de sürekli yanlış bilgi veren öğretmene duydukları epistemik güveni azaltabilmiştir. Bu bulgular, küçük çocukların kaynak geçmişini değerlendirebildiğini göstermektedir.</w:t>
      </w:r>
    </w:p>
    <w:p>
      <w:pPr/>
      <w:r>
        <w:t xml:space="preserve">Buna karşılık kullanılan güvenilirlik ipuçları yüzeysel kalabilir. 8–10 yaşındaki 48 çocukla yürütülen web güvenilirliği araştırmasında yazım hataları sayfalara duyulan güveni azaltmış, ancak anlamsal veya olgusal yanlışlıklar aynı etkiyi göstermemiştir. 2023 tarihli gelişimsel derleme de profesyonel görünüm, grafikler, istatistikler ve gazetecilik biçimindeki düzenlemelerin yanlış çevrimiçi bilgiyi güvenilir gösterebildiğini vurgulamaktadır.</w:t>
      </w:r>
    </w:p>
    <w:p>
      <w:pPr/>
      <w:r>
        <w:t xml:space="preserve">Bir kaynağın güvenilmez olduğunu bilmek ile o kaynaktan öğrenilen bilgiyi sonraki kararlarda kullanmamak da aynı beceri değildir. Güvenilir ve güvenilmez web sitelerinden öğrenmeyi inceleyen çalışmalarda 7–9 yaş çocuklar, sitenin güvenilmez olduğu açıkça söylense bile daha sonra oradan öğrendikleri bilgiyi kullanabilmiştir. 10–12 yaş çocuklar ise güvenilirlik uyarısından yararlanarak bu bilgiyi daha başarılı biçimde dışlayabilmiştir. Bu ayrım, A2.4'teki izleme ve kontrol süreçleriyle ilişkilidir.</w:t>
      </w:r>
    </w:p>
    <w:p>
      <w:pPr/>
      <w:r>
        <w:t xml:space="preserve">2026 tarihli bir araştırmada 6–10 yaşındaki 37 çocuk, yapay zekâ (“SmartBot”) ve insan tarafından üretilmiş kısa metinleri, objeleri, sanat görsellerini ve yüzleri ayırt etmeye çalışmıştır. Ortalama performans farklı içerik türlerinde şans düzeyinde veya altında kalmış ve yetişkinlerden anlamlı biçimde düşük bulunmuştur. Çocukların %95'i SmartBot'un canlı olmadığını anlamış olsa da bu bilgi, yapay zekâ üretimi içeriği ayırt etmelerine yeterli olmamıştır.</w:t>
      </w:r>
    </w:p>
    <w:p>
      <w:pPr/>
      <w:r>
        <w:t xml:space="preserve">Aynı 6–10 yaş araştırmasında ev içi teknoloji kullanımının artması, yapay zekâ üretimi içeriği ayırt etme performansıyla negatif ilişkili bulunmuştur. Bu korelasyon nedensellik göstermez; ancak teknolojiye maruz kalma ile teknoloji okuryazarlığının aynı yapı olmadığını düşündürmektedir. Daha fazla kullanım, sistemlerin çalışma ilkelerini, hata kaynaklarını, veri kullanımını veya güvenilirliğini daha iyi anlama olarak yorumlanmamalıdır.</w:t>
      </w:r>
    </w:p>
    <w:p>
      <w:pPr/>
      <w:r>
        <w:t xml:space="preserve">Üretken yapay zekâ geliştikçe görsel kusurlara dayanan tespit kuralları hızla eskiyebilir. Bu nedenle içerik değerlendirmesi yalnızca görünüşten sahtecilik saptamaya indirgenmemelidir. Kaynağı, ilk yayın yerini, bağımsız doğrulamayı, özgün bağlamı, sunulan kanıtı ve üretim kökenini inceleyen doğrulama süreçleri daha kapsamlı bir yaklaşım sunmaktadır.</w:t>
      </w:r>
    </w:p>
    <w:p>
      <w:pPr>
        <w:pStyle w:val="Heading3"/>
      </w:pPr>
      <w:r>
        <w:t xml:space="preserve">Yanlış bilgi müdahaleleri ve kanıta göre ayarlanmış güven</w:t>
      </w:r>
    </w:p>
    <w:p>
      <w:pPr/>
      <w:r>
        <w:t xml:space="preserve">2025 tarihli Cognition çalışmasında 4–12 yaşındaki 135 çocuk gerçek ve yanlış çevrimiçi haberleri değerlendirmiştir. Daha büyük çocuklar iki haber türünü küçük çocuklardan daha başarılı ayırt etmiş; performans gelişimsel Bilişsel Yansıtma Testi ile güçlü biçimde ilişkili bulunmuştur. Böylece medya okuryazarlığının yalnızca medya bilgisine değil, bilişsel yansıtmaya da bağlı olabileceği görülmektedir.</w:t>
      </w:r>
    </w:p>
    <w:p>
      <w:pPr/>
      <w:r>
        <w:t xml:space="preserve">Aynı çalışmada içeriğin akla yatkınlığını veya kaynağın güvenilirliğini kontrol etmeye yönelik kısa eğitim, gerçek ve yanlış haberleri ayırt etme başarısını artırmamıştır. Bunun yerine çocuklar bütün haberlere karşı daha şüpheci hâle gelmiştir. Dolayısıyla genel şüphecilik ile kanıtın niteliğine göre ayarlanmış şüphecilik ayrılmalıdır. Amaç bütün kaynakları reddetmek değil, güven düzeyini eldeki kanıta göre düzenlemektir.</w:t>
      </w:r>
    </w:p>
    <w:p>
      <w:pPr/>
      <w:r>
        <w:t xml:space="preserve">11–13 yaşındaki 126 öğrenciyle gerçekleştirilen Project Real müdahalesinde de benzer bir ayrım görülmüştür. Öğrencilerin yanlış haberi tanıma konusunda kendilerine güvenleri ve paylaşmadan önce yapmayı planladıkları kontroller artmış; ancak yanlış haberi gerçekten tanıma başarılarında anlamlı gelişme olmamıştır. Öznel güven, davranış niyeti ve ölçülen performans bu nedenle ayrı sonuç değişkenleri olarak değerlendirilmelidir.</w:t>
      </w:r>
    </w:p>
    <w:p>
      <w:pPr/>
      <w:r>
        <w:t xml:space="preserve">Genel medya okuryazarlığı literatüründe 33 bağımsız çalışma ve toplam N = 36,256 katılımcıyı kapsayan meta-analiz, müdahalelerin yanlış haberlerin güvenilirliğini değerlendirme üzerinde ortalama Hedges' g = 0.53 düzeyinde olumlu etkisini bildirmiştir. Oyun temelli müdahaleler en güçlü müdahale biçimi olarak raporlanmıştır. Ancak meta-analiz çocuklara özgü değildir; genel etki çocuklarda oyun temelli medya okuryazarlığı müdahalesinin etki büyüklüğü olarak kullanılamaz. Çocuklara özgü kanıt ayrıca değerlendirilmelidir.</w:t>
      </w:r>
    </w:p>
    <w:p>
      <w:pPr/>
      <w:r>
        <w:t xml:space="preserve">Yetişkin yanlış bilgi literatüründe psikolojik aşılama yaklaşımı kullanılmaktadır. Araştırılmış müdahalelerden Bad News, yanlış bilgi üretme tekniklerini simüle ederek kimliğe bürünme, duygusal manipülasyon, komplo ve kutuplaştırma yöntemlerini tanımayı hedefler. Üç boylamsal deneyde müdahale etkisinin belirli koşullarda en az üç aya kadar korunabildiği gösterilmiştir. Bu yetişkin kanıtıdır; çocuklarda yaşa uygunluk, etik sınırlar ve etkililik ayrıca sınanmalıdır.</w:t>
      </w:r>
    </w:p>
    <w:p>
      <w:pPr/>
      <w:r>
        <w:t xml:space="preserve">Bilgi doğrulamada kullanılan yanal okuma, bir web sitesini yalnızca kendi içinde incelemek yerine başka kaynaklara giderek site hakkında bilgi toplamayı ifade eder. 81 bilimsel makaleyi sentezleyen 2024 tarihli derleme, dokuz müdahale kategorisi arasında yanal okuma ve doğrulama stratejilerini ayrıca tanımlamaktadır. Bu yaklaşım, bir kaynağın iddiaları kadar bağımsız kaynakların o kaynak hakkında ne söylediğini de incelemeyi gerektirir.</w:t>
      </w:r>
    </w:p>
    <w:p>
      <w:pPr>
        <w:pStyle w:val="Heading3"/>
      </w:pPr>
      <w:r>
        <w:t xml:space="preserve">Ölçme: öz bildirim, performans ve süreç verileri</w:t>
      </w:r>
    </w:p>
    <w:p>
      <w:pPr/>
      <w:r>
        <w:t xml:space="preserve">Yapay zekâ okuryazarlığı ölçümüne ilişkin 2025 tarihli sistematik derleme, 14 ülkeden 31 çalışmayı ve altı ölçme aracını incelemiştir. Yapay zekâ öz yeterliği ve olumlu tutumlarla okuryazarlık arasında ilişkiler bulunmuştur. Ancak öz değerlendirme ölçekleri, performansa dayalı okuryazarlık testlerinden sistematik olarak daha yüksek ilişkiler üretmiştir. Araştırmacılar bu farkın üstbilişsel yanlılık olasılığına işaret ettiğini belirtmektedir. Ölçüm araştırmalarının büyük bölümünün üniversite öğrencileriyle yürütülmesi, K–12 için çıkarımları ayrıca sınırlandırmaktadır.</w:t>
      </w:r>
    </w:p>
    <w:p>
      <w:pPr/>
      <w:r>
        <w:t xml:space="preserve">Yim ve Su'nun (2025) ilkokul derlemesinde 25 çalışmanın 19'unda anket veya soru formu, 11'inde görüşme, sekizinde ürün ya da performans değerlendirmesi, yalnızca üçünde gözlem kullanılmıştır. Bu sayılar birbirini dışlayan kategoriler değildir. Dağılım, gerçek zamanlı karar verme, doğrulama, yapay zekâ hatasını belirleme, yanlılığı fark etme ve kaynak kontrolü gibi davranışların ölçümünün daha az olgunlaştığını göstermektedir.</w:t>
      </w:r>
    </w:p>
    <w:p>
      <w:pPr/>
      <w:r>
        <w:t xml:space="preserve">Senaryo temelli performans değerlendirmelerinde çıktının doğruluğu kadar, öğrencinin güven düzeyi, bağımsız kaynak seçimi, çelişen kanıta tepkisi, hatanın olası nedenini açıklaması ve kararını değiştirmesi de incelenebilir. Bilgi ve medya okuryazarlığında kaynak, kanıt, bağımsız doğrulama, bağlam, içerik üreticisinin amacı ve kararın güven düzeyi birlikte ele alınmalıdır. Bunlar yalnızca kavramı bilme ile gerçek içerik karşısında değerlendirme yapma arasındaki ayrımı görünür kılabilir.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Gözlenebilir davranış</w:t>
            </w:r>
          </w:p>
        </w:tc>
        <w:tc>
          <w:tcPr>
            <w:tcW w:w="6939" w:type="dxa"/>
            <w:vAlign w:val="top"/>
            <w:shd w:fill="E9EEF3" w:val="clear"/>
          </w:tcPr>
          <w:p>
            <w:pPr>
              <w:spacing w:before="0" w:after="35" w:line="240" w:lineRule="auto"/>
            </w:pPr>
            <w:r>
              <w:rPr>
                <w:b/>
                <w:sz w:val="19"/>
              </w:rPr>
              <w:t xml:space="preserve">Olası gösterge</w:t>
            </w:r>
          </w:p>
        </w:tc>
      </w:tr>
      <w:tr>
        <w:trPr>
          <w:cantSplit/>
        </w:trPr>
        <w:tc>
          <w:tcPr>
            <w:tcW w:w="2699" w:type="dxa"/>
            <w:vAlign w:val="top"/>
          </w:tcPr>
          <w:p>
            <w:pPr>
              <w:spacing w:before="0" w:after="35" w:line="240" w:lineRule="auto"/>
            </w:pPr>
            <w:r>
              <w:rPr>
                <w:sz w:val="19"/>
              </w:rPr>
              <w:t xml:space="preserve">Yapay zekâ yanıtını doğrudan kabul etme</w:t>
            </w:r>
          </w:p>
        </w:tc>
        <w:tc>
          <w:tcPr>
            <w:tcW w:w="6939" w:type="dxa"/>
            <w:vAlign w:val="top"/>
          </w:tcPr>
          <w:p>
            <w:pPr>
              <w:spacing w:before="0" w:after="35" w:line="240" w:lineRule="auto"/>
            </w:pPr>
            <w:r>
              <w:rPr>
                <w:sz w:val="19"/>
              </w:rPr>
              <w:t xml:space="preserve">Otomasyona dayanma</w:t>
            </w:r>
          </w:p>
        </w:tc>
      </w:tr>
      <w:tr>
        <w:trPr>
          <w:cantSplit/>
        </w:trPr>
        <w:tc>
          <w:tcPr>
            <w:tcW w:w="2699" w:type="dxa"/>
            <w:vAlign w:val="top"/>
          </w:tcPr>
          <w:p>
            <w:pPr>
              <w:spacing w:before="0" w:after="35" w:line="240" w:lineRule="auto"/>
            </w:pPr>
            <w:r>
              <w:rPr>
                <w:sz w:val="19"/>
              </w:rPr>
              <w:t xml:space="preserve">Başka kaynağa başvurma</w:t>
            </w:r>
          </w:p>
        </w:tc>
        <w:tc>
          <w:tcPr>
            <w:tcW w:w="6939" w:type="dxa"/>
            <w:vAlign w:val="top"/>
          </w:tcPr>
          <w:p>
            <w:pPr>
              <w:spacing w:before="0" w:after="35" w:line="240" w:lineRule="auto"/>
            </w:pPr>
            <w:r>
              <w:rPr>
                <w:sz w:val="19"/>
              </w:rPr>
              <w:t xml:space="preserve">Doğrulama davranışı</w:t>
            </w:r>
          </w:p>
        </w:tc>
      </w:tr>
      <w:tr>
        <w:trPr>
          <w:cantSplit/>
        </w:trPr>
        <w:tc>
          <w:tcPr>
            <w:tcW w:w="2699" w:type="dxa"/>
            <w:vAlign w:val="top"/>
          </w:tcPr>
          <w:p>
            <w:pPr>
              <w:spacing w:before="0" w:after="35" w:line="240" w:lineRule="auto"/>
            </w:pPr>
            <w:r>
              <w:rPr>
                <w:sz w:val="19"/>
              </w:rPr>
              <w:t xml:space="preserve">Bağımsız kaynakları kullanma</w:t>
            </w:r>
          </w:p>
        </w:tc>
        <w:tc>
          <w:tcPr>
            <w:tcW w:w="6939" w:type="dxa"/>
            <w:vAlign w:val="top"/>
          </w:tcPr>
          <w:p>
            <w:pPr>
              <w:spacing w:before="0" w:after="35" w:line="240" w:lineRule="auto"/>
            </w:pPr>
            <w:r>
              <w:rPr>
                <w:sz w:val="19"/>
              </w:rPr>
              <w:t xml:space="preserve">Kanıt arama</w:t>
            </w:r>
          </w:p>
        </w:tc>
      </w:tr>
      <w:tr>
        <w:trPr>
          <w:cantSplit/>
        </w:trPr>
        <w:tc>
          <w:tcPr>
            <w:tcW w:w="2699" w:type="dxa"/>
            <w:vAlign w:val="top"/>
          </w:tcPr>
          <w:p>
            <w:pPr>
              <w:spacing w:before="0" w:after="35" w:line="240" w:lineRule="auto"/>
            </w:pPr>
            <w:r>
              <w:rPr>
                <w:sz w:val="19"/>
              </w:rPr>
              <w:t xml:space="preserve">Kaynaklar arasındaki çelişkiye tepki verme</w:t>
            </w:r>
          </w:p>
        </w:tc>
        <w:tc>
          <w:tcPr>
            <w:tcW w:w="6939" w:type="dxa"/>
            <w:vAlign w:val="top"/>
          </w:tcPr>
          <w:p>
            <w:pPr>
              <w:spacing w:before="0" w:after="35" w:line="240" w:lineRule="auto"/>
            </w:pPr>
            <w:r>
              <w:rPr>
                <w:sz w:val="19"/>
              </w:rPr>
              <w:t xml:space="preserve">Epistemik akıl yürütme</w:t>
            </w:r>
          </w:p>
        </w:tc>
      </w:tr>
      <w:tr>
        <w:trPr>
          <w:cantSplit/>
        </w:trPr>
        <w:tc>
          <w:tcPr>
            <w:tcW w:w="2699" w:type="dxa"/>
            <w:vAlign w:val="top"/>
          </w:tcPr>
          <w:p>
            <w:pPr>
              <w:spacing w:before="0" w:after="35" w:line="240" w:lineRule="auto"/>
            </w:pPr>
            <w:r>
              <w:rPr>
                <w:sz w:val="19"/>
              </w:rPr>
              <w:t xml:space="preserve">Yapay zekâ hatasını fark etme</w:t>
            </w:r>
          </w:p>
        </w:tc>
        <w:tc>
          <w:tcPr>
            <w:tcW w:w="6939" w:type="dxa"/>
            <w:vAlign w:val="top"/>
          </w:tcPr>
          <w:p>
            <w:pPr>
              <w:spacing w:before="0" w:after="35" w:line="240" w:lineRule="auto"/>
            </w:pPr>
            <w:r>
              <w:rPr>
                <w:sz w:val="19"/>
              </w:rPr>
              <w:t xml:space="preserve">Eleştirel yapay zekâ değerlendirmesi</w:t>
            </w:r>
          </w:p>
        </w:tc>
      </w:tr>
      <w:tr>
        <w:trPr>
          <w:cantSplit/>
        </w:trPr>
        <w:tc>
          <w:tcPr>
            <w:tcW w:w="2699" w:type="dxa"/>
            <w:vAlign w:val="top"/>
          </w:tcPr>
          <w:p>
            <w:pPr>
              <w:spacing w:before="0" w:after="35" w:line="240" w:lineRule="auto"/>
            </w:pPr>
            <w:r>
              <w:rPr>
                <w:sz w:val="19"/>
              </w:rPr>
              <w:t xml:space="preserve">Eğitim verisini inceleme</w:t>
            </w:r>
          </w:p>
        </w:tc>
        <w:tc>
          <w:tcPr>
            <w:tcW w:w="6939" w:type="dxa"/>
            <w:vAlign w:val="top"/>
          </w:tcPr>
          <w:p>
            <w:pPr>
              <w:spacing w:before="0" w:after="35" w:line="240" w:lineRule="auto"/>
            </w:pPr>
            <w:r>
              <w:rPr>
                <w:sz w:val="19"/>
              </w:rPr>
              <w:t xml:space="preserve">Veri okuryazarlığı</w:t>
            </w:r>
          </w:p>
        </w:tc>
      </w:tr>
      <w:tr>
        <w:trPr>
          <w:cantSplit/>
        </w:trPr>
        <w:tc>
          <w:tcPr>
            <w:tcW w:w="2699" w:type="dxa"/>
            <w:vAlign w:val="top"/>
          </w:tcPr>
          <w:p>
            <w:pPr>
              <w:spacing w:before="0" w:after="35" w:line="240" w:lineRule="auto"/>
            </w:pPr>
            <w:r>
              <w:rPr>
                <w:sz w:val="19"/>
              </w:rPr>
              <w:t xml:space="preserve">Veri kümesindeki yanlılığı fark etme</w:t>
            </w:r>
          </w:p>
        </w:tc>
        <w:tc>
          <w:tcPr>
            <w:tcW w:w="6939" w:type="dxa"/>
            <w:vAlign w:val="top"/>
          </w:tcPr>
          <w:p>
            <w:pPr>
              <w:spacing w:before="0" w:after="35" w:line="240" w:lineRule="auto"/>
            </w:pPr>
            <w:r>
              <w:rPr>
                <w:sz w:val="19"/>
              </w:rPr>
              <w:t xml:space="preserve">Yanlılık farkındalığı</w:t>
            </w:r>
          </w:p>
        </w:tc>
      </w:tr>
      <w:tr>
        <w:trPr>
          <w:cantSplit/>
        </w:trPr>
        <w:tc>
          <w:tcPr>
            <w:tcW w:w="2699" w:type="dxa"/>
            <w:vAlign w:val="top"/>
          </w:tcPr>
          <w:p>
            <w:pPr>
              <w:spacing w:before="0" w:after="35" w:line="240" w:lineRule="auto"/>
            </w:pPr>
            <w:r>
              <w:rPr>
                <w:sz w:val="19"/>
              </w:rPr>
              <w:t xml:space="preserve">Yapay zekâ önerisini değiştirebilme</w:t>
            </w:r>
          </w:p>
        </w:tc>
        <w:tc>
          <w:tcPr>
            <w:tcW w:w="6939" w:type="dxa"/>
            <w:vAlign w:val="top"/>
          </w:tcPr>
          <w:p>
            <w:pPr>
              <w:spacing w:before="0" w:after="35" w:line="240" w:lineRule="auto"/>
            </w:pPr>
            <w:r>
              <w:rPr>
                <w:sz w:val="19"/>
              </w:rPr>
              <w:t xml:space="preserve">İnsanın karar yetkisi</w:t>
            </w:r>
          </w:p>
        </w:tc>
      </w:tr>
      <w:tr>
        <w:trPr>
          <w:cantSplit/>
        </w:trPr>
        <w:tc>
          <w:tcPr>
            <w:tcW w:w="2699" w:type="dxa"/>
            <w:vAlign w:val="top"/>
          </w:tcPr>
          <w:p>
            <w:pPr>
              <w:spacing w:before="0" w:after="35" w:line="240" w:lineRule="auto"/>
            </w:pPr>
            <w:r>
              <w:rPr>
                <w:sz w:val="19"/>
              </w:rPr>
              <w:t xml:space="preserve">Yanıta ilişkin güven düzeyini belirtme</w:t>
            </w:r>
          </w:p>
        </w:tc>
        <w:tc>
          <w:tcPr>
            <w:tcW w:w="6939" w:type="dxa"/>
            <w:vAlign w:val="top"/>
          </w:tcPr>
          <w:p>
            <w:pPr>
              <w:spacing w:before="0" w:after="35" w:line="240" w:lineRule="auto"/>
            </w:pPr>
            <w:r>
              <w:rPr>
                <w:sz w:val="19"/>
              </w:rPr>
              <w:t xml:space="preserve">Üstbilişsel izleme</w:t>
            </w:r>
          </w:p>
        </w:tc>
      </w:tr>
      <w:tr>
        <w:trPr>
          <w:cantSplit/>
        </w:trPr>
        <w:tc>
          <w:tcPr>
            <w:tcW w:w="2699" w:type="dxa"/>
            <w:vAlign w:val="top"/>
          </w:tcPr>
          <w:p>
            <w:pPr>
              <w:spacing w:before="0" w:after="35" w:line="240" w:lineRule="auto"/>
            </w:pPr>
            <w:r>
              <w:rPr>
                <w:sz w:val="19"/>
              </w:rPr>
              <w:t xml:space="preserve">Yeni kanıt sonrasında görüşünü değiştirme</w:t>
            </w:r>
          </w:p>
        </w:tc>
        <w:tc>
          <w:tcPr>
            <w:tcW w:w="6939" w:type="dxa"/>
            <w:vAlign w:val="top"/>
          </w:tcPr>
          <w:p>
            <w:pPr>
              <w:spacing w:before="0" w:after="35" w:line="240" w:lineRule="auto"/>
            </w:pPr>
            <w:r>
              <w:rPr>
                <w:sz w:val="19"/>
              </w:rPr>
              <w:t xml:space="preserve">İnanç güncelleme</w:t>
            </w:r>
          </w:p>
        </w:tc>
      </w:tr>
      <w:tr>
        <w:trPr>
          <w:cantSplit/>
        </w:trPr>
        <w:tc>
          <w:tcPr>
            <w:tcW w:w="2699" w:type="dxa"/>
            <w:vAlign w:val="top"/>
          </w:tcPr>
          <w:p>
            <w:pPr>
              <w:spacing w:before="0" w:after="35" w:line="240" w:lineRule="auto"/>
            </w:pPr>
            <w:r>
              <w:rPr>
                <w:sz w:val="19"/>
              </w:rPr>
              <w:t xml:space="preserve">Yapay zekânın neden yanılmış olabileceğini açıklama</w:t>
            </w:r>
          </w:p>
        </w:tc>
        <w:tc>
          <w:tcPr>
            <w:tcW w:w="6939" w:type="dxa"/>
            <w:vAlign w:val="top"/>
          </w:tcPr>
          <w:p>
            <w:pPr>
              <w:spacing w:before="0" w:after="35" w:line="240" w:lineRule="auto"/>
            </w:pPr>
            <w:r>
              <w:rPr>
                <w:sz w:val="19"/>
              </w:rPr>
              <w:t xml:space="preserve">Kavramsal yapay zekâ anlayışı</w:t>
            </w:r>
          </w:p>
        </w:tc>
      </w:tr>
      <w:tr>
        <w:trPr>
          <w:cantSplit/>
        </w:trPr>
        <w:tc>
          <w:tcPr>
            <w:tcW w:w="2699" w:type="dxa"/>
            <w:vAlign w:val="top"/>
          </w:tcPr>
          <w:p>
            <w:pPr>
              <w:spacing w:before="0" w:after="35" w:line="240" w:lineRule="auto"/>
            </w:pPr>
            <w:r>
              <w:rPr>
                <w:sz w:val="19"/>
              </w:rPr>
              <w:t xml:space="preserve">Kişisel bilgi paylaşmadan önce değerlendirme yapma</w:t>
            </w:r>
          </w:p>
        </w:tc>
        <w:tc>
          <w:tcPr>
            <w:tcW w:w="6939" w:type="dxa"/>
            <w:vAlign w:val="top"/>
          </w:tcPr>
          <w:p>
            <w:pPr>
              <w:spacing w:before="0" w:after="35" w:line="240" w:lineRule="auto"/>
            </w:pPr>
            <w:r>
              <w:rPr>
                <w:sz w:val="19"/>
              </w:rPr>
              <w:t xml:space="preserve">Mahremiyet farkındalığı</w:t>
            </w:r>
          </w:p>
        </w:tc>
      </w:tr>
    </w:tbl>
    <w:p>
      <w:pPr>
        <w:spacing w:after="50"/>
      </w:pPr>
    </w:p>
    <w:p>
      <w:pPr/>
      <w:r>
        <w:t xml:space="preserve">Bu süreç göstergeleri kendiliğinden doğrulanmış yeterlik ölçümleri değildir; dış ölçütlerle sınanmalıdır. Özellikle yapay zekâya güvenin sistemin gerçek güvenilirliğiyle ne ölçüde uyumlu olduğu, öznel güven ve performans birlikte değerlendirilerek araştırılmalıdır. Hatanın varlığını bilmek, hangi durumda doğrulama gerektiğini belirlemek ve karar yetkisini korumak farklı ölçüm hedefleridir.</w:t>
      </w:r>
    </w:p>
    <w:p>
      <w:pPr>
        <w:pStyle w:val="Heading3"/>
      </w:pPr>
      <w:r>
        <w:t xml:space="preserve">Yaşa uygun öğretim için ihtiyatlı çerçeve</w:t>
      </w:r>
    </w:p>
    <w:p>
      <w:pPr/>
      <w:r>
        <w:t xml:space="preserve">Mevcut bulgular kesin gelişim normları oluşturmaya yeterli değildir. Aşağıdaki sıralama, yaşlara göre doğrulanmış bir yeterlik standardı değil, mevcut bulgulardan hareketle değerlendirilebilecek öğretim odaklarıdır.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120"/>
        <w:gridCol w:w="3759"/>
        <w:gridCol w:w="3759"/>
      </w:tblGrid>
      <w:tr>
        <w:trPr>
          <w:cantSplit/>
          <w:tblHeader/>
        </w:trPr>
        <w:tc>
          <w:tcPr>
            <w:tcW w:w="2120" w:type="dxa"/>
            <w:vAlign w:val="top"/>
            <w:shd w:fill="E9EEF3" w:val="clear"/>
          </w:tcPr>
          <w:p>
            <w:pPr>
              <w:spacing w:before="0" w:after="35" w:line="240" w:lineRule="auto"/>
            </w:pPr>
            <w:r>
              <w:rPr>
                <w:b/>
                <w:sz w:val="19"/>
              </w:rPr>
              <w:t xml:space="preserve">Yaş</w:t>
            </w:r>
          </w:p>
        </w:tc>
        <w:tc>
          <w:tcPr>
            <w:tcW w:w="3759" w:type="dxa"/>
            <w:vAlign w:val="top"/>
            <w:shd w:fill="E9EEF3" w:val="clear"/>
          </w:tcPr>
          <w:p>
            <w:pPr>
              <w:spacing w:before="0" w:after="35" w:line="240" w:lineRule="auto"/>
            </w:pPr>
            <w:r>
              <w:rPr>
                <w:b/>
                <w:sz w:val="19"/>
              </w:rPr>
              <w:t xml:space="preserve">Olası öğretim odağı</w:t>
            </w:r>
          </w:p>
        </w:tc>
        <w:tc>
          <w:tcPr>
            <w:tcW w:w="3759" w:type="dxa"/>
            <w:vAlign w:val="top"/>
            <w:shd w:fill="E9EEF3" w:val="clear"/>
          </w:tcPr>
          <w:p>
            <w:pPr>
              <w:spacing w:before="0" w:after="35" w:line="240" w:lineRule="auto"/>
            </w:pPr>
            <w:r>
              <w:rPr>
                <w:b/>
                <w:sz w:val="19"/>
              </w:rPr>
              <w:t xml:space="preserve">Bağlama özgü sınır</w:t>
            </w:r>
          </w:p>
        </w:tc>
      </w:tr>
      <w:tr>
        <w:trPr>
          <w:cantSplit/>
        </w:trPr>
        <w:tc>
          <w:tcPr>
            <w:tcW w:w="2120" w:type="dxa"/>
            <w:vAlign w:val="top"/>
          </w:tcPr>
          <w:p>
            <w:pPr>
              <w:spacing w:before="0" w:after="35" w:line="240" w:lineRule="auto"/>
            </w:pPr>
            <w:r>
              <w:rPr>
                <w:sz w:val="19"/>
              </w:rPr>
              <w:t xml:space="preserve">4–6</w:t>
            </w:r>
          </w:p>
        </w:tc>
        <w:tc>
          <w:tcPr>
            <w:tcW w:w="3759" w:type="dxa"/>
            <w:vAlign w:val="top"/>
          </w:tcPr>
          <w:p>
            <w:pPr>
              <w:spacing w:before="0" w:after="35" w:line="240" w:lineRule="auto"/>
            </w:pPr>
            <w:r>
              <w:rPr>
                <w:sz w:val="19"/>
              </w:rPr>
              <w:t xml:space="preserve">İnsan olmayan yapay zekâ veya robot ile canlı arasındaki temel ayrım, makinelerin hata yapabilmesi, kişisel bilgi ve kaynağın geçmiş doğruluğu</w:t>
            </w:r>
          </w:p>
        </w:tc>
        <w:tc>
          <w:tcPr>
            <w:tcW w:w="3759" w:type="dxa"/>
            <w:vAlign w:val="top"/>
          </w:tcPr>
          <w:p>
            <w:pPr>
              <w:spacing w:before="0" w:after="35" w:line="240" w:lineRule="auto"/>
            </w:pPr>
            <w:r>
              <w:rPr>
                <w:sz w:val="19"/>
              </w:rPr>
              <w:t xml:space="preserve">Kaynak geçmişine göre güveni ayarlama bulguları bütün okuryazarlık boyutları için gelişim normu oluşturmaz</w:t>
            </w:r>
          </w:p>
        </w:tc>
      </w:tr>
      <w:tr>
        <w:trPr>
          <w:cantSplit/>
        </w:trPr>
        <w:tc>
          <w:tcPr>
            <w:tcW w:w="2120" w:type="dxa"/>
            <w:vAlign w:val="top"/>
          </w:tcPr>
          <w:p>
            <w:pPr>
              <w:spacing w:before="0" w:after="35" w:line="240" w:lineRule="auto"/>
            </w:pPr>
            <w:r>
              <w:rPr>
                <w:sz w:val="19"/>
              </w:rPr>
              <w:t xml:space="preserve">6–8</w:t>
            </w:r>
          </w:p>
        </w:tc>
        <w:tc>
          <w:tcPr>
            <w:tcW w:w="3759" w:type="dxa"/>
            <w:vAlign w:val="top"/>
          </w:tcPr>
          <w:p>
            <w:pPr>
              <w:spacing w:before="0" w:after="35" w:line="240" w:lineRule="auto"/>
            </w:pPr>
            <w:r>
              <w:rPr>
                <w:sz w:val="19"/>
              </w:rPr>
              <w:t xml:space="preserve">Yapay zekâ örneklerini tanıma, eğitim örnekleri, basit sınıflandırma, insan–yapay zekâ ayrımı, somut yanlılık ve başka kaynaktan kontrol</w:t>
            </w:r>
          </w:p>
        </w:tc>
        <w:tc>
          <w:tcPr>
            <w:tcW w:w="3759" w:type="dxa"/>
            <w:vAlign w:val="top"/>
          </w:tcPr>
          <w:p>
            <w:pPr>
              <w:spacing w:before="0" w:after="35" w:line="240" w:lineRule="auto"/>
            </w:pPr>
            <w:r>
              <w:rPr>
                <w:sz w:val="19"/>
              </w:rPr>
              <w:t xml:space="preserve">İlkokul araştırmaları bu yaşları da kapsar; standart yaş sıralaması yetersizdir</w:t>
            </w:r>
          </w:p>
        </w:tc>
      </w:tr>
      <w:tr>
        <w:trPr>
          <w:cantSplit/>
        </w:trPr>
        <w:tc>
          <w:tcPr>
            <w:tcW w:w="2120" w:type="dxa"/>
            <w:vAlign w:val="top"/>
          </w:tcPr>
          <w:p>
            <w:pPr>
              <w:spacing w:before="0" w:after="35" w:line="240" w:lineRule="auto"/>
            </w:pPr>
            <w:r>
              <w:rPr>
                <w:sz w:val="19"/>
              </w:rPr>
              <w:t xml:space="preserve">8–10</w:t>
            </w:r>
          </w:p>
        </w:tc>
        <w:tc>
          <w:tcPr>
            <w:tcW w:w="3759" w:type="dxa"/>
            <w:vAlign w:val="top"/>
          </w:tcPr>
          <w:p>
            <w:pPr>
              <w:spacing w:before="0" w:after="35" w:line="240" w:lineRule="auto"/>
            </w:pPr>
            <w:r>
              <w:rPr>
                <w:sz w:val="19"/>
              </w:rPr>
              <w:t xml:space="preserve">Kaynak güvenilirliği, çıktı değerlendirmesi, eğitim verisi, yanlılık, mahremiyet ve yapay zekâ üretimi medya</w:t>
            </w:r>
          </w:p>
        </w:tc>
        <w:tc>
          <w:tcPr>
            <w:tcW w:w="3759" w:type="dxa"/>
            <w:vAlign w:val="top"/>
          </w:tcPr>
          <w:p>
            <w:pPr>
              <w:spacing w:before="0" w:after="35" w:line="240" w:lineRule="auto"/>
            </w:pPr>
            <w:r>
              <w:rPr>
                <w:sz w:val="19"/>
              </w:rPr>
              <w:t xml:space="preserve">Profesyonel görünüme dayanma riski sürer; 6–10 yaşta içerik üreticisini ayırt etme şans düzeyinde kalabilmektedir</w:t>
            </w:r>
          </w:p>
        </w:tc>
      </w:tr>
      <w:tr>
        <w:trPr>
          <w:cantSplit/>
        </w:trPr>
        <w:tc>
          <w:tcPr>
            <w:tcW w:w="2120" w:type="dxa"/>
            <w:vAlign w:val="top"/>
          </w:tcPr>
          <w:p>
            <w:pPr>
              <w:spacing w:before="0" w:after="35" w:line="240" w:lineRule="auto"/>
            </w:pPr>
            <w:r>
              <w:rPr>
                <w:sz w:val="19"/>
              </w:rPr>
              <w:t xml:space="preserve">10–12</w:t>
            </w:r>
          </w:p>
        </w:tc>
        <w:tc>
          <w:tcPr>
            <w:tcW w:w="3759" w:type="dxa"/>
            <w:vAlign w:val="top"/>
          </w:tcPr>
          <w:p>
            <w:pPr>
              <w:spacing w:before="0" w:after="35" w:line="240" w:lineRule="auto"/>
            </w:pPr>
            <w:r>
              <w:rPr>
                <w:sz w:val="19"/>
              </w:rPr>
              <w:t xml:space="preserve">Çoklu kaynakla doğrulama, yanlış bilgi teknikleri, algoritmik yanlılık, etik ödünleşimler, üretim kökeni ve insanın hesap verebilirliği</w:t>
            </w:r>
          </w:p>
        </w:tc>
        <w:tc>
          <w:tcPr>
            <w:tcW w:w="3759" w:type="dxa"/>
            <w:vAlign w:val="top"/>
          </w:tcPr>
          <w:p>
            <w:pPr>
              <w:spacing w:before="0" w:after="35" w:line="240" w:lineRule="auto"/>
            </w:pPr>
            <w:r>
              <w:rPr>
                <w:sz w:val="19"/>
              </w:rPr>
              <w:t xml:space="preserve">Güvenilirlik uyarısıyla bilgiyi dışlama 7–9 yaştan daha başarılı olsa da bütün görevlerde yeterlik anlamına gelmez</w:t>
            </w:r>
          </w:p>
        </w:tc>
      </w:tr>
      <w:tr>
        <w:trPr>
          <w:cantSplit/>
        </w:trPr>
        <w:tc>
          <w:tcPr>
            <w:tcW w:w="2120" w:type="dxa"/>
            <w:vAlign w:val="top"/>
          </w:tcPr>
          <w:p>
            <w:pPr>
              <w:spacing w:before="0" w:after="35" w:line="240" w:lineRule="auto"/>
            </w:pPr>
            <w:r>
              <w:rPr>
                <w:sz w:val="19"/>
              </w:rPr>
              <w:t xml:space="preserve">12+</w:t>
            </w:r>
          </w:p>
        </w:tc>
        <w:tc>
          <w:tcPr>
            <w:tcW w:w="3759" w:type="dxa"/>
            <w:vAlign w:val="top"/>
          </w:tcPr>
          <w:p>
            <w:pPr>
              <w:spacing w:before="0" w:after="35" w:line="240" w:lineRule="auto"/>
            </w:pPr>
            <w:r>
              <w:rPr>
                <w:sz w:val="19"/>
              </w:rPr>
              <w:t xml:space="preserve">Platform algoritmaları, öneri sistemleri, siyasal veya sosyal manipülasyon, deepfake, yapay zekâ yönetişimi, algoritmik adalet, telif ve veri hakları, toplumsal etkiler</w:t>
            </w:r>
          </w:p>
        </w:tc>
        <w:tc>
          <w:tcPr>
            <w:tcW w:w="3759" w:type="dxa"/>
            <w:vAlign w:val="top"/>
          </w:tcPr>
          <w:p>
            <w:pPr>
              <w:spacing w:before="0" w:after="35" w:line="240" w:lineRule="auto"/>
            </w:pPr>
            <w:r>
              <w:rPr>
                <w:sz w:val="19"/>
              </w:rPr>
              <w:t xml:space="preserve">Gelişimsel ve pedagojik doğrulama gereklidir</w:t>
            </w:r>
          </w:p>
        </w:tc>
      </w:tr>
    </w:tbl>
    <w:p>
      <w:pPr>
        <w:spacing w:after="50"/>
      </w:pPr>
    </w:p>
    <w:p>
      <w:pPr/>
      <w:r>
        <w:t xml:space="preserve">Öğretimde yapay zekânın hem olanaklarının hem hata yapabilmesinin görünür olması, başka kaynaklardan kontrolün desteklenmesi ve veri değişikliklerinin sonuçlarla ilişkisinin incelenmesi önemlidir. Yanlılığın somutlaştırılması, mahremiyetin gözetilmesi ve insan kararının sistem önerisinin üzerinde tutulması da bu yaklaşımın parçalarıdır. Yapay zekâ çıktısını eleştirel biçimde geliştirme, yaratıcı üretim ile değerlendirmeyi ilişkilendirebilir.</w:t>
      </w:r>
    </w:p>
    <w:p>
      <w:pPr/>
      <w:r>
        <w:t xml:space="preserve">Bu ilkeler, yapay zekâyı her zaman güvenilir veya bütünüyle güvenilmez sunmayı gerektirmez. Genel şüpheciliği artırmak yerine güvenin kanıta göre ayarlanması; güven düzeyinin sorulması yanında gerçek performansın ölçülmesi gerekir. Aynı bilginin farklı kaynaklardan sunulması kaynak karşılaştırmasını destekleyebilir. İnsan merkezli yaklaşımda yapay zekâ, öğrencinin düşünme ve karar verme süreçlerinin yerine geçmemeli, bunları desteklemelidir.</w:t>
      </w:r>
    </w:p>
    <w:p>
      <w:pPr>
        <w:pStyle w:val="Heading3"/>
      </w:pPr>
      <w:r>
        <w:t xml:space="preserve">Türkiye bağlamı ve etik düzenlemeler</w:t>
      </w:r>
    </w:p>
    <w:p>
      <w:pPr/>
      <w:r>
        <w:t xml:space="preserve">Türkiye Yüzyılı Maarif Modeli'nin Bilgi Okuryazarlığı yapısı; bilgiye ulaşma, bilgiyi doğrulama, çözümleme, sorgulama ve bilgiyle akıl yürütmeyi kapsamaktadır. Dijital Okuryazarlık ise dijital bilginin nasıl oluştuğunu anlama, bilgiye erişme ve kişisel mahremiyeti gözetme bileşenlerini içermektedir.</w:t>
      </w:r>
    </w:p>
    <w:p>
      <w:pPr/>
      <w:r>
        <w:t xml:space="preserve">Güncel ortaokul Medya Okuryazarlığı programında “Yapay zekâ kavramının medya üzerindeki etkisini sorgulayabilme” ayrı bir öğrenme çıktısıdır. Öğrenciden yapay zekânın medyadaki kullanım alanlarını tanımlaması, içerik ve kullanıcılar üzerindeki etkisini sorgulaması, bilgi toplaması, doğruluğu farklı kaynaklarla karşılaştırması ve çıkarım yapması beklenmektedir. Programın zenginleştirme önerileri arasında haberlerin doğruluğunu değerlendirmeye yönelik basit bir yapay zekâ modeli tasarlama da bulunmaktadır.</w:t>
      </w:r>
    </w:p>
    <w:p>
      <w:pPr/>
      <w:r>
        <w:t xml:space="preserve">MEB'in 2026'da yürürlüğe giren yapay zekâ etik uygulama yapısı; öğrenci etkileşimini, öğrenci verilerinin yapay zekâyla işlenmesini ve ölçme-değerlendirmede yapay zekâ kullanımını düzenlemektedir. YAZEK sisteminde insan gözetimi, mahremiyet, şeffaflık, öğrenci güvenliği, yapay zekâ önerisinin nihai karar yerine geçmemesi ve eğitsel değer sağlanması temel ilkeler arasındadır. Bu ilkeler, çocuklarla yürütülen yapay zekâ destekli eğitim ve değerlendirme çalışmalarında tasarımdan itibaren mahremiyetin ve insan denetiminin gözetilmesini gerektirir.</w:t>
      </w:r>
    </w:p>
    <w:p>
      <w:pPr>
        <w:pStyle w:val="Heading3"/>
      </w:pPr>
      <w:r>
        <w:t xml:space="preserve">Kanıt değerlendirmesi ve sentez</w:t>
      </w:r>
    </w:p>
    <w:p>
      <w:pPr/>
      <w:r>
        <w:t xml:space="preserve">Yapay zekâ okuryazarlığı hızla gelişen, ancak kavramsal ve ölçümsel standardizasyonu henüz sınırlı bir alandır. İlkokul ve K–12 derlemeleri öğretilebilirlik konusunda olumlu sonuçlar sunarken yaşa uygun sıralama, eleştirel ve sosyokültürel boyutlar, performansa dayalı ölçme ve transfer başlıca araştırma boşluklarıdır. Bilgi ve medya okuryazarlığı daha geniş bir araştırma geçmişine sahiptir; buna karşılık çocuk müdahalelerinde güven artışı, genel şüphecilik ve gerçek ayırt etme başarısı birbirinden ayrılmalıdır.</w:t>
      </w:r>
    </w:p>
    <w:p>
      <w:pPr/>
      <w:r>
        <w:t xml:space="preserve">Aşağıdaki Ön Kanıt Puanları (Evidence Score), bu rapora ait araştırmacı kodlamasıdır; standartlaştırılmış ölçekler veya meta-analitik sonuçlar değildir.</w:t>
      </w:r>
    </w:p>
    <w:p>
      <w:pPr/>
      <w:r>
        <w:rPr>
          <w:b/>
        </w:rPr>
        <w:t xml:space="preserve">Yapay zekâ okuryazarlığı</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891"/>
        <w:gridCol w:w="1157"/>
        <w:gridCol w:w="5590"/>
      </w:tblGrid>
      <w:tr>
        <w:trPr>
          <w:cantSplit/>
          <w:tblHeader/>
        </w:trPr>
        <w:tc>
          <w:tcPr>
            <w:tcW w:w="2891" w:type="dxa"/>
            <w:vAlign w:val="top"/>
            <w:shd w:fill="E9EEF3" w:val="clear"/>
          </w:tcPr>
          <w:p>
            <w:pPr>
              <w:spacing w:before="0" w:after="35" w:line="240" w:lineRule="auto"/>
            </w:pPr>
            <w:r>
              <w:rPr>
                <w:b/>
                <w:sz w:val="19"/>
              </w:rPr>
              <w:t xml:space="preserve">Ölçüt</w:t>
            </w:r>
          </w:p>
        </w:tc>
        <w:tc>
          <w:tcPr>
            <w:tcW w:w="1157" w:type="dxa"/>
            <w:vAlign w:val="top"/>
            <w:shd w:fill="E9EEF3" w:val="clear"/>
          </w:tcPr>
          <w:p>
            <w:pPr>
              <w:spacing w:before="0" w:after="35" w:line="240" w:lineRule="auto"/>
            </w:pPr>
            <w:r>
              <w:rPr>
                <w:b/>
                <w:sz w:val="19"/>
              </w:rPr>
              <w:t xml:space="preserve">Puan</w:t>
            </w:r>
          </w:p>
        </w:tc>
        <w:tc>
          <w:tcPr>
            <w:tcW w:w="5590" w:type="dxa"/>
            <w:vAlign w:val="top"/>
            <w:shd w:fill="E9EEF3" w:val="clear"/>
          </w:tcPr>
          <w:p>
            <w:pPr>
              <w:spacing w:before="0" w:after="35" w:line="240" w:lineRule="auto"/>
            </w:pPr>
            <w:r>
              <w:rPr>
                <w:b/>
                <w:sz w:val="19"/>
              </w:rPr>
              <w:t xml:space="preserve">Kısa gerekçe</w:t>
            </w:r>
          </w:p>
        </w:tc>
      </w:tr>
      <w:tr>
        <w:trPr>
          <w:cantSplit/>
        </w:trPr>
        <w:tc>
          <w:tcPr>
            <w:tcW w:w="2891" w:type="dxa"/>
            <w:vAlign w:val="top"/>
          </w:tcPr>
          <w:p>
            <w:pPr>
              <w:spacing w:before="0" w:after="35" w:line="240" w:lineRule="auto"/>
            </w:pPr>
            <w:r>
              <w:rPr>
                <w:sz w:val="19"/>
              </w:rPr>
              <w:t xml:space="preserve">Future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Yapay zekânın yaygınlaşmasıyla doğrudan ilişkili</w:t>
            </w:r>
          </w:p>
        </w:tc>
      </w:tr>
      <w:tr>
        <w:trPr>
          <w:cantSplit/>
        </w:trPr>
        <w:tc>
          <w:tcPr>
            <w:tcW w:w="2891" w:type="dxa"/>
            <w:vAlign w:val="top"/>
          </w:tcPr>
          <w:p>
            <w:pPr>
              <w:spacing w:before="0" w:after="35" w:line="240" w:lineRule="auto"/>
            </w:pPr>
            <w:r>
              <w:rPr>
                <w:sz w:val="19"/>
              </w:rPr>
              <w:t xml:space="preserve">Policy/framework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UNESCO, DigComp ve ulusal müfredatlarda karşılığı var</w:t>
            </w:r>
          </w:p>
        </w:tc>
      </w:tr>
      <w:tr>
        <w:trPr>
          <w:cantSplit/>
        </w:trPr>
        <w:tc>
          <w:tcPr>
            <w:tcW w:w="2891" w:type="dxa"/>
            <w:vAlign w:val="top"/>
          </w:tcPr>
          <w:p>
            <w:pPr>
              <w:spacing w:before="0" w:after="35" w:line="240" w:lineRule="auto"/>
            </w:pPr>
            <w:r>
              <w:rPr>
                <w:sz w:val="19"/>
              </w:rPr>
              <w:t xml:space="preserve">Overall evidence strength</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Kanıt havuzu büyüyor; alan henüz genç</w:t>
            </w:r>
          </w:p>
        </w:tc>
      </w:tr>
      <w:tr>
        <w:trPr>
          <w:cantSplit/>
        </w:trPr>
        <w:tc>
          <w:tcPr>
            <w:tcW w:w="2891" w:type="dxa"/>
            <w:vAlign w:val="top"/>
          </w:tcPr>
          <w:p>
            <w:pPr>
              <w:spacing w:before="0" w:after="35" w:line="240" w:lineRule="auto"/>
            </w:pPr>
            <w:r>
              <w:rPr>
                <w:sz w:val="19"/>
              </w:rPr>
              <w:t xml:space="preserve">Teachability</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K–12 derlemelerinde olumlu öğrenme sonuçları var</w:t>
            </w:r>
          </w:p>
        </w:tc>
      </w:tr>
      <w:tr>
        <w:trPr>
          <w:cantSplit/>
        </w:trPr>
        <w:tc>
          <w:tcPr>
            <w:tcW w:w="2891" w:type="dxa"/>
            <w:vAlign w:val="top"/>
          </w:tcPr>
          <w:p>
            <w:pPr>
              <w:spacing w:before="0" w:after="35" w:line="240" w:lineRule="auto"/>
            </w:pPr>
            <w:r>
              <w:rPr>
                <w:sz w:val="19"/>
              </w:rPr>
              <w:t xml:space="preserve">Primary-school evidence</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25 ampirik çalışma mevcut; yöntemler heterojen</w:t>
            </w:r>
          </w:p>
        </w:tc>
      </w:tr>
      <w:tr>
        <w:trPr>
          <w:cantSplit/>
        </w:trPr>
        <w:tc>
          <w:tcPr>
            <w:tcW w:w="2891" w:type="dxa"/>
            <w:vAlign w:val="top"/>
          </w:tcPr>
          <w:p>
            <w:pPr>
              <w:spacing w:before="0" w:after="35" w:line="240" w:lineRule="auto"/>
            </w:pPr>
            <w:r>
              <w:rPr>
                <w:sz w:val="19"/>
              </w:rPr>
              <w:t xml:space="preserve">Developmental clarity</w:t>
            </w:r>
          </w:p>
        </w:tc>
        <w:tc>
          <w:tcPr>
            <w:tcW w:w="1157" w:type="dxa"/>
            <w:vAlign w:val="top"/>
          </w:tcPr>
          <w:p>
            <w:pPr>
              <w:spacing w:before="0" w:after="35" w:line="240" w:lineRule="auto"/>
            </w:pPr>
            <w:r>
              <w:rPr>
                <w:sz w:val="19"/>
              </w:rPr>
              <w:t xml:space="preserve">2.5/5</w:t>
            </w:r>
          </w:p>
        </w:tc>
        <w:tc>
          <w:tcPr>
            <w:tcW w:w="5590" w:type="dxa"/>
            <w:vAlign w:val="top"/>
          </w:tcPr>
          <w:p>
            <w:pPr>
              <w:spacing w:before="0" w:after="35" w:line="240" w:lineRule="auto"/>
            </w:pPr>
            <w:r>
              <w:rPr>
                <w:sz w:val="19"/>
              </w:rPr>
              <w:t xml:space="preserve">Güvenilir yaş sıralaması sınırlı</w:t>
            </w:r>
          </w:p>
        </w:tc>
      </w:tr>
      <w:tr>
        <w:trPr>
          <w:cantSplit/>
        </w:trPr>
        <w:tc>
          <w:tcPr>
            <w:tcW w:w="2891" w:type="dxa"/>
            <w:vAlign w:val="top"/>
          </w:tcPr>
          <w:p>
            <w:pPr>
              <w:spacing w:before="0" w:after="35" w:line="240" w:lineRule="auto"/>
            </w:pPr>
            <w:r>
              <w:rPr>
                <w:sz w:val="19"/>
              </w:rPr>
              <w:t xml:space="preserve">Measurability</w:t>
            </w:r>
          </w:p>
        </w:tc>
        <w:tc>
          <w:tcPr>
            <w:tcW w:w="1157" w:type="dxa"/>
            <w:vAlign w:val="top"/>
          </w:tcPr>
          <w:p>
            <w:pPr>
              <w:spacing w:before="0" w:after="35" w:line="240" w:lineRule="auto"/>
            </w:pPr>
            <w:r>
              <w:rPr>
                <w:sz w:val="19"/>
              </w:rPr>
              <w:t xml:space="preserve">3/5</w:t>
            </w:r>
          </w:p>
        </w:tc>
        <w:tc>
          <w:tcPr>
            <w:tcW w:w="5590" w:type="dxa"/>
            <w:vAlign w:val="top"/>
          </w:tcPr>
          <w:p>
            <w:pPr>
              <w:spacing w:before="0" w:after="35" w:line="240" w:lineRule="auto"/>
            </w:pPr>
            <w:r>
              <w:rPr>
                <w:sz w:val="19"/>
              </w:rPr>
              <w:t xml:space="preserve">Öz bildirim ağırlığı ve standardizasyon sorunu var</w:t>
            </w:r>
          </w:p>
        </w:tc>
      </w:tr>
      <w:tr>
        <w:trPr>
          <w:cantSplit/>
        </w:trPr>
        <w:tc>
          <w:tcPr>
            <w:tcW w:w="2891" w:type="dxa"/>
            <w:vAlign w:val="top"/>
          </w:tcPr>
          <w:p>
            <w:pPr>
              <w:spacing w:before="0" w:after="35" w:line="240" w:lineRule="auto"/>
            </w:pPr>
            <w:r>
              <w:rPr>
                <w:sz w:val="19"/>
              </w:rPr>
              <w:t xml:space="preserve">Transfer</w:t>
            </w:r>
          </w:p>
        </w:tc>
        <w:tc>
          <w:tcPr>
            <w:tcW w:w="1157" w:type="dxa"/>
            <w:vAlign w:val="top"/>
          </w:tcPr>
          <w:p>
            <w:pPr>
              <w:spacing w:before="0" w:after="35" w:line="240" w:lineRule="auto"/>
            </w:pPr>
            <w:r>
              <w:rPr>
                <w:sz w:val="19"/>
              </w:rPr>
              <w:t xml:space="preserve">2.5/5</w:t>
            </w:r>
          </w:p>
        </w:tc>
        <w:tc>
          <w:tcPr>
            <w:tcW w:w="5590" w:type="dxa"/>
            <w:vAlign w:val="top"/>
          </w:tcPr>
          <w:p>
            <w:pPr>
              <w:spacing w:before="0" w:after="35" w:line="240" w:lineRule="auto"/>
            </w:pPr>
            <w:r>
              <w:rPr>
                <w:sz w:val="19"/>
              </w:rPr>
              <w:t xml:space="preserve">Az araştırılmış</w:t>
            </w:r>
          </w:p>
        </w:tc>
      </w:tr>
      <w:tr>
        <w:trPr>
          <w:cantSplit/>
        </w:trPr>
        <w:tc>
          <w:tcPr>
            <w:tcW w:w="2891" w:type="dxa"/>
            <w:vAlign w:val="top"/>
          </w:tcPr>
          <w:p>
            <w:pPr>
              <w:spacing w:before="0" w:after="35" w:line="240" w:lineRule="auto"/>
            </w:pPr>
            <w:r>
              <w:rPr>
                <w:sz w:val="19"/>
              </w:rPr>
              <w:t xml:space="preserve">Digital suitability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Doğrudan etkileşimli dijital bağlam</w:t>
            </w:r>
          </w:p>
        </w:tc>
      </w:tr>
      <w:tr>
        <w:trPr>
          <w:cantSplit/>
        </w:trPr>
        <w:tc>
          <w:tcPr>
            <w:tcW w:w="2891" w:type="dxa"/>
            <w:vAlign w:val="top"/>
          </w:tcPr>
          <w:p>
            <w:pPr>
              <w:spacing w:before="0" w:after="35" w:line="240" w:lineRule="auto"/>
            </w:pPr>
            <w:r>
              <w:rPr>
                <w:sz w:val="19"/>
              </w:rPr>
              <w:t xml:space="preserve">Game suitability</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Yanlılık, güven, doğrulama ve veri görevleriyle ilişkili</w:t>
            </w:r>
          </w:p>
        </w:tc>
      </w:tr>
      <w:tr>
        <w:trPr>
          <w:cantSplit/>
        </w:trPr>
        <w:tc>
          <w:tcPr>
            <w:tcW w:w="2891" w:type="dxa"/>
            <w:vAlign w:val="top"/>
          </w:tcPr>
          <w:p>
            <w:pPr>
              <w:spacing w:before="0" w:after="35" w:line="240" w:lineRule="auto"/>
            </w:pPr>
            <w:r>
              <w:rPr>
                <w:sz w:val="19"/>
              </w:rPr>
              <w:t xml:space="preserve">Research opportunity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Güvenin ayarlanması, performans ölçümü ve hata değerlendirmesinde boşluklar var</w:t>
            </w:r>
          </w:p>
        </w:tc>
      </w:tr>
    </w:tbl>
    <w:p>
      <w:pPr>
        <w:spacing w:after="50"/>
      </w:pPr>
    </w:p>
    <w:p>
      <w:pPr/>
      <w:r>
        <w:t xml:space="preserve">Kurumsal çerçeve değerlendirmesinde UNESCO'nun öğrenci yeterlik çerçevesi (Miao, Shiohira ve Lao, 2024) ile DigComp 3.0 (Cosgrove ve Cachia, 2025; </w:t>
      </w:r>
      <w:hyperlink r:id="rIdLink2">
        <w:r>
          <w:rPr>
            <w:rStyle w:val="Hyperlink"/>
          </w:rPr>
          <w:t xml:space="preserve">https://doi.org/10.2760/0001149</w:t>
        </w:r>
      </w:hyperlink>
      <w:r>
        <w:t xml:space="preserve">) dikkate alınmaktadır. Genel değerlendirme, yapay zekâ okuryazarlığının gelişmekte olan ve çok yüksek araştırma potansiyeli taşıyan bir alan olduğudur; gelişmekte olması kanıtın bütünüyle zayıf olduğu anlamına gelmez.</w:t>
      </w:r>
    </w:p>
    <w:p>
      <w:pPr/>
      <w:r>
        <w:rPr>
          <w:b/>
        </w:rPr>
        <w:t xml:space="preserve">Bilgi ve medya okuryazarlığı</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891"/>
        <w:gridCol w:w="1157"/>
        <w:gridCol w:w="5590"/>
      </w:tblGrid>
      <w:tr>
        <w:trPr>
          <w:cantSplit/>
          <w:tblHeader/>
        </w:trPr>
        <w:tc>
          <w:tcPr>
            <w:tcW w:w="2891" w:type="dxa"/>
            <w:vAlign w:val="top"/>
            <w:shd w:fill="E9EEF3" w:val="clear"/>
          </w:tcPr>
          <w:p>
            <w:pPr>
              <w:spacing w:before="0" w:after="35" w:line="240" w:lineRule="auto"/>
            </w:pPr>
            <w:r>
              <w:rPr>
                <w:b/>
                <w:sz w:val="19"/>
              </w:rPr>
              <w:t xml:space="preserve">Ölçüt</w:t>
            </w:r>
          </w:p>
        </w:tc>
        <w:tc>
          <w:tcPr>
            <w:tcW w:w="1157" w:type="dxa"/>
            <w:vAlign w:val="top"/>
            <w:shd w:fill="E9EEF3" w:val="clear"/>
          </w:tcPr>
          <w:p>
            <w:pPr>
              <w:spacing w:before="0" w:after="35" w:line="240" w:lineRule="auto"/>
            </w:pPr>
            <w:r>
              <w:rPr>
                <w:b/>
                <w:sz w:val="19"/>
              </w:rPr>
              <w:t xml:space="preserve">Puan</w:t>
            </w:r>
          </w:p>
        </w:tc>
        <w:tc>
          <w:tcPr>
            <w:tcW w:w="5590" w:type="dxa"/>
            <w:vAlign w:val="top"/>
            <w:shd w:fill="E9EEF3" w:val="clear"/>
          </w:tcPr>
          <w:p>
            <w:pPr>
              <w:spacing w:before="0" w:after="35" w:line="240" w:lineRule="auto"/>
            </w:pPr>
            <w:r>
              <w:rPr>
                <w:b/>
                <w:sz w:val="19"/>
              </w:rPr>
              <w:t xml:space="preserve">Kısa gerekçe</w:t>
            </w:r>
          </w:p>
        </w:tc>
      </w:tr>
      <w:tr>
        <w:trPr>
          <w:cantSplit/>
        </w:trPr>
        <w:tc>
          <w:tcPr>
            <w:tcW w:w="2891" w:type="dxa"/>
            <w:vAlign w:val="top"/>
          </w:tcPr>
          <w:p>
            <w:pPr>
              <w:spacing w:before="0" w:after="35" w:line="240" w:lineRule="auto"/>
            </w:pPr>
            <w:r>
              <w:rPr>
                <w:sz w:val="19"/>
              </w:rPr>
              <w:t xml:space="preserve">Future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Yanlış bilgi ve üretken yapay zekâyla ilişkili</w:t>
            </w:r>
          </w:p>
        </w:tc>
      </w:tr>
      <w:tr>
        <w:trPr>
          <w:cantSplit/>
        </w:trPr>
        <w:tc>
          <w:tcPr>
            <w:tcW w:w="2891" w:type="dxa"/>
            <w:vAlign w:val="top"/>
          </w:tcPr>
          <w:p>
            <w:pPr>
              <w:spacing w:before="0" w:after="35" w:line="240" w:lineRule="auto"/>
            </w:pPr>
            <w:r>
              <w:rPr>
                <w:sz w:val="19"/>
              </w:rPr>
              <w:t xml:space="preserve">Overall evidence strength</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Daha uzun bilgi ve medya okuryazarlığı literatürü</w:t>
            </w:r>
          </w:p>
        </w:tc>
      </w:tr>
      <w:tr>
        <w:trPr>
          <w:cantSplit/>
        </w:trPr>
        <w:tc>
          <w:tcPr>
            <w:tcW w:w="2891" w:type="dxa"/>
            <w:vAlign w:val="top"/>
          </w:tcPr>
          <w:p>
            <w:pPr>
              <w:spacing w:before="0" w:after="35" w:line="240" w:lineRule="auto"/>
            </w:pPr>
            <w:r>
              <w:rPr>
                <w:sz w:val="19"/>
              </w:rPr>
              <w:t xml:space="preserve">Child developmental evidence</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Seçici güven ve çevrimiçi güvenilirlik çalışmaları var</w:t>
            </w:r>
          </w:p>
        </w:tc>
      </w:tr>
      <w:tr>
        <w:trPr>
          <w:cantSplit/>
        </w:trPr>
        <w:tc>
          <w:tcPr>
            <w:tcW w:w="2891" w:type="dxa"/>
            <w:vAlign w:val="top"/>
          </w:tcPr>
          <w:p>
            <w:pPr>
              <w:spacing w:before="0" w:after="35" w:line="240" w:lineRule="auto"/>
            </w:pPr>
            <w:r>
              <w:rPr>
                <w:sz w:val="19"/>
              </w:rPr>
              <w:t xml:space="preserve">Teachability</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Genel müdahale kanıtları olumlu</w:t>
            </w:r>
          </w:p>
        </w:tc>
      </w:tr>
      <w:tr>
        <w:trPr>
          <w:cantSplit/>
        </w:trPr>
        <w:tc>
          <w:tcPr>
            <w:tcW w:w="2891" w:type="dxa"/>
            <w:vAlign w:val="top"/>
          </w:tcPr>
          <w:p>
            <w:pPr>
              <w:spacing w:before="0" w:after="35" w:line="240" w:lineRule="auto"/>
            </w:pPr>
            <w:r>
              <w:rPr>
                <w:sz w:val="19"/>
              </w:rPr>
              <w:t xml:space="preserve">Child-specific intervention evidence</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Sonuçlar karışık; genel şüphecilik riski var</w:t>
            </w:r>
          </w:p>
        </w:tc>
      </w:tr>
      <w:tr>
        <w:trPr>
          <w:cantSplit/>
        </w:trPr>
        <w:tc>
          <w:tcPr>
            <w:tcW w:w="2891" w:type="dxa"/>
            <w:vAlign w:val="top"/>
          </w:tcPr>
          <w:p>
            <w:pPr>
              <w:spacing w:before="0" w:after="35" w:line="240" w:lineRule="auto"/>
            </w:pPr>
            <w:r>
              <w:rPr>
                <w:sz w:val="19"/>
              </w:rPr>
              <w:t xml:space="preserve">Measurability</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Performansa dayalı güvenilirlik görevleri kullanılabilir</w:t>
            </w:r>
          </w:p>
        </w:tc>
      </w:tr>
      <w:tr>
        <w:trPr>
          <w:cantSplit/>
        </w:trPr>
        <w:tc>
          <w:tcPr>
            <w:tcW w:w="2891" w:type="dxa"/>
            <w:vAlign w:val="top"/>
          </w:tcPr>
          <w:p>
            <w:pPr>
              <w:spacing w:before="0" w:after="35" w:line="240" w:lineRule="auto"/>
            </w:pPr>
            <w:r>
              <w:rPr>
                <w:sz w:val="19"/>
              </w:rPr>
              <w:t xml:space="preserve">Transfer</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Kaynak ve konu alanı etkileri önemli</w:t>
            </w:r>
          </w:p>
        </w:tc>
      </w:tr>
      <w:tr>
        <w:trPr>
          <w:cantSplit/>
        </w:trPr>
        <w:tc>
          <w:tcPr>
            <w:tcW w:w="2891" w:type="dxa"/>
            <w:vAlign w:val="top"/>
          </w:tcPr>
          <w:p>
            <w:pPr>
              <w:spacing w:before="0" w:after="35" w:line="240" w:lineRule="auto"/>
            </w:pPr>
            <w:r>
              <w:rPr>
                <w:sz w:val="19"/>
              </w:rPr>
              <w:t xml:space="preserve">Digital suitability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Doğrudan dijital bilgi bağlamı</w:t>
            </w:r>
          </w:p>
        </w:tc>
      </w:tr>
      <w:tr>
        <w:trPr>
          <w:cantSplit/>
        </w:trPr>
        <w:tc>
          <w:tcPr>
            <w:tcW w:w="2891" w:type="dxa"/>
            <w:vAlign w:val="top"/>
          </w:tcPr>
          <w:p>
            <w:pPr>
              <w:spacing w:before="0" w:after="35" w:line="240" w:lineRule="auto"/>
            </w:pPr>
            <w:r>
              <w:rPr>
                <w:sz w:val="19"/>
              </w:rPr>
              <w:t xml:space="preserve">Game suitability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Araştırma ve doğrulama görevleriyle ilişkili</w:t>
            </w:r>
          </w:p>
        </w:tc>
      </w:tr>
      <w:tr>
        <w:trPr>
          <w:cantSplit/>
        </w:trPr>
        <w:tc>
          <w:tcPr>
            <w:tcW w:w="2891" w:type="dxa"/>
            <w:vAlign w:val="top"/>
          </w:tcPr>
          <w:p>
            <w:pPr>
              <w:spacing w:before="0" w:after="35" w:line="240" w:lineRule="auto"/>
            </w:pPr>
            <w:r>
              <w:rPr>
                <w:sz w:val="19"/>
              </w:rPr>
              <w:t xml:space="preserve">AI-era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Sentetik medyayla önemi artıyor</w:t>
            </w:r>
          </w:p>
        </w:tc>
      </w:tr>
      <w:tr>
        <w:trPr>
          <w:cantSplit/>
        </w:trPr>
        <w:tc>
          <w:tcPr>
            <w:tcW w:w="2891" w:type="dxa"/>
            <w:vAlign w:val="top"/>
          </w:tcPr>
          <w:p>
            <w:pPr>
              <w:spacing w:before="0" w:after="35" w:line="240" w:lineRule="auto"/>
            </w:pPr>
            <w:r>
              <w:rPr>
                <w:sz w:val="19"/>
              </w:rPr>
              <w:t xml:space="preserve">Research opportunity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Yapay zekâ üretimi bilgi yeni araştırma soruları oluşturuyor</w:t>
            </w:r>
          </w:p>
        </w:tc>
      </w:tr>
    </w:tbl>
    <w:p>
      <w:pPr>
        <w:spacing w:after="50"/>
      </w:pPr>
    </w:p>
    <w:p>
      <w:pPr/>
      <w:r>
        <w:t xml:space="preserve">Bilgi ve medya okuryazarlığı genel olarak çok güçlü bir araştırma alanı olarak değerlendirilmektedir. İki alanın kesişiminde temel hedef, yapay zekâyı kullanırken bilişsel ve ahlaki karar yetkisini bütünüyle devretmemek ve güveni kanıtın niteliğine göre düzenlemektir. Epistemik özne olma kapasitesi (epistemic agency), öğrencinin kanıtı değerlendirmesi, kararını gerekçelendirmesi ve yeni kanıtla görüşünü değiştirebilmesi bağlamında bir araştırma hipotezi olarak ele alınabilir; henüz doğrulanmış birleşik bir yeterlik olarak kabul edilmemelidir. Eleştirel düşünme, problem çözme, yaratıcılık, üstbiliş ve sistem düşüncesiyle kesişen ortak süreçlerin sentezi A3'te tartışılmaktadır.</w:t>
      </w:r>
    </w:p>
    <w:p>
      <w:pPr>
        <w:pStyle w:val="Heading2"/>
        <w:pageBreakBefore/>
      </w:pPr>
      <w:bookmarkStart w:id="9" w:name="A2_7"/>
      <w:r>
        <w:t xml:space="preserve">A2.7. Bilgi İşlemsel Düşünme ve Veri Okuryazarlığı</w:t>
      </w:r>
      <w:bookmarkEnd w:id="9"/>
    </w:p>
    <w:p>
      <w:pPr>
        <w:pStyle w:val="Heading3"/>
      </w:pPr>
      <w:r>
        <w:t xml:space="preserve">Kavramsal kapsam ve temel bileşenler</w:t>
      </w:r>
    </w:p>
    <w:p>
      <w:pPr/>
      <w:r>
        <w:t xml:space="preserve">Bilgi işlemsel düşünme (Computational Thinking, CT), problemleri soyut modeller ve hesaplamalı adımlarla çözülebilecek biçimde yapılandırma yetkinliğidir. Bununla birlikte alanda üzerinde bütünüyle uzlaşılmış tek bir tanım bulunmamaktadır. 2026 tarihli meta-derleme, 128 sistematik derleme ve meta-analizi inceleyerek kavramsal parçalanmanın sürdüğünü göstermiştir (</w:t>
      </w:r>
      <w:hyperlink r:id="rIdLink3">
        <w:r>
          <w:rPr>
            <w:rStyle w:val="Hyperlink"/>
          </w:rPr>
          <w:t xml:space="preserve">meta-derleme, 2026</w:t>
        </w:r>
      </w:hyperlink>
      <w:r>
        <w:t xml:space="preserve">). Bu raporda CT; problemi bileşenlerine ayırma, önemli yapı ve örüntüleri tanıma, gereksiz ayrıntıları soyutlama, sistematik çözüm adımları geliştirme, çözümü test ederek hataları düzeltme ve uygun koşullarda çözüm yapısını başka problemlere aktarma yetkinliği olarak ele alınmaktadır.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Bileşen</w:t>
            </w:r>
          </w:p>
        </w:tc>
        <w:tc>
          <w:tcPr>
            <w:tcW w:w="6939" w:type="dxa"/>
            <w:vAlign w:val="top"/>
            <w:shd w:fill="E9EEF3" w:val="clear"/>
          </w:tcPr>
          <w:p>
            <w:pPr>
              <w:spacing w:before="0" w:after="35" w:line="240" w:lineRule="auto"/>
            </w:pPr>
            <w:r>
              <w:rPr>
                <w:b/>
                <w:sz w:val="19"/>
              </w:rPr>
              <w:t xml:space="preserve">Temel anlam</w:t>
            </w:r>
          </w:p>
        </w:tc>
      </w:tr>
      <w:tr>
        <w:trPr>
          <w:cantSplit/>
        </w:trPr>
        <w:tc>
          <w:tcPr>
            <w:tcW w:w="2699" w:type="dxa"/>
            <w:vAlign w:val="top"/>
          </w:tcPr>
          <w:p>
            <w:pPr>
              <w:spacing w:before="0" w:after="35" w:line="240" w:lineRule="auto"/>
            </w:pPr>
            <w:r>
              <w:rPr>
                <w:sz w:val="19"/>
              </w:rPr>
              <w:t xml:space="preserve">Ayrıştırma (decomposition)</w:t>
            </w:r>
          </w:p>
        </w:tc>
        <w:tc>
          <w:tcPr>
            <w:tcW w:w="6939" w:type="dxa"/>
            <w:vAlign w:val="top"/>
          </w:tcPr>
          <w:p>
            <w:pPr>
              <w:spacing w:before="0" w:after="35" w:line="240" w:lineRule="auto"/>
            </w:pPr>
            <w:r>
              <w:rPr>
                <w:sz w:val="19"/>
              </w:rPr>
              <w:t xml:space="preserve">Karmaşık problemi daha küçük ve yönetilebilir alt problemlere ayırma</w:t>
            </w:r>
          </w:p>
        </w:tc>
      </w:tr>
      <w:tr>
        <w:trPr>
          <w:cantSplit/>
        </w:trPr>
        <w:tc>
          <w:tcPr>
            <w:tcW w:w="2699" w:type="dxa"/>
            <w:vAlign w:val="top"/>
          </w:tcPr>
          <w:p>
            <w:pPr>
              <w:spacing w:before="0" w:after="35" w:line="240" w:lineRule="auto"/>
            </w:pPr>
            <w:r>
              <w:rPr>
                <w:sz w:val="19"/>
              </w:rPr>
              <w:t xml:space="preserve">Örüntü tanıma (pattern recognition)</w:t>
            </w:r>
          </w:p>
        </w:tc>
        <w:tc>
          <w:tcPr>
            <w:tcW w:w="6939" w:type="dxa"/>
            <w:vAlign w:val="top"/>
          </w:tcPr>
          <w:p>
            <w:pPr>
              <w:spacing w:before="0" w:after="35" w:line="240" w:lineRule="auto"/>
            </w:pPr>
            <w:r>
              <w:rPr>
                <w:sz w:val="19"/>
              </w:rPr>
              <w:t xml:space="preserve">Problemler veya verilerdeki tekrarları ve benzer yapıları fark etme</w:t>
            </w:r>
          </w:p>
        </w:tc>
      </w:tr>
      <w:tr>
        <w:trPr>
          <w:cantSplit/>
        </w:trPr>
        <w:tc>
          <w:tcPr>
            <w:tcW w:w="2699" w:type="dxa"/>
            <w:vAlign w:val="top"/>
          </w:tcPr>
          <w:p>
            <w:pPr>
              <w:spacing w:before="0" w:after="35" w:line="240" w:lineRule="auto"/>
            </w:pPr>
            <w:r>
              <w:rPr>
                <w:sz w:val="19"/>
              </w:rPr>
              <w:t xml:space="preserve">Soyutlama (abstraction)</w:t>
            </w:r>
          </w:p>
        </w:tc>
        <w:tc>
          <w:tcPr>
            <w:tcW w:w="6939" w:type="dxa"/>
            <w:vAlign w:val="top"/>
          </w:tcPr>
          <w:p>
            <w:pPr>
              <w:spacing w:before="0" w:after="35" w:line="240" w:lineRule="auto"/>
            </w:pPr>
            <w:r>
              <w:rPr>
                <w:sz w:val="19"/>
              </w:rPr>
              <w:t xml:space="preserve">Gereksiz ayrıntıları eleyerek problem için önemli yapıyı temsil etme</w:t>
            </w:r>
          </w:p>
        </w:tc>
      </w:tr>
      <w:tr>
        <w:trPr>
          <w:cantSplit/>
        </w:trPr>
        <w:tc>
          <w:tcPr>
            <w:tcW w:w="2699" w:type="dxa"/>
            <w:vAlign w:val="top"/>
          </w:tcPr>
          <w:p>
            <w:pPr>
              <w:spacing w:before="0" w:after="35" w:line="240" w:lineRule="auto"/>
            </w:pPr>
            <w:r>
              <w:rPr>
                <w:sz w:val="19"/>
              </w:rPr>
              <w:t xml:space="preserve">Algoritmik düşünme (algorithmic thinking)</w:t>
            </w:r>
          </w:p>
        </w:tc>
        <w:tc>
          <w:tcPr>
            <w:tcW w:w="6939" w:type="dxa"/>
            <w:vAlign w:val="top"/>
          </w:tcPr>
          <w:p>
            <w:pPr>
              <w:spacing w:before="0" w:after="35" w:line="240" w:lineRule="auto"/>
            </w:pPr>
            <w:r>
              <w:rPr>
                <w:sz w:val="19"/>
              </w:rPr>
              <w:t xml:space="preserve">Çözümü sistematik, sıralı ve uygulanabilir adımlara dönüştürme</w:t>
            </w:r>
          </w:p>
        </w:tc>
      </w:tr>
      <w:tr>
        <w:trPr>
          <w:cantSplit/>
        </w:trPr>
        <w:tc>
          <w:tcPr>
            <w:tcW w:w="2699" w:type="dxa"/>
            <w:vAlign w:val="top"/>
          </w:tcPr>
          <w:p>
            <w:pPr>
              <w:spacing w:before="0" w:after="35" w:line="240" w:lineRule="auto"/>
            </w:pPr>
            <w:r>
              <w:rPr>
                <w:sz w:val="19"/>
              </w:rPr>
              <w:t xml:space="preserve">Değerlendirme (evaluation)</w:t>
            </w:r>
          </w:p>
        </w:tc>
        <w:tc>
          <w:tcPr>
            <w:tcW w:w="6939" w:type="dxa"/>
            <w:vAlign w:val="top"/>
          </w:tcPr>
          <w:p>
            <w:pPr>
              <w:spacing w:before="0" w:after="35" w:line="240" w:lineRule="auto"/>
            </w:pPr>
            <w:r>
              <w:rPr>
                <w:sz w:val="19"/>
              </w:rPr>
              <w:t xml:space="preserve">Çözümün çalışıp çalışmadığını değerlendirme</w:t>
            </w:r>
          </w:p>
        </w:tc>
      </w:tr>
      <w:tr>
        <w:trPr>
          <w:cantSplit/>
        </w:trPr>
        <w:tc>
          <w:tcPr>
            <w:tcW w:w="2699" w:type="dxa"/>
            <w:vAlign w:val="top"/>
          </w:tcPr>
          <w:p>
            <w:pPr>
              <w:spacing w:before="0" w:after="35" w:line="240" w:lineRule="auto"/>
            </w:pPr>
            <w:r>
              <w:rPr>
                <w:sz w:val="19"/>
              </w:rPr>
              <w:t xml:space="preserve">Test etme ve hata ayıklama (testing and debugging)</w:t>
            </w:r>
          </w:p>
        </w:tc>
        <w:tc>
          <w:tcPr>
            <w:tcW w:w="6939" w:type="dxa"/>
            <w:vAlign w:val="top"/>
          </w:tcPr>
          <w:p>
            <w:pPr>
              <w:spacing w:before="0" w:after="35" w:line="240" w:lineRule="auto"/>
            </w:pPr>
            <w:r>
              <w:rPr>
                <w:sz w:val="19"/>
              </w:rPr>
              <w:t xml:space="preserve">Hatayı bulma, nedenini araştırma, düzeltme ve yeniden test etme</w:t>
            </w:r>
          </w:p>
        </w:tc>
      </w:tr>
      <w:tr>
        <w:trPr>
          <w:cantSplit/>
        </w:trPr>
        <w:tc>
          <w:tcPr>
            <w:tcW w:w="2699" w:type="dxa"/>
            <w:vAlign w:val="top"/>
          </w:tcPr>
          <w:p>
            <w:pPr>
              <w:spacing w:before="0" w:after="35" w:line="240" w:lineRule="auto"/>
            </w:pPr>
            <w:r>
              <w:rPr>
                <w:sz w:val="19"/>
              </w:rPr>
              <w:t xml:space="preserve">Genelleme (generalisation)</w:t>
            </w:r>
          </w:p>
        </w:tc>
        <w:tc>
          <w:tcPr>
            <w:tcW w:w="6939" w:type="dxa"/>
            <w:vAlign w:val="top"/>
          </w:tcPr>
          <w:p>
            <w:pPr>
              <w:spacing w:before="0" w:after="35" w:line="240" w:lineRule="auto"/>
            </w:pPr>
            <w:r>
              <w:rPr>
                <w:sz w:val="19"/>
              </w:rPr>
              <w:t xml:space="preserve">Çözüm yapısını benzer başka problemlere uyarlama</w:t>
            </w:r>
          </w:p>
        </w:tc>
      </w:tr>
    </w:tbl>
    <w:p>
      <w:pPr>
        <w:spacing w:after="50"/>
      </w:pPr>
    </w:p>
    <w:p>
      <w:pPr/>
      <w:r>
        <w:t xml:space="preserve">2026 tarihli eğitim derlemesi de ayrıştırma, örüntü tanıma, soyutlama, algoritmik düşünme ve değerlendirmeyi eğitim kademeleri arasında kullanılabilecek ortak bileşenler olarak ele almaktadır (</w:t>
      </w:r>
      <w:hyperlink r:id="rIdLink4">
        <w:r>
          <w:rPr>
            <w:rStyle w:val="Hyperlink"/>
          </w:rPr>
          <w:t xml:space="preserve">eğitim derlemesi, 2026</w:t>
        </w:r>
      </w:hyperlink>
      <w:r>
        <w:t xml:space="preserve">). Türkiye Yüzyılı Maarif Modeli, Bilgi İşlemsel Düşünme Becerisini sorgulama, algoritmik düşünme, soyutlama, ayrıştırma ve test etme–hata ayıklama bileşenleriyle tanımlamaktadır (</w:t>
      </w:r>
      <w:hyperlink r:id="rIdLink5">
        <w:r>
          <w:rPr>
            <w:rStyle w:val="Hyperlink"/>
          </w:rPr>
          <w:t xml:space="preserve">MEB, alan becerileri</w:t>
        </w:r>
      </w:hyperlink>
      <w:r>
        <w:t xml:space="preserve">).</w:t>
      </w:r>
    </w:p>
    <w:p>
      <w:pPr/>
      <w:r>
        <w:t xml:space="preserve">Kodlama, CT geliştirmek için kullanılabilecek bir araçtır; ancak kodlama başarısı CT ile eşdeğer değildir. Komutları doğru uygulama, problemi ayrıştırma, çözüm sırasını gerekçelendirme, hatanın nedenini bulma veya çözümü yeni bağlama aktarma becerilerini tek başına göstermez. 2024 tarihli K–12 sistematik derlemesi CT'nin teknoloji kullanımıyla sınırlı olmadığını; soyutlama, problem ayrıştırma, algoritmik düşünme, veri analizi ve genelleme gibi bilişsel yapıları kapsadığını vurgulamaktadır (</w:t>
      </w:r>
      <w:hyperlink r:id="rIdLink6">
        <w:r>
          <w:rPr>
            <w:rStyle w:val="Hyperlink"/>
          </w:rPr>
          <w:t xml:space="preserve">K–12 derlemesi, 2024</w:t>
        </w:r>
      </w:hyperlink>
      <w:r>
        <w:t xml:space="preserve">).</w:t>
      </w:r>
    </w:p>
    <w:p>
      <w:pPr/>
      <w:r>
        <w:t xml:space="preserve">CT, A2.2'de ele alınan problem çözmeye sistematik bir yapı kazandırabilir. Ayrıştırma, alt problemlerin belirlenmesini; A2.5'teki sistem düşüncesi ise bunların karşılıklı ilişkilerinin değerlendirilmesini öne çıkarır. Algoritmik düşünme, programlama dili kullanmadan da bir çözümün başkalarınca tekrar uygulanabilecek sırasını ve koşullarını açıklamayı içerir. Hata ayıklama; hatayı saptama, nedenini belirleme, çözümü değiştirme ve yeniden test etme yoluyla A2.4'teki üstbilişle kesişir. Soyutlama ise önemli değişkenleri seçerek problemi temsil etmeyi gerektirir. Ancak 2025 tarihli K–12 sistematik derlemesi, soyutlamanın tanımı, öğretimi ve değerlendirilmesinde ciddi tutarsızlıklar ve geçerli değerlendirme rubriklerinde yetersizlikler bildirmektedir (</w:t>
      </w:r>
      <w:hyperlink r:id="rIdLink7">
        <w:r>
          <w:rPr>
            <w:rStyle w:val="Hyperlink"/>
          </w:rPr>
          <w:t xml:space="preserve">soyutlama derlemesi, 2025</w:t>
        </w:r>
      </w:hyperlink>
      <w:r>
        <w:t xml:space="preserve">).</w:t>
      </w:r>
    </w:p>
    <w:p>
      <w:pPr>
        <w:pStyle w:val="Heading3"/>
      </w:pPr>
      <w:r>
        <w:t xml:space="preserve">CT öğretimi, erken çocukluk ve transfer kanıtları</w:t>
      </w:r>
    </w:p>
    <w:p>
      <w:pPr/>
      <w:r>
        <w:t xml:space="preserve">2023 tarihli sistematik derleme, 2010–2022 arasında yayımlanan 26 çalışmayı incelemiş; yaşa uygun öğrenme ortamlarında küçük çocukların erken CT kavram ve becerilerini geliştirebildiğini bildirmiştir. İncelenen yaklaşımlar eğitsel robotik, blok tabanlı kodlama, bilgisayarsız etkinlikler, bedensel etkinlikler ve fiziksel materyalleri kapsamaktadır. Aynı derleme, çocuklarda kullanılan CT değerlendirme araçlarının standardizasyonunu önemli bir sorun olarak tanımlamıştır (</w:t>
      </w:r>
      <w:hyperlink r:id="rIdLink8">
        <w:r>
          <w:rPr>
            <w:rStyle w:val="Hyperlink"/>
          </w:rPr>
          <w:t xml:space="preserve">erken çocukluk derlemesi, 2023</w:t>
        </w:r>
      </w:hyperlink>
      <w:r>
        <w:t xml:space="preserve">). Erken çocukluk alanındaki 13 derlemeyi kapsayan 2024 tarihli şemsiye derleme de CT tanımları, pedagojik modeller, değerlendirme ve kullanılan araçlar bakımından parçalanmanın sürdüğünü göstermiştir (</w:t>
      </w:r>
      <w:hyperlink r:id="rIdLink9">
        <w:r>
          <w:rPr>
            <w:rStyle w:val="Hyperlink"/>
          </w:rPr>
          <w:t xml:space="preserve">şemsiye derleme, 2024</w:t>
        </w:r>
      </w:hyperlink>
      <w:r>
        <w:t xml:space="preserve">). Bu bulgular, küçük çocuklar için genel bir yeterlik hükmünden çok hangi CT bileşeninin hangi görev ve düzeyde geliştirilebildiğine odaklanmayı gerektirir.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313"/>
        <w:gridCol w:w="1638"/>
        <w:gridCol w:w="2410"/>
        <w:gridCol w:w="3277"/>
      </w:tblGrid>
      <w:tr>
        <w:trPr>
          <w:cantSplit/>
          <w:tblHeader/>
        </w:trPr>
        <w:tc>
          <w:tcPr>
            <w:tcW w:w="2313" w:type="dxa"/>
            <w:vAlign w:val="top"/>
            <w:shd w:fill="E9EEF3" w:val="clear"/>
          </w:tcPr>
          <w:p>
            <w:pPr>
              <w:spacing w:before="0" w:after="35" w:line="240" w:lineRule="auto"/>
            </w:pPr>
            <w:r>
              <w:rPr>
                <w:b/>
                <w:sz w:val="19"/>
              </w:rPr>
              <w:t xml:space="preserve">Sentez</w:t>
            </w:r>
          </w:p>
        </w:tc>
        <w:tc>
          <w:tcPr>
            <w:tcW w:w="1638" w:type="dxa"/>
            <w:vAlign w:val="top"/>
            <w:shd w:fill="E9EEF3" w:val="clear"/>
          </w:tcPr>
          <w:p>
            <w:pPr>
              <w:spacing w:before="0" w:after="35" w:line="240" w:lineRule="auto"/>
            </w:pPr>
            <w:r>
              <w:rPr>
                <w:b/>
                <w:sz w:val="19"/>
              </w:rPr>
              <w:t xml:space="preserve">Kapsam</w:t>
            </w:r>
          </w:p>
        </w:tc>
        <w:tc>
          <w:tcPr>
            <w:tcW w:w="2410" w:type="dxa"/>
            <w:vAlign w:val="top"/>
            <w:shd w:fill="E9EEF3" w:val="clear"/>
          </w:tcPr>
          <w:p>
            <w:pPr>
              <w:spacing w:before="0" w:after="35" w:line="240" w:lineRule="auto"/>
            </w:pPr>
            <w:r>
              <w:rPr>
                <w:b/>
                <w:sz w:val="19"/>
              </w:rPr>
              <w:t xml:space="preserve">Temel bulgu</w:t>
            </w:r>
          </w:p>
        </w:tc>
        <w:tc>
          <w:tcPr>
            <w:tcW w:w="3277" w:type="dxa"/>
            <w:vAlign w:val="top"/>
            <w:shd w:fill="E9EEF3" w:val="clear"/>
          </w:tcPr>
          <w:p>
            <w:pPr>
              <w:spacing w:before="0" w:after="35" w:line="240" w:lineRule="auto"/>
            </w:pPr>
            <w:r>
              <w:rPr>
                <w:b/>
                <w:sz w:val="19"/>
              </w:rPr>
              <w:t xml:space="preserve">Yorum sınırı</w:t>
            </w:r>
          </w:p>
        </w:tc>
      </w:tr>
      <w:tr>
        <w:trPr>
          <w:cantSplit/>
        </w:trPr>
        <w:tc>
          <w:tcPr>
            <w:tcW w:w="2313" w:type="dxa"/>
            <w:vAlign w:val="top"/>
          </w:tcPr>
          <w:p>
            <w:pPr>
              <w:spacing w:before="0" w:after="35" w:line="240" w:lineRule="auto"/>
            </w:pPr>
            <w:r>
              <w:rPr>
                <w:sz w:val="19"/>
              </w:rPr>
              <w:t xml:space="preserve">Erken çocukluk programlama müdahaleleri meta-analizi, 2025</w:t>
            </w:r>
          </w:p>
        </w:tc>
        <w:tc>
          <w:tcPr>
            <w:tcW w:w="1638" w:type="dxa"/>
            <w:vAlign w:val="top"/>
          </w:tcPr>
          <w:p>
            <w:pPr>
              <w:spacing w:before="0" w:after="35" w:line="240" w:lineRule="auto"/>
            </w:pPr>
            <w:r>
              <w:rPr>
                <w:sz w:val="19"/>
              </w:rPr>
              <w:t xml:space="preserve">25 çalışma; 82 etki büyüklüğü</w:t>
            </w:r>
          </w:p>
        </w:tc>
        <w:tc>
          <w:tcPr>
            <w:tcW w:w="2410" w:type="dxa"/>
            <w:vAlign w:val="top"/>
          </w:tcPr>
          <w:p>
            <w:pPr>
              <w:spacing w:before="0" w:after="35" w:line="240" w:lineRule="auto"/>
            </w:pPr>
            <w:r>
              <w:rPr>
                <w:sz w:val="19"/>
              </w:rPr>
              <w:t xml:space="preserve">Genel öğrenme etkisi d = 0.73; programlama bilgisi, CT, matematik ve bilişsel becerilerde olumlu sonuçlar</w:t>
            </w:r>
          </w:p>
        </w:tc>
        <w:tc>
          <w:tcPr>
            <w:tcW w:w="3277" w:type="dxa"/>
            <w:vAlign w:val="top"/>
          </w:tcPr>
          <w:p>
            <w:pPr>
              <w:spacing w:before="0" w:after="35" w:line="240" w:lineRule="auto"/>
            </w:pPr>
            <w:r>
              <w:rPr>
                <w:sz w:val="19"/>
              </w:rPr>
              <w:t xml:space="preserve">Birleşik öğrenme etkisi yalnızca CT etkisi değildir; bilgisayarsız etkinlikler ve robotik bazı karşılaştırmalarda ekran temelli veya diğer program çıktılarından daha güçlü sonuçlarla ilişkilendirilmiştir (</w:t>
            </w:r>
            <w:hyperlink r:id="rIdLink10">
              <w:r>
                <w:rPr>
                  <w:rStyle w:val="Hyperlink"/>
                  <w:sz w:val="19"/>
                </w:rPr>
                <w:t xml:space="preserve">kaynak</w:t>
              </w:r>
            </w:hyperlink>
            <w:r>
              <w:rPr>
                <w:sz w:val="19"/>
              </w:rPr>
              <w:t xml:space="preserve">).</w:t>
            </w:r>
          </w:p>
        </w:tc>
      </w:tr>
      <w:tr>
        <w:trPr>
          <w:cantSplit/>
        </w:trPr>
        <w:tc>
          <w:tcPr>
            <w:tcW w:w="2313" w:type="dxa"/>
            <w:vAlign w:val="top"/>
          </w:tcPr>
          <w:p>
            <w:pPr>
              <w:spacing w:before="0" w:after="35" w:line="240" w:lineRule="auto"/>
            </w:pPr>
            <w:r>
              <w:rPr>
                <w:sz w:val="19"/>
              </w:rPr>
              <w:t xml:space="preserve">Bedensel katılımlı bilgisayarsız programlama etkinlikleri meta-analizi, 2026</w:t>
            </w:r>
          </w:p>
        </w:tc>
        <w:tc>
          <w:tcPr>
            <w:tcW w:w="1638" w:type="dxa"/>
            <w:vAlign w:val="top"/>
          </w:tcPr>
          <w:p>
            <w:pPr>
              <w:spacing w:before="0" w:after="35" w:line="240" w:lineRule="auto"/>
            </w:pPr>
            <w:r>
              <w:rPr>
                <w:sz w:val="19"/>
              </w:rPr>
              <w:t xml:space="preserve">97 çalışma; 198 etki büyüklüğü; 23.168 öğrenci</w:t>
            </w:r>
          </w:p>
        </w:tc>
        <w:tc>
          <w:tcPr>
            <w:tcW w:w="2410" w:type="dxa"/>
            <w:vAlign w:val="top"/>
          </w:tcPr>
          <w:p>
            <w:pPr>
              <w:spacing w:before="0" w:after="35" w:line="240" w:lineRule="auto"/>
            </w:pPr>
            <w:r>
              <w:rPr>
                <w:sz w:val="19"/>
              </w:rPr>
              <w:t xml:space="preserve">CT için g = 0.636</w:t>
            </w:r>
          </w:p>
        </w:tc>
        <w:tc>
          <w:tcPr>
            <w:tcW w:w="3277" w:type="dxa"/>
            <w:vAlign w:val="top"/>
          </w:tcPr>
          <w:p>
            <w:pPr>
              <w:spacing w:before="0" w:after="35" w:line="240" w:lineRule="auto"/>
            </w:pPr>
            <w:r>
              <w:rPr>
                <w:sz w:val="19"/>
              </w:rPr>
              <w:t xml:space="preserve">Sonuç, CT öğretiminin bilgisayara bağımlı olmadığını destekler (</w:t>
            </w:r>
            <w:hyperlink r:id="rIdLink11">
              <w:r>
                <w:rPr>
                  <w:rStyle w:val="Hyperlink"/>
                  <w:sz w:val="19"/>
                </w:rPr>
                <w:t xml:space="preserve">kaynak</w:t>
              </w:r>
            </w:hyperlink>
            <w:r>
              <w:rPr>
                <w:sz w:val="19"/>
              </w:rPr>
              <w:t xml:space="preserve">).</w:t>
            </w:r>
          </w:p>
        </w:tc>
      </w:tr>
      <w:tr>
        <w:trPr>
          <w:cantSplit/>
        </w:trPr>
        <w:tc>
          <w:tcPr>
            <w:tcW w:w="2313" w:type="dxa"/>
            <w:vAlign w:val="top"/>
          </w:tcPr>
          <w:p>
            <w:pPr>
              <w:spacing w:before="0" w:after="35" w:line="240" w:lineRule="auto"/>
            </w:pPr>
            <w:r>
              <w:rPr>
                <w:sz w:val="19"/>
              </w:rPr>
              <w:t xml:space="preserve">Robot destekli öğrenme meta-analizi, 2024</w:t>
            </w:r>
          </w:p>
        </w:tc>
        <w:tc>
          <w:tcPr>
            <w:tcW w:w="1638" w:type="dxa"/>
            <w:vAlign w:val="top"/>
          </w:tcPr>
          <w:p>
            <w:pPr>
              <w:spacing w:before="0" w:after="35" w:line="240" w:lineRule="auto"/>
            </w:pPr>
            <w:r>
              <w:rPr>
                <w:sz w:val="19"/>
              </w:rPr>
              <w:t xml:space="preserve">26 hakemli çalışma; 33 etki büyüklüğü</w:t>
            </w:r>
          </w:p>
        </w:tc>
        <w:tc>
          <w:tcPr>
            <w:tcW w:w="2410" w:type="dxa"/>
            <w:vAlign w:val="top"/>
          </w:tcPr>
          <w:p>
            <w:pPr>
              <w:spacing w:before="0" w:after="35" w:line="240" w:lineRule="auto"/>
            </w:pPr>
            <w:r>
              <w:rPr>
                <w:sz w:val="19"/>
              </w:rPr>
              <w:t xml:space="preserve">Genel CT etkisi g = 0.643; CT kavramları g = 0.650; CT uygulamaları g = 0.587</w:t>
            </w:r>
          </w:p>
        </w:tc>
        <w:tc>
          <w:tcPr>
            <w:tcW w:w="3277" w:type="dxa"/>
            <w:vAlign w:val="top"/>
          </w:tcPr>
          <w:p>
            <w:pPr>
              <w:spacing w:before="0" w:after="35" w:line="240" w:lineRule="auto"/>
            </w:pPr>
            <w:r>
              <w:rPr>
                <w:sz w:val="19"/>
              </w:rPr>
              <w:t xml:space="preserve">Robot kullanımı tek başına CT öğretimi değildir; etkinliğin ayrıştırma, algoritma oluşturma, hata ayıklama, test etme ve yineleme gerektirmesi önemlidir (</w:t>
            </w:r>
            <w:hyperlink r:id="rIdLink12">
              <w:r>
                <w:rPr>
                  <w:rStyle w:val="Hyperlink"/>
                  <w:sz w:val="19"/>
                </w:rPr>
                <w:t xml:space="preserve">kaynak</w:t>
              </w:r>
            </w:hyperlink>
            <w:r>
              <w:rPr>
                <w:sz w:val="19"/>
              </w:rPr>
              <w:t xml:space="preserve">).</w:t>
            </w:r>
          </w:p>
        </w:tc>
      </w:tr>
      <w:tr>
        <w:trPr>
          <w:cantSplit/>
        </w:trPr>
        <w:tc>
          <w:tcPr>
            <w:tcW w:w="2313" w:type="dxa"/>
            <w:vAlign w:val="top"/>
          </w:tcPr>
          <w:p>
            <w:pPr>
              <w:spacing w:before="0" w:after="35" w:line="240" w:lineRule="auto"/>
            </w:pPr>
            <w:r>
              <w:rPr>
                <w:sz w:val="19"/>
              </w:rPr>
              <w:t xml:space="preserve">Kodlama/CT ve bilişsel transfer sistematik derlemesi ve meta-analizi, 2024</w:t>
            </w:r>
          </w:p>
        </w:tc>
        <w:tc>
          <w:tcPr>
            <w:tcW w:w="1638" w:type="dxa"/>
            <w:vAlign w:val="top"/>
          </w:tcPr>
          <w:p>
            <w:pPr>
              <w:spacing w:before="0" w:after="35" w:line="240" w:lineRule="auto"/>
            </w:pPr>
            <w:r>
              <w:rPr>
                <w:sz w:val="19"/>
              </w:rPr>
              <w:t xml:space="preserve">Derleme: 19 çalışma, 1.523 katılımcı; meta-analiz: 11 çalışma</w:t>
            </w:r>
          </w:p>
        </w:tc>
        <w:tc>
          <w:tcPr>
            <w:tcW w:w="2410" w:type="dxa"/>
            <w:vAlign w:val="top"/>
          </w:tcPr>
          <w:p>
            <w:pPr>
              <w:spacing w:before="0" w:after="35" w:line="240" w:lineRule="auto"/>
            </w:pPr>
            <w:r>
              <w:rPr>
                <w:sz w:val="19"/>
              </w:rPr>
              <w:t xml:space="preserve">Problem çözme d = 0.89; planlama d = 0.36; çalışma belleği d = 0.20; ketleme d = 0.17</w:t>
            </w:r>
          </w:p>
        </w:tc>
        <w:tc>
          <w:tcPr>
            <w:tcW w:w="3277" w:type="dxa"/>
            <w:vAlign w:val="top"/>
          </w:tcPr>
          <w:p>
            <w:pPr>
              <w:spacing w:before="0" w:after="35" w:line="240" w:lineRule="auto"/>
            </w:pPr>
            <w:r>
              <w:rPr>
                <w:sz w:val="19"/>
              </w:rPr>
              <w:t xml:space="preserve">Görevler, yaş grupları ve müdahaleler heterojendir; bulgular her probleme veya uzak bağlamlara aktarımın kanıtı değildir (</w:t>
            </w:r>
            <w:hyperlink r:id="rIdLink13">
              <w:r>
                <w:rPr>
                  <w:rStyle w:val="Hyperlink"/>
                  <w:sz w:val="19"/>
                </w:rPr>
                <w:t xml:space="preserve">kaynak</w:t>
              </w:r>
            </w:hyperlink>
            <w:r>
              <w:rPr>
                <w:sz w:val="19"/>
              </w:rPr>
              <w:t xml:space="preserve">).</w:t>
            </w:r>
          </w:p>
        </w:tc>
      </w:tr>
    </w:tbl>
    <w:p>
      <w:pPr>
        <w:spacing w:after="50"/>
      </w:pPr>
    </w:p>
    <w:p>
      <w:pPr/>
      <w:r>
        <w:t xml:space="preserve">Bilgisayarsız öğretimde kart sıralama, fiziksel labirentler, hareket komutları ve bir akrana adım adım yönerge verme gibi uygulamalar kullanılabilir. Dijital ortamların algoritmayı çalıştırma, sonucu ve hatayı görünür kılma, hızlı yineleme ve alternatif çözümleri karşılaştırma olanakları bulunmakla birlikte, yalnızca cihaz kullanımı CT kazanımının göstergesi değildir.</w:t>
      </w:r>
    </w:p>
    <w:p>
      <w:pPr/>
      <w:r>
        <w:t xml:space="preserve">Transfer bulguları, CT/kodlama müdahalelerinin problem çözme ve bazı yürütücü işlev süreçlerine aktarımı bakımından umut vericidir. Bununla birlikte alan dışı problem çözmeye uzak transferin kapsamı belirsizliğini korumaktadır. Erken çocukluk bulguları da standart ve kesin bir yaşa bağlı gelişim dizisi sunmamaktadır.</w:t>
      </w:r>
    </w:p>
    <w:p>
      <w:pPr>
        <w:pStyle w:val="Heading3"/>
      </w:pPr>
      <w:r>
        <w:t xml:space="preserve">Veri okuryazarlığının kapsamı ve süreçleri</w:t>
      </w:r>
    </w:p>
    <w:p>
      <w:pPr/>
      <w:r>
        <w:t xml:space="preserve">Veri okuryazarlığı, grafik okumaktan daha geniş bir yetkinliktir; hem veriyi tüketmeyi hem de üretmeyi içerir. Verinin kaynağını, nasıl toplandığını, eksikliklerini, uygun gösterimini ve hangi kararları desteklediğini sorgulamayı gerektirir. 83 ampirik çalışmayı kapsayan 2024 tarihli K–12 derlemesi, veri/istatistik okuryazarlığını veri açısından zengin bir dünyada karar vermenin temel bileşenlerinden biri olarak ele almaktadır (</w:t>
      </w:r>
      <w:hyperlink r:id="rIdLink14">
        <w:r>
          <w:rPr>
            <w:rStyle w:val="Hyperlink"/>
          </w:rPr>
          <w:t xml:space="preserve">K–12 derlemesi, 2024</w:t>
        </w:r>
      </w:hyperlink>
      <w:r>
        <w:t xml:space="preserve">).</w:t>
      </w:r>
    </w:p>
    <w:p>
      <w:pPr/>
      <w:r>
        <w:t xml:space="preserve">2025 tarihli K–12 kapsam belirleme derlemesi, 30 çalışmada 11 temel alt beceri belirlemiştir (</w:t>
      </w:r>
      <w:hyperlink r:id="rIdLink15">
        <w:r>
          <w:rPr>
            <w:rStyle w:val="Hyperlink"/>
          </w:rPr>
          <w:t xml:space="preserve">kapsam belirleme derlemesi, 2025</w:t>
        </w:r>
      </w:hyperlink>
      <w:r>
        <w:t xml:space="preserve">).</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Sıra</w:t>
            </w:r>
          </w:p>
        </w:tc>
        <w:tc>
          <w:tcPr>
            <w:tcW w:w="6939" w:type="dxa"/>
            <w:vAlign w:val="top"/>
            <w:shd w:fill="E9EEF3" w:val="clear"/>
          </w:tcPr>
          <w:p>
            <w:pPr>
              <w:spacing w:before="0" w:after="35" w:line="240" w:lineRule="auto"/>
            </w:pPr>
            <w:r>
              <w:rPr>
                <w:b/>
                <w:sz w:val="19"/>
              </w:rPr>
              <w:t xml:space="preserve">Veri okuryazarlığı alt becerisi</w:t>
            </w:r>
          </w:p>
        </w:tc>
      </w:tr>
      <w:tr>
        <w:trPr>
          <w:cantSplit/>
        </w:trPr>
        <w:tc>
          <w:tcPr>
            <w:tcW w:w="2699" w:type="dxa"/>
            <w:vAlign w:val="top"/>
          </w:tcPr>
          <w:p>
            <w:pPr>
              <w:spacing w:before="0" w:after="35" w:line="240" w:lineRule="auto"/>
            </w:pPr>
            <w:r>
              <w:rPr>
                <w:sz w:val="19"/>
              </w:rPr>
              <w:t xml:space="preserve">1</w:t>
            </w:r>
          </w:p>
        </w:tc>
        <w:tc>
          <w:tcPr>
            <w:tcW w:w="6939" w:type="dxa"/>
            <w:vAlign w:val="top"/>
          </w:tcPr>
          <w:p>
            <w:pPr>
              <w:spacing w:before="0" w:after="35" w:line="240" w:lineRule="auto"/>
            </w:pPr>
            <w:r>
              <w:rPr>
                <w:sz w:val="19"/>
              </w:rPr>
              <w:t xml:space="preserve">Soru tanımlama</w:t>
            </w:r>
          </w:p>
        </w:tc>
      </w:tr>
      <w:tr>
        <w:trPr>
          <w:cantSplit/>
        </w:trPr>
        <w:tc>
          <w:tcPr>
            <w:tcW w:w="2699" w:type="dxa"/>
            <w:vAlign w:val="top"/>
          </w:tcPr>
          <w:p>
            <w:pPr>
              <w:spacing w:before="0" w:after="35" w:line="240" w:lineRule="auto"/>
            </w:pPr>
            <w:r>
              <w:rPr>
                <w:sz w:val="19"/>
              </w:rPr>
              <w:t xml:space="preserve">2</w:t>
            </w:r>
          </w:p>
        </w:tc>
        <w:tc>
          <w:tcPr>
            <w:tcW w:w="6939" w:type="dxa"/>
            <w:vAlign w:val="top"/>
          </w:tcPr>
          <w:p>
            <w:pPr>
              <w:spacing w:before="0" w:after="35" w:line="240" w:lineRule="auto"/>
            </w:pPr>
            <w:r>
              <w:rPr>
                <w:sz w:val="19"/>
              </w:rPr>
              <w:t xml:space="preserve">Araştırma tasarımını planlama</w:t>
            </w:r>
          </w:p>
        </w:tc>
      </w:tr>
      <w:tr>
        <w:trPr>
          <w:cantSplit/>
        </w:trPr>
        <w:tc>
          <w:tcPr>
            <w:tcW w:w="2699" w:type="dxa"/>
            <w:vAlign w:val="top"/>
          </w:tcPr>
          <w:p>
            <w:pPr>
              <w:spacing w:before="0" w:after="35" w:line="240" w:lineRule="auto"/>
            </w:pPr>
            <w:r>
              <w:rPr>
                <w:sz w:val="19"/>
              </w:rPr>
              <w:t xml:space="preserve">3</w:t>
            </w:r>
          </w:p>
        </w:tc>
        <w:tc>
          <w:tcPr>
            <w:tcW w:w="6939" w:type="dxa"/>
            <w:vAlign w:val="top"/>
          </w:tcPr>
          <w:p>
            <w:pPr>
              <w:spacing w:before="0" w:after="35" w:line="240" w:lineRule="auto"/>
            </w:pPr>
            <w:r>
              <w:rPr>
                <w:sz w:val="19"/>
              </w:rPr>
              <w:t xml:space="preserve">Yeni veri toplama</w:t>
            </w:r>
          </w:p>
        </w:tc>
      </w:tr>
      <w:tr>
        <w:trPr>
          <w:cantSplit/>
        </w:trPr>
        <w:tc>
          <w:tcPr>
            <w:tcW w:w="2699" w:type="dxa"/>
            <w:vAlign w:val="top"/>
          </w:tcPr>
          <w:p>
            <w:pPr>
              <w:spacing w:before="0" w:after="35" w:line="240" w:lineRule="auto"/>
            </w:pPr>
            <w:r>
              <w:rPr>
                <w:sz w:val="19"/>
              </w:rPr>
              <w:t xml:space="preserve">4</w:t>
            </w:r>
          </w:p>
        </w:tc>
        <w:tc>
          <w:tcPr>
            <w:tcW w:w="6939" w:type="dxa"/>
            <w:vAlign w:val="top"/>
          </w:tcPr>
          <w:p>
            <w:pPr>
              <w:spacing w:before="0" w:after="35" w:line="240" w:lineRule="auto"/>
            </w:pPr>
            <w:r>
              <w:rPr>
                <w:sz w:val="19"/>
              </w:rPr>
              <w:t xml:space="preserve">Mevcut veriyi bulma</w:t>
            </w:r>
          </w:p>
        </w:tc>
      </w:tr>
      <w:tr>
        <w:trPr>
          <w:cantSplit/>
        </w:trPr>
        <w:tc>
          <w:tcPr>
            <w:tcW w:w="2699" w:type="dxa"/>
            <w:vAlign w:val="top"/>
          </w:tcPr>
          <w:p>
            <w:pPr>
              <w:spacing w:before="0" w:after="35" w:line="240" w:lineRule="auto"/>
            </w:pPr>
            <w:r>
              <w:rPr>
                <w:sz w:val="19"/>
              </w:rPr>
              <w:t xml:space="preserve">5</w:t>
            </w:r>
          </w:p>
        </w:tc>
        <w:tc>
          <w:tcPr>
            <w:tcW w:w="6939" w:type="dxa"/>
            <w:vAlign w:val="top"/>
          </w:tcPr>
          <w:p>
            <w:pPr>
              <w:spacing w:before="0" w:after="35" w:line="240" w:lineRule="auto"/>
            </w:pPr>
            <w:r>
              <w:rPr>
                <w:sz w:val="19"/>
              </w:rPr>
              <w:t xml:space="preserve">Veriyi düzenleme</w:t>
            </w:r>
          </w:p>
        </w:tc>
      </w:tr>
      <w:tr>
        <w:trPr>
          <w:cantSplit/>
        </w:trPr>
        <w:tc>
          <w:tcPr>
            <w:tcW w:w="2699" w:type="dxa"/>
            <w:vAlign w:val="top"/>
          </w:tcPr>
          <w:p>
            <w:pPr>
              <w:spacing w:before="0" w:after="35" w:line="240" w:lineRule="auto"/>
            </w:pPr>
            <w:r>
              <w:rPr>
                <w:sz w:val="19"/>
              </w:rPr>
              <w:t xml:space="preserve">6</w:t>
            </w:r>
          </w:p>
        </w:tc>
        <w:tc>
          <w:tcPr>
            <w:tcW w:w="6939" w:type="dxa"/>
            <w:vAlign w:val="top"/>
          </w:tcPr>
          <w:p>
            <w:pPr>
              <w:spacing w:before="0" w:after="35" w:line="240" w:lineRule="auto"/>
            </w:pPr>
            <w:r>
              <w:rPr>
                <w:sz w:val="19"/>
              </w:rPr>
              <w:t xml:space="preserve">Veriyi analiz etme</w:t>
            </w:r>
          </w:p>
        </w:tc>
      </w:tr>
      <w:tr>
        <w:trPr>
          <w:cantSplit/>
        </w:trPr>
        <w:tc>
          <w:tcPr>
            <w:tcW w:w="2699" w:type="dxa"/>
            <w:vAlign w:val="top"/>
          </w:tcPr>
          <w:p>
            <w:pPr>
              <w:spacing w:before="0" w:after="35" w:line="240" w:lineRule="auto"/>
            </w:pPr>
            <w:r>
              <w:rPr>
                <w:sz w:val="19"/>
              </w:rPr>
              <w:t xml:space="preserve">7</w:t>
            </w:r>
          </w:p>
        </w:tc>
        <w:tc>
          <w:tcPr>
            <w:tcW w:w="6939" w:type="dxa"/>
            <w:vAlign w:val="top"/>
          </w:tcPr>
          <w:p>
            <w:pPr>
              <w:spacing w:before="0" w:after="35" w:line="240" w:lineRule="auto"/>
            </w:pPr>
            <w:r>
              <w:rPr>
                <w:sz w:val="19"/>
              </w:rPr>
              <w:t xml:space="preserve">Veriyi görselleştirme</w:t>
            </w:r>
          </w:p>
        </w:tc>
      </w:tr>
      <w:tr>
        <w:trPr>
          <w:cantSplit/>
        </w:trPr>
        <w:tc>
          <w:tcPr>
            <w:tcW w:w="2699" w:type="dxa"/>
            <w:vAlign w:val="top"/>
          </w:tcPr>
          <w:p>
            <w:pPr>
              <w:spacing w:before="0" w:after="35" w:line="240" w:lineRule="auto"/>
            </w:pPr>
            <w:r>
              <w:rPr>
                <w:sz w:val="19"/>
              </w:rPr>
              <w:t xml:space="preserve">8</w:t>
            </w:r>
          </w:p>
        </w:tc>
        <w:tc>
          <w:tcPr>
            <w:tcW w:w="6939" w:type="dxa"/>
            <w:vAlign w:val="top"/>
          </w:tcPr>
          <w:p>
            <w:pPr>
              <w:spacing w:before="0" w:after="35" w:line="240" w:lineRule="auto"/>
            </w:pPr>
            <w:r>
              <w:rPr>
                <w:sz w:val="19"/>
              </w:rPr>
              <w:t xml:space="preserve">Veriyi yorumlama</w:t>
            </w:r>
          </w:p>
        </w:tc>
      </w:tr>
      <w:tr>
        <w:trPr>
          <w:cantSplit/>
        </w:trPr>
        <w:tc>
          <w:tcPr>
            <w:tcW w:w="2699" w:type="dxa"/>
            <w:vAlign w:val="top"/>
          </w:tcPr>
          <w:p>
            <w:pPr>
              <w:spacing w:before="0" w:after="35" w:line="240" w:lineRule="auto"/>
            </w:pPr>
            <w:r>
              <w:rPr>
                <w:sz w:val="19"/>
              </w:rPr>
              <w:t xml:space="preserve">9</w:t>
            </w:r>
          </w:p>
        </w:tc>
        <w:tc>
          <w:tcPr>
            <w:tcW w:w="6939" w:type="dxa"/>
            <w:vAlign w:val="top"/>
          </w:tcPr>
          <w:p>
            <w:pPr>
              <w:spacing w:before="0" w:after="35" w:line="240" w:lineRule="auto"/>
            </w:pPr>
            <w:r>
              <w:rPr>
                <w:sz w:val="19"/>
              </w:rPr>
              <w:t xml:space="preserve">Sonuçları iletişim yoluyla sunma</w:t>
            </w:r>
          </w:p>
        </w:tc>
      </w:tr>
      <w:tr>
        <w:trPr>
          <w:cantSplit/>
        </w:trPr>
        <w:tc>
          <w:tcPr>
            <w:tcW w:w="2699" w:type="dxa"/>
            <w:vAlign w:val="top"/>
          </w:tcPr>
          <w:p>
            <w:pPr>
              <w:spacing w:before="0" w:after="35" w:line="240" w:lineRule="auto"/>
            </w:pPr>
            <w:r>
              <w:rPr>
                <w:sz w:val="19"/>
              </w:rPr>
              <w:t xml:space="preserve">10</w:t>
            </w:r>
          </w:p>
        </w:tc>
        <w:tc>
          <w:tcPr>
            <w:tcW w:w="6939" w:type="dxa"/>
            <w:vAlign w:val="top"/>
          </w:tcPr>
          <w:p>
            <w:pPr>
              <w:spacing w:before="0" w:after="35" w:line="240" w:lineRule="auto"/>
            </w:pPr>
            <w:r>
              <w:rPr>
                <w:sz w:val="19"/>
              </w:rPr>
              <w:t xml:space="preserve">Veriyi ve sonucu değerlendirme</w:t>
            </w:r>
          </w:p>
        </w:tc>
      </w:tr>
      <w:tr>
        <w:trPr>
          <w:cantSplit/>
        </w:trPr>
        <w:tc>
          <w:tcPr>
            <w:tcW w:w="2699" w:type="dxa"/>
            <w:vAlign w:val="top"/>
          </w:tcPr>
          <w:p>
            <w:pPr>
              <w:spacing w:before="0" w:after="35" w:line="240" w:lineRule="auto"/>
            </w:pPr>
            <w:r>
              <w:rPr>
                <w:sz w:val="19"/>
              </w:rPr>
              <w:t xml:space="preserve">11</w:t>
            </w:r>
          </w:p>
        </w:tc>
        <w:tc>
          <w:tcPr>
            <w:tcW w:w="6939" w:type="dxa"/>
            <w:vAlign w:val="top"/>
          </w:tcPr>
          <w:p>
            <w:pPr>
              <w:spacing w:before="0" w:after="35" w:line="240" w:lineRule="auto"/>
            </w:pPr>
            <w:r>
              <w:rPr>
                <w:sz w:val="19"/>
              </w:rPr>
              <w:t xml:space="preserve">Yeni sorular üretme</w:t>
            </w:r>
          </w:p>
        </w:tc>
      </w:tr>
    </w:tbl>
    <w:p>
      <w:pPr>
        <w:spacing w:after="50"/>
      </w:pPr>
    </w:p>
    <w:p>
      <w:pPr/>
      <w:r>
        <w:t xml:space="preserve">Okul öncesinden lise sonuna uzanan GAISE II çerçevesi, istatistiksel problem çözmeyi dört aşamada tanımlar: istatistiksel araştırma soruları oluşturma, veri toplama veya mevcut veriyi değerlendirme, veriyi analiz etme ve sonuçları yorumlama. Çerçevenin merkezindeki değişkenlik, ölçümlerin ve bireylerin aynı olmadığını, verilerin kusursuz olmadığını ve sonuçların belirsizlik içerdiğini anlamayı gerektirir. Dolayısıyla veri okuryazarlığı kesin hesaplamanın yanında belirsizlik üzerine akıl yürütmeyi de kapsar (</w:t>
      </w:r>
      <w:hyperlink r:id="rIdLink16">
        <w:r>
          <w:rPr>
            <w:rStyle w:val="Hyperlink"/>
          </w:rPr>
          <w:t xml:space="preserve">GAISE II</w:t>
        </w:r>
      </w:hyperlink>
      <w:r>
        <w:t xml:space="preserve">).</w:t>
      </w:r>
    </w:p>
    <w:p>
      <w:pPr/>
      <w:r>
        <w:t xml:space="preserve">Türkiye Yüzyılı Maarif Modeli'ndeki OB7 — Veri Okuryazarlığı; sorular sorma ve olası sonuçları düşünme, araştırma tasarlama ve veri oluşturma, verileri sayısallaştırma/ölçme, düzenleme ve işleme, görselleştirme, basitleştirme/dönüştürme süreçlerini içerir. Soru üretme, araştırma tasarlama, veri toplama, tablo oluşturma ve grafik/harita oluşturma bu kapsamda açıkça tanımlanmıştır (</w:t>
      </w:r>
      <w:hyperlink r:id="rIdLink17">
        <w:r>
          <w:rPr>
            <w:rStyle w:val="Hyperlink"/>
          </w:rPr>
          <w:t xml:space="preserve">MEB, okuryazarlık becerileri</w:t>
        </w:r>
      </w:hyperlink>
      <w:r>
        <w:t xml:space="preserve">).</w:t>
      </w:r>
    </w:p>
    <w:p>
      <w:pPr/>
      <w:r>
        <w:t xml:space="preserve">2026 tarihli bilimsel veri okuryazarlığı sistematik derlemesi, K–16 düzeyindeki 42 hakemli ampirik çalışmada yedi veri uygulaması belirlemiştir: problemi anlama, deney tasarlama, veri toplama, veri temizleme, veri analizi, değerlendirme ve iletişim/yaygınlaştırma. K–16 kapsamı yalnızca çocukluk dönemiyle sınırlı olmadığından bulgular doğrudan küçük çocuklara genellenmemelidir (</w:t>
      </w:r>
      <w:hyperlink r:id="rIdLink18">
        <w:r>
          <w:rPr>
            <w:rStyle w:val="Hyperlink"/>
          </w:rPr>
          <w:t xml:space="preserve">bilimsel veri okuryazarlığı derlemesi, 2026</w:t>
        </w:r>
      </w:hyperlink>
      <w:r>
        <w:t xml:space="preserve">).</w:t>
      </w:r>
    </w:p>
    <w:p>
      <w:pPr>
        <w:pStyle w:val="Heading3"/>
      </w:pPr>
      <w:r>
        <w:t xml:space="preserve">Veri okuryazarlığında öğretim, eleştirel boyut ve araştırma boşlukları</w:t>
      </w:r>
    </w:p>
    <w:p>
      <w:pPr/>
      <w:r>
        <w:t xml:space="preserve">Yukarıda anılan 83 ampirik çalışmalık 2024 K–12 STEM derlemesinde özgün problem çözme ve gerçek yaşam verileri umut verici pedagojik yaklaşımlar arasındadır. Disiplinler arası öğretim, proje tabanlı öğrenme, bağlama yerleştirilmiş gerçek veriler ve teknolojik araçlar öne çıkmaktadır (</w:t>
      </w:r>
      <w:hyperlink r:id="rIdLink14">
        <w:r>
          <w:rPr>
            <w:rStyle w:val="Hyperlink"/>
          </w:rPr>
          <w:t xml:space="preserve">STEM derlemesi, 2024</w:t>
        </w:r>
      </w:hyperlink>
      <w:r>
        <w:t xml:space="preserve">). 2025 tarihli kapsam belirleme derlemesi de proje tabanlı öğrenmeyi, gerçek yaşam veri kümelerini ve güncel problemleri birlikte ele almayı önermektedir. Ancak analiz, yorumlama ve görselleştirme, araştırma planlama ve öğrencinin kendi verisini toplamasından daha sık çalışılmıştır; veri analizi etkinlikleri, bağımsız veri toplama planlama/yürütme uygulamalarının yaklaşık üç katıdır. Aynı derlemedeki çalışmaların yaklaşık %27'si ilkokul düzeyini hedeflemekte, ağırlık ortaokul ve lise öğrencilerinde kalmaktadır (</w:t>
      </w:r>
      <w:hyperlink r:id="rIdLink15">
        <w:r>
          <w:rPr>
            <w:rStyle w:val="Hyperlink"/>
          </w:rPr>
          <w:t xml:space="preserve">kapsam belirleme derlemesi, 2025</w:t>
        </w:r>
      </w:hyperlink>
      <w:r>
        <w:t xml:space="preserve">).</w:t>
      </w:r>
    </w:p>
    <w:p>
      <w:pPr/>
      <w:r>
        <w:t xml:space="preserve">Hazır bir veri kümesini analiz etmek, verinin nasıl üretildiğini anlama becerisini tek başına göstermez. Araştırma sorusu oluşturma, ölçüm yerini ve yöntemini planlama, veri üretme, hataları fark etme, düzenleme, görselleştirme, yorumlama ve yeni sorular geliştirme süreçleri birlikte değerlendirilmelidir. Gerçek veriler eksik, hatalı, yinelenmiş veya tutarsız olabilir ve ölçüm hatası içerebilir. Bu nedenle veri temizleme, anomaliyi belirleme ve verinin kullanılabilirliğini gerekçelendirme, eleştirel akıl yürütmenin de parçasıdır.</w:t>
      </w:r>
    </w:p>
    <w:p>
      <w:pPr/>
      <w:r>
        <w:t xml:space="preserve">Örnekleme ve yanlılık, veri okuryazarlığının temel eleştirel boyutlarıdır. Kimlerden, kaç kişiden, hangi yöntemle veri toplandığı ve kimlerin dışarıda kaldığı, bir sonucun yorumunu değiştirir. Veriyi kimin, hangi amaçla ürettiği de sorgulanmalıdır. Görselleştirmede grafik türü, eksenin başlangıcı ve ölçek seçimi veriyi açıklığa kavuşturabileceği gibi yanıltıcı da olabilir; bu boyut medya okuryazarlığıyla kesişir. Veriye dayalı anlatım yalnızca verinin ne söylediğini değil, neyi söylemediğini de açıklamalıdır. Korelasyon nedensellik değildir: iki değişkenin birlikte değişmesi, birinin diğerine neden olduğunu tek başına kanıtlamaz.</w:t>
      </w:r>
    </w:p>
    <w:p>
      <w:pPr/>
      <w:r>
        <w:t xml:space="preserve">2025 tarihli Educational Research Review çalışması, K–12 veri okuryazarlığı eğitiminin amaçlarını 77 çalışma ve 611 ifade üzerinden inceleyerek dört küme belirlemiştir: veri yoğun bir dünyada yaşayabilme, veriyle ilişkili eğitim ve mesleklere hazırlanma, veriden kişisel fayda üretme ve verileştirilmiş dünyaya eleştirel katılma (</w:t>
      </w:r>
      <w:hyperlink r:id="rIdLink19">
        <w:r>
          <w:rPr>
            <w:rStyle w:val="Hyperlink"/>
          </w:rPr>
          <w:t xml:space="preserve">amaçlar incelemesi, 2025</w:t>
        </w:r>
      </w:hyperlink>
      <w:r>
        <w:t xml:space="preserve">). Veri okuryazarlığı bu nedenle yalnızca mesleki hazırlık değil, bireyin kendi verisini ve veriye dayalı kararları sorgulayabilmesiyle de ilgilidir.</w:t>
      </w:r>
    </w:p>
    <w:p>
      <w:pPr/>
      <w:r>
        <w:t xml:space="preserve">2026 tarihli kişisel veri yetkinlikleri sistematik derlemesi, çocukların ve gençlerin büyük veri uygulamalarında hangi verilerin, neden toplandığı ve nasıl kullanıldığı konusunda sınırlı farkındalık gösterebildiğini belirtmektedir. Kişisel veri okuryazarlığının mahremiyet bilgisinin yanında eleştirel ve bireyin kendi verisi üzerinde söz sahibi olmasını destekleyen yetkinlikleri kapsaması gerektiği savunulmaktadır; çocukların platformların veri toplama ve kullanımını anlamasına ilişkin ampirik kanıt hâlen sınırlıdır (</w:t>
      </w:r>
      <w:hyperlink r:id="rIdLink20">
        <w:r>
          <w:rPr>
            <w:rStyle w:val="Hyperlink"/>
          </w:rPr>
          <w:t xml:space="preserve">kişisel veri derlemesi, 2026</w:t>
        </w:r>
      </w:hyperlink>
      <w:r>
        <w:t xml:space="preserve">). Bu alan veri okuryazarlığı, yapay zekâ okuryazarlığı ve dijital güvenlikle kesişmektedir.</w:t>
      </w:r>
    </w:p>
    <w:p>
      <w:pPr/>
      <w:r>
        <w:t xml:space="preserve">Veri okuryazarlığı, CT ve A2.6'daki yapay zekâ okuryazarlığı; verinin toplanması, temizlenmesi ve temsil edilmesi, algoritma/model tarafından işlenmesi ve çıktı üretilmesi ilişkisi üzerinden kesişmektedir. Eğitim verisinin farklı grupları temsil etmesi ve temsil eksikliğinin çıktılardaki yanlılıkla ilişkisini sorgulama bu kesişimin önemli parçasıdır. Bunun hangi yaşlarda ve görevlerde güvenilir biçimde anlaşılabildiği açık bir araştırma sorusudur. Dijital ortamlar veri üreten simülasyonlar, sensör, kent, nüfus veya çevre verileri ve değişkenleri değiştirerek sonuçları gözlemleme yoluyla deney, veri ve modellemeyi bir araya getirebilir.</w:t>
      </w:r>
    </w:p>
    <w:p>
      <w:pPr>
        <w:pStyle w:val="Heading3"/>
      </w:pPr>
      <w:r>
        <w:t xml:space="preserve">Yaşa göre pedagojik çalışma haritası</w:t>
      </w:r>
    </w:p>
    <w:p>
      <w:pPr/>
      <w:r>
        <w:t xml:space="preserve">Aşağıdaki harita kesin gelişim normları veya sert yaş eşikleri değil, mevcut eğitim modelleri ve araştırma dağılımına dayanan pedagojik çalışma hipotezidir. Özellikle erken CT'de standart gelişim dizisi, veri okuryazarlığında ise ilkokul kanıtı sınırlıdır. Küçük çocuklarda temel CT becerilerinin uygun öğretim tasarımıyla geliştirilebilmesi, bütün bileşenlerin aynı yaşta aynı düzeyde kazanıldığı anlamına gelmez (</w:t>
      </w:r>
      <w:hyperlink r:id="rIdLink8">
        <w:r>
          <w:rPr>
            <w:rStyle w:val="Hyperlink"/>
          </w:rPr>
          <w:t xml:space="preserve">erken çocukluk derlemesi, 2023</w:t>
        </w:r>
      </w:hyperlink>
      <w:r>
        <w:t xml:space="preserve">).</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120"/>
        <w:gridCol w:w="3759"/>
        <w:gridCol w:w="3759"/>
      </w:tblGrid>
      <w:tr>
        <w:trPr>
          <w:cantSplit/>
          <w:tblHeader/>
        </w:trPr>
        <w:tc>
          <w:tcPr>
            <w:tcW w:w="2120" w:type="dxa"/>
            <w:vAlign w:val="top"/>
            <w:shd w:fill="E9EEF3" w:val="clear"/>
          </w:tcPr>
          <w:p>
            <w:pPr>
              <w:spacing w:before="0" w:after="35" w:line="240" w:lineRule="auto"/>
            </w:pPr>
            <w:r>
              <w:rPr>
                <w:b/>
                <w:sz w:val="19"/>
              </w:rPr>
              <w:t xml:space="preserve">Yaş</w:t>
            </w:r>
          </w:p>
        </w:tc>
        <w:tc>
          <w:tcPr>
            <w:tcW w:w="3759" w:type="dxa"/>
            <w:vAlign w:val="top"/>
            <w:shd w:fill="E9EEF3" w:val="clear"/>
          </w:tcPr>
          <w:p>
            <w:pPr>
              <w:spacing w:before="0" w:after="35" w:line="240" w:lineRule="auto"/>
            </w:pPr>
            <w:r>
              <w:rPr>
                <w:b/>
                <w:sz w:val="19"/>
              </w:rPr>
              <w:t xml:space="preserve">CT için çalışma alanları</w:t>
            </w:r>
          </w:p>
        </w:tc>
        <w:tc>
          <w:tcPr>
            <w:tcW w:w="3759" w:type="dxa"/>
            <w:vAlign w:val="top"/>
            <w:shd w:fill="E9EEF3" w:val="clear"/>
          </w:tcPr>
          <w:p>
            <w:pPr>
              <w:spacing w:before="0" w:after="35" w:line="240" w:lineRule="auto"/>
            </w:pPr>
            <w:r>
              <w:rPr>
                <w:b/>
                <w:sz w:val="19"/>
              </w:rPr>
              <w:t xml:space="preserve">Veri okuryazarlığı için çalışma alanları</w:t>
            </w:r>
          </w:p>
        </w:tc>
      </w:tr>
      <w:tr>
        <w:trPr>
          <w:cantSplit/>
        </w:trPr>
        <w:tc>
          <w:tcPr>
            <w:tcW w:w="2120" w:type="dxa"/>
            <w:vAlign w:val="top"/>
          </w:tcPr>
          <w:p>
            <w:pPr>
              <w:spacing w:before="0" w:after="35" w:line="240" w:lineRule="auto"/>
            </w:pPr>
            <w:r>
              <w:rPr>
                <w:sz w:val="19"/>
              </w:rPr>
              <w:t xml:space="preserve">4–6</w:t>
            </w:r>
          </w:p>
        </w:tc>
        <w:tc>
          <w:tcPr>
            <w:tcW w:w="3759" w:type="dxa"/>
            <w:vAlign w:val="top"/>
          </w:tcPr>
          <w:p>
            <w:pPr>
              <w:spacing w:before="0" w:after="35" w:line="240" w:lineRule="auto"/>
            </w:pPr>
            <w:r>
              <w:rPr>
                <w:sz w:val="19"/>
              </w:rPr>
              <w:t xml:space="preserve">Sıralama, basit örüntü tanıma, fiziksel ayrıştırma, yön/algoritma oyunları, basit hata ayıklama, robotik ve bilgisayarsız etkinlikler</w:t>
            </w:r>
          </w:p>
        </w:tc>
        <w:tc>
          <w:tcPr>
            <w:tcW w:w="3759" w:type="dxa"/>
            <w:vAlign w:val="top"/>
          </w:tcPr>
          <w:p>
            <w:pPr>
              <w:spacing w:before="0" w:after="35" w:line="240" w:lineRule="auto"/>
            </w:pPr>
            <w:r>
              <w:rPr>
                <w:sz w:val="19"/>
              </w:rPr>
              <w:t xml:space="preserve">Basit sınıflandırma, sayma, kategoriler, fiziksel veri toplama, resimli grafikler, miktar karşılaştırma ve basit örüntüler</w:t>
            </w:r>
          </w:p>
        </w:tc>
      </w:tr>
      <w:tr>
        <w:trPr>
          <w:cantSplit/>
        </w:trPr>
        <w:tc>
          <w:tcPr>
            <w:tcW w:w="2120" w:type="dxa"/>
            <w:vAlign w:val="top"/>
          </w:tcPr>
          <w:p>
            <w:pPr>
              <w:spacing w:before="0" w:after="35" w:line="240" w:lineRule="auto"/>
            </w:pPr>
            <w:r>
              <w:rPr>
                <w:sz w:val="19"/>
              </w:rPr>
              <w:t xml:space="preserve">6–8</w:t>
            </w:r>
          </w:p>
        </w:tc>
        <w:tc>
          <w:tcPr>
            <w:tcW w:w="3759" w:type="dxa"/>
            <w:vAlign w:val="top"/>
          </w:tcPr>
          <w:p>
            <w:pPr>
              <w:spacing w:before="0" w:after="35" w:line="240" w:lineRule="auto"/>
            </w:pPr>
            <w:r>
              <w:rPr>
                <w:sz w:val="19"/>
              </w:rPr>
              <w:t xml:space="preserve">Ayrıştırma, sıralama, döngülerin temel mantığı, basit algoritmalar, hata ayıklama, blok kodlama ve robotik</w:t>
            </w:r>
          </w:p>
        </w:tc>
        <w:tc>
          <w:tcPr>
            <w:tcW w:w="3759" w:type="dxa"/>
            <w:vAlign w:val="top"/>
          </w:tcPr>
          <w:p>
            <w:pPr>
              <w:spacing w:before="0" w:after="35" w:line="240" w:lineRule="auto"/>
            </w:pPr>
            <w:r>
              <w:rPr>
                <w:sz w:val="19"/>
              </w:rPr>
              <w:t xml:space="preserve">Basit araştırma soruları, veri toplama, tablolar, çubuk grafikler, karşılaştırma ve basit anomaliler</w:t>
            </w:r>
          </w:p>
        </w:tc>
      </w:tr>
      <w:tr>
        <w:trPr>
          <w:cantSplit/>
        </w:trPr>
        <w:tc>
          <w:tcPr>
            <w:tcW w:w="2120" w:type="dxa"/>
            <w:vAlign w:val="top"/>
          </w:tcPr>
          <w:p>
            <w:pPr>
              <w:spacing w:before="0" w:after="35" w:line="240" w:lineRule="auto"/>
            </w:pPr>
            <w:r>
              <w:rPr>
                <w:sz w:val="19"/>
              </w:rPr>
              <w:t xml:space="preserve">8–10</w:t>
            </w:r>
          </w:p>
        </w:tc>
        <w:tc>
          <w:tcPr>
            <w:tcW w:w="3759" w:type="dxa"/>
            <w:vAlign w:val="top"/>
          </w:tcPr>
          <w:p>
            <w:pPr>
              <w:spacing w:before="0" w:after="35" w:line="240" w:lineRule="auto"/>
            </w:pPr>
            <w:r>
              <w:rPr>
                <w:sz w:val="19"/>
              </w:rPr>
              <w:t xml:space="preserve">Soyutlama, iç içe algoritmalar, koşullu akıl yürütme, veri kullanımı, modülerleştirme ve hata ayıklama stratejileri</w:t>
            </w:r>
          </w:p>
        </w:tc>
        <w:tc>
          <w:tcPr>
            <w:tcW w:w="3759" w:type="dxa"/>
            <w:vAlign w:val="top"/>
          </w:tcPr>
          <w:p>
            <w:pPr>
              <w:spacing w:before="0" w:after="35" w:line="240" w:lineRule="auto"/>
            </w:pPr>
            <w:r>
              <w:rPr>
                <w:sz w:val="19"/>
              </w:rPr>
              <w:t xml:space="preserve">Araştırma planlama, birden fazla değişken, veri temizleme, görselleştirme seçimi, örneklemenin temel mantığı ve veriye dayalı açıklama</w:t>
            </w:r>
          </w:p>
        </w:tc>
      </w:tr>
      <w:tr>
        <w:trPr>
          <w:cantSplit/>
        </w:trPr>
        <w:tc>
          <w:tcPr>
            <w:tcW w:w="2120" w:type="dxa"/>
            <w:vAlign w:val="top"/>
          </w:tcPr>
          <w:p>
            <w:pPr>
              <w:spacing w:before="0" w:after="35" w:line="240" w:lineRule="auto"/>
            </w:pPr>
            <w:r>
              <w:rPr>
                <w:sz w:val="19"/>
              </w:rPr>
              <w:t xml:space="preserve">10–12</w:t>
            </w:r>
          </w:p>
        </w:tc>
        <w:tc>
          <w:tcPr>
            <w:tcW w:w="3759" w:type="dxa"/>
            <w:vAlign w:val="top"/>
          </w:tcPr>
          <w:p>
            <w:pPr>
              <w:spacing w:before="0" w:after="35" w:line="240" w:lineRule="auto"/>
            </w:pPr>
            <w:r>
              <w:rPr>
                <w:sz w:val="19"/>
              </w:rPr>
              <w:t xml:space="preserve">Soyutlama, genelleme, algoritma optimizasyonu, model oluşturma, veri işleme problemleri ve hesaplamalı simülasyon</w:t>
            </w:r>
          </w:p>
        </w:tc>
        <w:tc>
          <w:tcPr>
            <w:tcW w:w="3759" w:type="dxa"/>
            <w:vAlign w:val="top"/>
          </w:tcPr>
          <w:p>
            <w:pPr>
              <w:spacing w:before="0" w:after="35" w:line="240" w:lineRule="auto"/>
            </w:pPr>
            <w:r>
              <w:rPr>
                <w:sz w:val="19"/>
              </w:rPr>
              <w:t xml:space="preserve">Değişkenlik, yanıltıcı grafikler, yanlılık, birden fazla veri kümesi, kanıt karşılaştırma, belirsizlik, korelasyon üzerine akıl yürütme ve basit yapay zekâ eğitim verileri</w:t>
            </w:r>
          </w:p>
        </w:tc>
      </w:tr>
    </w:tbl>
    <w:p>
      <w:pPr>
        <w:spacing w:after="50"/>
      </w:pPr>
    </w:p>
    <w:p>
      <w:pPr>
        <w:pStyle w:val="Heading3"/>
      </w:pPr>
      <w:r>
        <w:t xml:space="preserve">Ölçme ve davranışsal araştırma öncelikleri</w:t>
      </w:r>
    </w:p>
    <w:p>
      <w:pPr/>
      <w:r>
        <w:t xml:space="preserve">Avrupa K–12 CT değerlendirme sistematik derlemesi, 26 çalışmada 18 farklı araç ve 50'den fazla CT boyutu belirlemiştir; bu boyutların önemli bir bölümü CT'nin kendisinden çok programlama becerilerine yakındır (</w:t>
      </w:r>
      <w:hyperlink r:id="rIdLink21">
        <w:r>
          <w:rPr>
            <w:rStyle w:val="Hyperlink"/>
          </w:rPr>
          <w:t xml:space="preserve">Avrupa K–12 değerlendirme derlemesi</w:t>
        </w:r>
      </w:hyperlink>
      <w:r>
        <w:t xml:space="preserve">). Okul öncesi ve ilkokul çalışmalarına odaklanan 2025 tarihli sistematik derleme de araçlar ve değerlendirme yöntemlerindeki değişkenliği ve standardizasyon ihtiyacını vurgulamaktadır (</w:t>
      </w:r>
      <w:hyperlink r:id="rIdLink22">
        <w:r>
          <w:rPr>
            <w:rStyle w:val="Hyperlink"/>
          </w:rPr>
          <w:t xml:space="preserve">değerlendirme derlemesi, 2025</w:t>
        </w:r>
      </w:hyperlink>
      <w:r>
        <w:t xml:space="preserve">). CT'de tanım ve ölçüm parçalanması, programlama performansının yetkinliğin yerine kullanılması, soyutlamaya ilişkin geçerli ölçümlerin sınırlılığı ve uzak transferin belirsizliği temel araştırma boşluklarıdır.</w:t>
      </w:r>
    </w:p>
    <w:p>
      <w:pPr/>
      <w:r>
        <w:t xml:space="preserve">Veri okuryazarlığında ise hazır veriyle analiz başarısını veri üretme yetkinliğiyle eşitlememek gerekir. Alan ve bağlam bağımlılığı, öz bildirim ile performansın farklılığı ve geniş yapının tek bir puanla temsil edilmesi her iki alan için önemlidir. Süreç verileri aşağıdaki aday göstergeleri sağlayabilir; bunlar doğrulanmış ölçümler değil, yapı geçerliği ayrıca sınanması gereken davranışsal eşleştirmelerdir.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120"/>
        <w:gridCol w:w="3759"/>
        <w:gridCol w:w="3759"/>
      </w:tblGrid>
      <w:tr>
        <w:trPr>
          <w:cantSplit/>
          <w:tblHeader/>
        </w:trPr>
        <w:tc>
          <w:tcPr>
            <w:tcW w:w="2120" w:type="dxa"/>
            <w:vAlign w:val="top"/>
            <w:shd w:fill="E9EEF3" w:val="clear"/>
          </w:tcPr>
          <w:p>
            <w:pPr>
              <w:spacing w:before="0" w:after="35" w:line="240" w:lineRule="auto"/>
            </w:pPr>
            <w:r>
              <w:rPr>
                <w:b/>
                <w:sz w:val="19"/>
              </w:rPr>
              <w:t xml:space="preserve">Alan</w:t>
            </w:r>
          </w:p>
        </w:tc>
        <w:tc>
          <w:tcPr>
            <w:tcW w:w="3759" w:type="dxa"/>
            <w:vAlign w:val="top"/>
            <w:shd w:fill="E9EEF3" w:val="clear"/>
          </w:tcPr>
          <w:p>
            <w:pPr>
              <w:spacing w:before="0" w:after="35" w:line="240" w:lineRule="auto"/>
            </w:pPr>
            <w:r>
              <w:rPr>
                <w:b/>
                <w:sz w:val="19"/>
              </w:rPr>
              <w:t xml:space="preserve">Gözlenebilir davranış</w:t>
            </w:r>
          </w:p>
        </w:tc>
        <w:tc>
          <w:tcPr>
            <w:tcW w:w="3759" w:type="dxa"/>
            <w:vAlign w:val="top"/>
            <w:shd w:fill="E9EEF3" w:val="clear"/>
          </w:tcPr>
          <w:p>
            <w:pPr>
              <w:spacing w:before="0" w:after="35" w:line="240" w:lineRule="auto"/>
            </w:pPr>
            <w:r>
              <w:rPr>
                <w:b/>
                <w:sz w:val="19"/>
              </w:rPr>
              <w:t xml:space="preserve">Olası gösterge</w:t>
            </w:r>
          </w:p>
        </w:tc>
      </w:tr>
      <w:tr>
        <w:trPr>
          <w:cantSplit/>
        </w:trPr>
        <w:tc>
          <w:tcPr>
            <w:tcW w:w="2120" w:type="dxa"/>
            <w:vAlign w:val="top"/>
          </w:tcPr>
          <w:p>
            <w:pPr>
              <w:spacing w:before="0" w:after="35" w:line="240" w:lineRule="auto"/>
            </w:pPr>
            <w:r>
              <w:rPr>
                <w:sz w:val="19"/>
              </w:rPr>
              <w:t xml:space="preserve">CT</w:t>
            </w:r>
          </w:p>
        </w:tc>
        <w:tc>
          <w:tcPr>
            <w:tcW w:w="3759" w:type="dxa"/>
            <w:vAlign w:val="top"/>
          </w:tcPr>
          <w:p>
            <w:pPr>
              <w:spacing w:before="0" w:after="35" w:line="240" w:lineRule="auto"/>
            </w:pPr>
            <w:r>
              <w:rPr>
                <w:sz w:val="19"/>
              </w:rPr>
              <w:t xml:space="preserve">Problemi alt görevlere ayırma</w:t>
            </w:r>
          </w:p>
        </w:tc>
        <w:tc>
          <w:tcPr>
            <w:tcW w:w="3759" w:type="dxa"/>
            <w:vAlign w:val="top"/>
          </w:tcPr>
          <w:p>
            <w:pPr>
              <w:spacing w:before="0" w:after="35" w:line="240" w:lineRule="auto"/>
            </w:pPr>
            <w:r>
              <w:rPr>
                <w:sz w:val="19"/>
              </w:rPr>
              <w:t xml:space="preserve">Ayrıştırma</w:t>
            </w:r>
          </w:p>
        </w:tc>
      </w:tr>
      <w:tr>
        <w:trPr>
          <w:cantSplit/>
        </w:trPr>
        <w:tc>
          <w:tcPr>
            <w:tcW w:w="2120" w:type="dxa"/>
            <w:vAlign w:val="top"/>
          </w:tcPr>
          <w:p>
            <w:pPr>
              <w:spacing w:before="0" w:after="35" w:line="240" w:lineRule="auto"/>
            </w:pPr>
            <w:r>
              <w:rPr>
                <w:sz w:val="19"/>
              </w:rPr>
              <w:t xml:space="preserve">CT</w:t>
            </w:r>
          </w:p>
        </w:tc>
        <w:tc>
          <w:tcPr>
            <w:tcW w:w="3759" w:type="dxa"/>
            <w:vAlign w:val="top"/>
          </w:tcPr>
          <w:p>
            <w:pPr>
              <w:spacing w:before="0" w:after="35" w:line="240" w:lineRule="auto"/>
            </w:pPr>
            <w:r>
              <w:rPr>
                <w:sz w:val="19"/>
              </w:rPr>
              <w:t xml:space="preserve">Benzer durumları veya tekrarlayan yapıları fark etme</w:t>
            </w:r>
          </w:p>
        </w:tc>
        <w:tc>
          <w:tcPr>
            <w:tcW w:w="3759" w:type="dxa"/>
            <w:vAlign w:val="top"/>
          </w:tcPr>
          <w:p>
            <w:pPr>
              <w:spacing w:before="0" w:after="35" w:line="240" w:lineRule="auto"/>
            </w:pPr>
            <w:r>
              <w:rPr>
                <w:sz w:val="19"/>
              </w:rPr>
              <w:t xml:space="preserve">Örüntü tanıma</w:t>
            </w:r>
          </w:p>
        </w:tc>
      </w:tr>
      <w:tr>
        <w:trPr>
          <w:cantSplit/>
        </w:trPr>
        <w:tc>
          <w:tcPr>
            <w:tcW w:w="2120" w:type="dxa"/>
            <w:vAlign w:val="top"/>
          </w:tcPr>
          <w:p>
            <w:pPr>
              <w:spacing w:before="0" w:after="35" w:line="240" w:lineRule="auto"/>
            </w:pPr>
            <w:r>
              <w:rPr>
                <w:sz w:val="19"/>
              </w:rPr>
              <w:t xml:space="preserve">CT</w:t>
            </w:r>
          </w:p>
        </w:tc>
        <w:tc>
          <w:tcPr>
            <w:tcW w:w="3759" w:type="dxa"/>
            <w:vAlign w:val="top"/>
          </w:tcPr>
          <w:p>
            <w:pPr>
              <w:spacing w:before="0" w:after="35" w:line="240" w:lineRule="auto"/>
            </w:pPr>
            <w:r>
              <w:rPr>
                <w:sz w:val="19"/>
              </w:rPr>
              <w:t xml:space="preserve">Gereksiz ayrıntı ve değişkenleri eleme</w:t>
            </w:r>
          </w:p>
        </w:tc>
        <w:tc>
          <w:tcPr>
            <w:tcW w:w="3759" w:type="dxa"/>
            <w:vAlign w:val="top"/>
          </w:tcPr>
          <w:p>
            <w:pPr>
              <w:spacing w:before="0" w:after="35" w:line="240" w:lineRule="auto"/>
            </w:pPr>
            <w:r>
              <w:rPr>
                <w:sz w:val="19"/>
              </w:rPr>
              <w:t xml:space="preserve">Soyutlama</w:t>
            </w:r>
          </w:p>
        </w:tc>
      </w:tr>
      <w:tr>
        <w:trPr>
          <w:cantSplit/>
        </w:trPr>
        <w:tc>
          <w:tcPr>
            <w:tcW w:w="2120" w:type="dxa"/>
            <w:vAlign w:val="top"/>
          </w:tcPr>
          <w:p>
            <w:pPr>
              <w:spacing w:before="0" w:after="35" w:line="240" w:lineRule="auto"/>
            </w:pPr>
            <w:r>
              <w:rPr>
                <w:sz w:val="19"/>
              </w:rPr>
              <w:t xml:space="preserve">CT</w:t>
            </w:r>
          </w:p>
        </w:tc>
        <w:tc>
          <w:tcPr>
            <w:tcW w:w="3759" w:type="dxa"/>
            <w:vAlign w:val="top"/>
          </w:tcPr>
          <w:p>
            <w:pPr>
              <w:spacing w:before="0" w:after="35" w:line="240" w:lineRule="auto"/>
            </w:pPr>
            <w:r>
              <w:rPr>
                <w:sz w:val="19"/>
              </w:rPr>
              <w:t xml:space="preserve">Çözümün adım sırasını oluşturma</w:t>
            </w:r>
          </w:p>
        </w:tc>
        <w:tc>
          <w:tcPr>
            <w:tcW w:w="3759" w:type="dxa"/>
            <w:vAlign w:val="top"/>
          </w:tcPr>
          <w:p>
            <w:pPr>
              <w:spacing w:before="0" w:after="35" w:line="240" w:lineRule="auto"/>
            </w:pPr>
            <w:r>
              <w:rPr>
                <w:sz w:val="19"/>
              </w:rPr>
              <w:t xml:space="preserve">Algoritmik düşünme</w:t>
            </w:r>
          </w:p>
        </w:tc>
      </w:tr>
      <w:tr>
        <w:trPr>
          <w:cantSplit/>
        </w:trPr>
        <w:tc>
          <w:tcPr>
            <w:tcW w:w="2120" w:type="dxa"/>
            <w:vAlign w:val="top"/>
          </w:tcPr>
          <w:p>
            <w:pPr>
              <w:spacing w:before="0" w:after="35" w:line="240" w:lineRule="auto"/>
            </w:pPr>
            <w:r>
              <w:rPr>
                <w:sz w:val="19"/>
              </w:rPr>
              <w:t xml:space="preserve">CT</w:t>
            </w:r>
          </w:p>
        </w:tc>
        <w:tc>
          <w:tcPr>
            <w:tcW w:w="3759" w:type="dxa"/>
            <w:vAlign w:val="top"/>
          </w:tcPr>
          <w:p>
            <w:pPr>
              <w:spacing w:before="0" w:after="35" w:line="240" w:lineRule="auto"/>
            </w:pPr>
            <w:r>
              <w:rPr>
                <w:sz w:val="19"/>
              </w:rPr>
              <w:t xml:space="preserve">Çözümü test etme</w:t>
            </w:r>
          </w:p>
        </w:tc>
        <w:tc>
          <w:tcPr>
            <w:tcW w:w="3759" w:type="dxa"/>
            <w:vAlign w:val="top"/>
          </w:tcPr>
          <w:p>
            <w:pPr>
              <w:spacing w:before="0" w:after="35" w:line="240" w:lineRule="auto"/>
            </w:pPr>
            <w:r>
              <w:rPr>
                <w:sz w:val="19"/>
              </w:rPr>
              <w:t xml:space="preserve">Değerlendirme</w:t>
            </w:r>
          </w:p>
        </w:tc>
      </w:tr>
      <w:tr>
        <w:trPr>
          <w:cantSplit/>
        </w:trPr>
        <w:tc>
          <w:tcPr>
            <w:tcW w:w="2120" w:type="dxa"/>
            <w:vAlign w:val="top"/>
          </w:tcPr>
          <w:p>
            <w:pPr>
              <w:spacing w:before="0" w:after="35" w:line="240" w:lineRule="auto"/>
            </w:pPr>
            <w:r>
              <w:rPr>
                <w:sz w:val="19"/>
              </w:rPr>
              <w:t xml:space="preserve">CT</w:t>
            </w:r>
          </w:p>
        </w:tc>
        <w:tc>
          <w:tcPr>
            <w:tcW w:w="3759" w:type="dxa"/>
            <w:vAlign w:val="top"/>
          </w:tcPr>
          <w:p>
            <w:pPr>
              <w:spacing w:before="0" w:after="35" w:line="240" w:lineRule="auto"/>
            </w:pPr>
            <w:r>
              <w:rPr>
                <w:sz w:val="19"/>
              </w:rPr>
              <w:t xml:space="preserve">Hatanın nedenini ve kaynağını arama</w:t>
            </w:r>
          </w:p>
        </w:tc>
        <w:tc>
          <w:tcPr>
            <w:tcW w:w="3759" w:type="dxa"/>
            <w:vAlign w:val="top"/>
          </w:tcPr>
          <w:p>
            <w:pPr>
              <w:spacing w:before="0" w:after="35" w:line="240" w:lineRule="auto"/>
            </w:pPr>
            <w:r>
              <w:rPr>
                <w:sz w:val="19"/>
              </w:rPr>
              <w:t xml:space="preserve">Hata ayıklama</w:t>
            </w:r>
          </w:p>
        </w:tc>
      </w:tr>
      <w:tr>
        <w:trPr>
          <w:cantSplit/>
        </w:trPr>
        <w:tc>
          <w:tcPr>
            <w:tcW w:w="2120" w:type="dxa"/>
            <w:vAlign w:val="top"/>
          </w:tcPr>
          <w:p>
            <w:pPr>
              <w:spacing w:before="0" w:after="35" w:line="240" w:lineRule="auto"/>
            </w:pPr>
            <w:r>
              <w:rPr>
                <w:sz w:val="19"/>
              </w:rPr>
              <w:t xml:space="preserve">CT</w:t>
            </w:r>
          </w:p>
        </w:tc>
        <w:tc>
          <w:tcPr>
            <w:tcW w:w="3759" w:type="dxa"/>
            <w:vAlign w:val="top"/>
          </w:tcPr>
          <w:p>
            <w:pPr>
              <w:spacing w:before="0" w:after="35" w:line="240" w:lineRule="auto"/>
            </w:pPr>
            <w:r>
              <w:rPr>
                <w:sz w:val="19"/>
              </w:rPr>
              <w:t xml:space="preserve">Çözümü yeniden düzenleyip tekrar test etme</w:t>
            </w:r>
          </w:p>
        </w:tc>
        <w:tc>
          <w:tcPr>
            <w:tcW w:w="3759" w:type="dxa"/>
            <w:vAlign w:val="top"/>
          </w:tcPr>
          <w:p>
            <w:pPr>
              <w:spacing w:before="0" w:after="35" w:line="240" w:lineRule="auto"/>
            </w:pPr>
            <w:r>
              <w:rPr>
                <w:sz w:val="19"/>
              </w:rPr>
              <w:t xml:space="preserve">Yineleme</w:t>
            </w:r>
          </w:p>
        </w:tc>
      </w:tr>
      <w:tr>
        <w:trPr>
          <w:cantSplit/>
        </w:trPr>
        <w:tc>
          <w:tcPr>
            <w:tcW w:w="2120" w:type="dxa"/>
            <w:vAlign w:val="top"/>
          </w:tcPr>
          <w:p>
            <w:pPr>
              <w:spacing w:before="0" w:after="35" w:line="240" w:lineRule="auto"/>
            </w:pPr>
            <w:r>
              <w:rPr>
                <w:sz w:val="19"/>
              </w:rPr>
              <w:t xml:space="preserve">CT</w:t>
            </w:r>
          </w:p>
        </w:tc>
        <w:tc>
          <w:tcPr>
            <w:tcW w:w="3759" w:type="dxa"/>
            <w:vAlign w:val="top"/>
          </w:tcPr>
          <w:p>
            <w:pPr>
              <w:spacing w:before="0" w:after="35" w:line="240" w:lineRule="auto"/>
            </w:pPr>
            <w:r>
              <w:rPr>
                <w:sz w:val="19"/>
              </w:rPr>
              <w:t xml:space="preserve">Önceki çözümü yeni probleme veya bağlama uyarlama</w:t>
            </w:r>
          </w:p>
        </w:tc>
        <w:tc>
          <w:tcPr>
            <w:tcW w:w="3759" w:type="dxa"/>
            <w:vAlign w:val="top"/>
          </w:tcPr>
          <w:p>
            <w:pPr>
              <w:spacing w:before="0" w:after="35" w:line="240" w:lineRule="auto"/>
            </w:pPr>
            <w:r>
              <w:rPr>
                <w:sz w:val="19"/>
              </w:rPr>
              <w:t xml:space="preserve">Genelleme</w:t>
            </w:r>
          </w:p>
        </w:tc>
      </w:tr>
      <w:tr>
        <w:trPr>
          <w:cantSplit/>
        </w:trPr>
        <w:tc>
          <w:tcPr>
            <w:tcW w:w="2120" w:type="dxa"/>
            <w:vAlign w:val="top"/>
          </w:tcPr>
          <w:p>
            <w:pPr>
              <w:spacing w:before="0" w:after="35" w:line="240" w:lineRule="auto"/>
            </w:pPr>
            <w:r>
              <w:rPr>
                <w:sz w:val="19"/>
              </w:rPr>
              <w:t xml:space="preserve">Veri okuryazarlığı</w:t>
            </w:r>
          </w:p>
        </w:tc>
        <w:tc>
          <w:tcPr>
            <w:tcW w:w="3759" w:type="dxa"/>
            <w:vAlign w:val="top"/>
          </w:tcPr>
          <w:p>
            <w:pPr>
              <w:spacing w:before="0" w:after="35" w:line="240" w:lineRule="auto"/>
            </w:pPr>
            <w:r>
              <w:rPr>
                <w:sz w:val="19"/>
              </w:rPr>
              <w:t xml:space="preserve">Araştırılabilir soru oluşturma</w:t>
            </w:r>
          </w:p>
        </w:tc>
        <w:tc>
          <w:tcPr>
            <w:tcW w:w="3759" w:type="dxa"/>
            <w:vAlign w:val="top"/>
          </w:tcPr>
          <w:p>
            <w:pPr>
              <w:spacing w:before="0" w:after="35" w:line="240" w:lineRule="auto"/>
            </w:pPr>
            <w:r>
              <w:rPr>
                <w:sz w:val="19"/>
              </w:rPr>
              <w:t xml:space="preserve">Soru formülasyonu</w:t>
            </w:r>
          </w:p>
        </w:tc>
      </w:tr>
      <w:tr>
        <w:trPr>
          <w:cantSplit/>
        </w:trPr>
        <w:tc>
          <w:tcPr>
            <w:tcW w:w="2120" w:type="dxa"/>
            <w:vAlign w:val="top"/>
          </w:tcPr>
          <w:p>
            <w:pPr>
              <w:spacing w:before="0" w:after="35" w:line="240" w:lineRule="auto"/>
            </w:pPr>
            <w:r>
              <w:rPr>
                <w:sz w:val="19"/>
              </w:rPr>
              <w:t xml:space="preserve">Veri okuryazarlığı</w:t>
            </w:r>
          </w:p>
        </w:tc>
        <w:tc>
          <w:tcPr>
            <w:tcW w:w="3759" w:type="dxa"/>
            <w:vAlign w:val="top"/>
          </w:tcPr>
          <w:p>
            <w:pPr>
              <w:spacing w:before="0" w:after="35" w:line="240" w:lineRule="auto"/>
            </w:pPr>
            <w:r>
              <w:rPr>
                <w:sz w:val="19"/>
              </w:rPr>
              <w:t xml:space="preserve">Hangi veriye ihtiyaç duyulduğunu belirleme</w:t>
            </w:r>
          </w:p>
        </w:tc>
        <w:tc>
          <w:tcPr>
            <w:tcW w:w="3759" w:type="dxa"/>
            <w:vAlign w:val="top"/>
          </w:tcPr>
          <w:p>
            <w:pPr>
              <w:spacing w:before="0" w:after="35" w:line="240" w:lineRule="auto"/>
            </w:pPr>
            <w:r>
              <w:rPr>
                <w:sz w:val="19"/>
              </w:rPr>
              <w:t xml:space="preserve">Veri planlama</w:t>
            </w:r>
          </w:p>
        </w:tc>
      </w:tr>
      <w:tr>
        <w:trPr>
          <w:cantSplit/>
        </w:trPr>
        <w:tc>
          <w:tcPr>
            <w:tcW w:w="2120" w:type="dxa"/>
            <w:vAlign w:val="top"/>
          </w:tcPr>
          <w:p>
            <w:pPr>
              <w:spacing w:before="0" w:after="35" w:line="240" w:lineRule="auto"/>
            </w:pPr>
            <w:r>
              <w:rPr>
                <w:sz w:val="19"/>
              </w:rPr>
              <w:t xml:space="preserve">Veri okuryazarlığı</w:t>
            </w:r>
          </w:p>
        </w:tc>
        <w:tc>
          <w:tcPr>
            <w:tcW w:w="3759" w:type="dxa"/>
            <w:vAlign w:val="top"/>
          </w:tcPr>
          <w:p>
            <w:pPr>
              <w:spacing w:before="0" w:after="35" w:line="240" w:lineRule="auto"/>
            </w:pPr>
            <w:r>
              <w:rPr>
                <w:sz w:val="19"/>
              </w:rPr>
              <w:t xml:space="preserve">Temsili veri toplama</w:t>
            </w:r>
          </w:p>
        </w:tc>
        <w:tc>
          <w:tcPr>
            <w:tcW w:w="3759" w:type="dxa"/>
            <w:vAlign w:val="top"/>
          </w:tcPr>
          <w:p>
            <w:pPr>
              <w:spacing w:before="0" w:after="35" w:line="240" w:lineRule="auto"/>
            </w:pPr>
            <w:r>
              <w:rPr>
                <w:sz w:val="19"/>
              </w:rPr>
              <w:t xml:space="preserve">Örnekleme ve veri toplama</w:t>
            </w:r>
          </w:p>
        </w:tc>
      </w:tr>
      <w:tr>
        <w:trPr>
          <w:cantSplit/>
        </w:trPr>
        <w:tc>
          <w:tcPr>
            <w:tcW w:w="2120" w:type="dxa"/>
            <w:vAlign w:val="top"/>
          </w:tcPr>
          <w:p>
            <w:pPr>
              <w:spacing w:before="0" w:after="35" w:line="240" w:lineRule="auto"/>
            </w:pPr>
            <w:r>
              <w:rPr>
                <w:sz w:val="19"/>
              </w:rPr>
              <w:t xml:space="preserve">Veri okuryazarlığı</w:t>
            </w:r>
          </w:p>
        </w:tc>
        <w:tc>
          <w:tcPr>
            <w:tcW w:w="3759" w:type="dxa"/>
            <w:vAlign w:val="top"/>
          </w:tcPr>
          <w:p>
            <w:pPr>
              <w:spacing w:before="0" w:after="35" w:line="240" w:lineRule="auto"/>
            </w:pPr>
            <w:r>
              <w:rPr>
                <w:sz w:val="19"/>
              </w:rPr>
              <w:t xml:space="preserve">Hatalı değeri fark etme</w:t>
            </w:r>
          </w:p>
        </w:tc>
        <w:tc>
          <w:tcPr>
            <w:tcW w:w="3759" w:type="dxa"/>
            <w:vAlign w:val="top"/>
          </w:tcPr>
          <w:p>
            <w:pPr>
              <w:spacing w:before="0" w:after="35" w:line="240" w:lineRule="auto"/>
            </w:pPr>
            <w:r>
              <w:rPr>
                <w:sz w:val="19"/>
              </w:rPr>
              <w:t xml:space="preserve">Veri temizleme</w:t>
            </w:r>
          </w:p>
        </w:tc>
      </w:tr>
      <w:tr>
        <w:trPr>
          <w:cantSplit/>
        </w:trPr>
        <w:tc>
          <w:tcPr>
            <w:tcW w:w="2120" w:type="dxa"/>
            <w:vAlign w:val="top"/>
          </w:tcPr>
          <w:p>
            <w:pPr>
              <w:spacing w:before="0" w:after="35" w:line="240" w:lineRule="auto"/>
            </w:pPr>
            <w:r>
              <w:rPr>
                <w:sz w:val="19"/>
              </w:rPr>
              <w:t xml:space="preserve">Veri okuryazarlığı</w:t>
            </w:r>
          </w:p>
        </w:tc>
        <w:tc>
          <w:tcPr>
            <w:tcW w:w="3759" w:type="dxa"/>
            <w:vAlign w:val="top"/>
          </w:tcPr>
          <w:p>
            <w:pPr>
              <w:spacing w:before="0" w:after="35" w:line="240" w:lineRule="auto"/>
            </w:pPr>
            <w:r>
              <w:rPr>
                <w:sz w:val="19"/>
              </w:rPr>
              <w:t xml:space="preserve">Uygun görselleştirmeyi seçme</w:t>
            </w:r>
          </w:p>
        </w:tc>
        <w:tc>
          <w:tcPr>
            <w:tcW w:w="3759" w:type="dxa"/>
            <w:vAlign w:val="top"/>
          </w:tcPr>
          <w:p>
            <w:pPr>
              <w:spacing w:before="0" w:after="35" w:line="240" w:lineRule="auto"/>
            </w:pPr>
            <w:r>
              <w:rPr>
                <w:sz w:val="19"/>
              </w:rPr>
              <w:t xml:space="preserve">Veri temsili</w:t>
            </w:r>
          </w:p>
        </w:tc>
      </w:tr>
      <w:tr>
        <w:trPr>
          <w:cantSplit/>
        </w:trPr>
        <w:tc>
          <w:tcPr>
            <w:tcW w:w="2120" w:type="dxa"/>
            <w:vAlign w:val="top"/>
          </w:tcPr>
          <w:p>
            <w:pPr>
              <w:spacing w:before="0" w:after="35" w:line="240" w:lineRule="auto"/>
            </w:pPr>
            <w:r>
              <w:rPr>
                <w:sz w:val="19"/>
              </w:rPr>
              <w:t xml:space="preserve">Veri okuryazarlığı</w:t>
            </w:r>
          </w:p>
        </w:tc>
        <w:tc>
          <w:tcPr>
            <w:tcW w:w="3759" w:type="dxa"/>
            <w:vAlign w:val="top"/>
          </w:tcPr>
          <w:p>
            <w:pPr>
              <w:spacing w:before="0" w:after="35" w:line="240" w:lineRule="auto"/>
            </w:pPr>
            <w:r>
              <w:rPr>
                <w:sz w:val="19"/>
              </w:rPr>
              <w:t xml:space="preserve">Veriden örüntü çıkarma</w:t>
            </w:r>
          </w:p>
        </w:tc>
        <w:tc>
          <w:tcPr>
            <w:tcW w:w="3759" w:type="dxa"/>
            <w:vAlign w:val="top"/>
          </w:tcPr>
          <w:p>
            <w:pPr>
              <w:spacing w:before="0" w:after="35" w:line="240" w:lineRule="auto"/>
            </w:pPr>
            <w:r>
              <w:rPr>
                <w:sz w:val="19"/>
              </w:rPr>
              <w:t xml:space="preserve">Analiz</w:t>
            </w:r>
          </w:p>
        </w:tc>
      </w:tr>
      <w:tr>
        <w:trPr>
          <w:cantSplit/>
        </w:trPr>
        <w:tc>
          <w:tcPr>
            <w:tcW w:w="2120" w:type="dxa"/>
            <w:vAlign w:val="top"/>
          </w:tcPr>
          <w:p>
            <w:pPr>
              <w:spacing w:before="0" w:after="35" w:line="240" w:lineRule="auto"/>
            </w:pPr>
            <w:r>
              <w:rPr>
                <w:sz w:val="19"/>
              </w:rPr>
              <w:t xml:space="preserve">Veri okuryazarlığı</w:t>
            </w:r>
          </w:p>
        </w:tc>
        <w:tc>
          <w:tcPr>
            <w:tcW w:w="3759" w:type="dxa"/>
            <w:vAlign w:val="top"/>
          </w:tcPr>
          <w:p>
            <w:pPr>
              <w:spacing w:before="0" w:after="35" w:line="240" w:lineRule="auto"/>
            </w:pPr>
            <w:r>
              <w:rPr>
                <w:sz w:val="19"/>
              </w:rPr>
              <w:t xml:space="preserve">Belirsizliği fark etme</w:t>
            </w:r>
          </w:p>
        </w:tc>
        <w:tc>
          <w:tcPr>
            <w:tcW w:w="3759" w:type="dxa"/>
            <w:vAlign w:val="top"/>
          </w:tcPr>
          <w:p>
            <w:pPr>
              <w:spacing w:before="0" w:after="35" w:line="240" w:lineRule="auto"/>
            </w:pPr>
            <w:r>
              <w:rPr>
                <w:sz w:val="19"/>
              </w:rPr>
              <w:t xml:space="preserve">İstatistiksel akıl yürütme</w:t>
            </w:r>
          </w:p>
        </w:tc>
      </w:tr>
      <w:tr>
        <w:trPr>
          <w:cantSplit/>
        </w:trPr>
        <w:tc>
          <w:tcPr>
            <w:tcW w:w="2120" w:type="dxa"/>
            <w:vAlign w:val="top"/>
          </w:tcPr>
          <w:p>
            <w:pPr>
              <w:spacing w:before="0" w:after="35" w:line="240" w:lineRule="auto"/>
            </w:pPr>
            <w:r>
              <w:rPr>
                <w:sz w:val="19"/>
              </w:rPr>
              <w:t xml:space="preserve">Veri okuryazarlığı</w:t>
            </w:r>
          </w:p>
        </w:tc>
        <w:tc>
          <w:tcPr>
            <w:tcW w:w="3759" w:type="dxa"/>
            <w:vAlign w:val="top"/>
          </w:tcPr>
          <w:p>
            <w:pPr>
              <w:spacing w:before="0" w:after="35" w:line="240" w:lineRule="auto"/>
            </w:pPr>
            <w:r>
              <w:rPr>
                <w:sz w:val="19"/>
              </w:rPr>
              <w:t xml:space="preserve">Veriyle desteklenmeyen iddiayı reddetme</w:t>
            </w:r>
          </w:p>
        </w:tc>
        <w:tc>
          <w:tcPr>
            <w:tcW w:w="3759" w:type="dxa"/>
            <w:vAlign w:val="top"/>
          </w:tcPr>
          <w:p>
            <w:pPr>
              <w:spacing w:before="0" w:after="35" w:line="240" w:lineRule="auto"/>
            </w:pPr>
            <w:r>
              <w:rPr>
                <w:sz w:val="19"/>
              </w:rPr>
              <w:t xml:space="preserve">Eleştirel veri okuryazarlığı</w:t>
            </w:r>
          </w:p>
        </w:tc>
      </w:tr>
      <w:tr>
        <w:trPr>
          <w:cantSplit/>
        </w:trPr>
        <w:tc>
          <w:tcPr>
            <w:tcW w:w="2120" w:type="dxa"/>
            <w:vAlign w:val="top"/>
          </w:tcPr>
          <w:p>
            <w:pPr>
              <w:spacing w:before="0" w:after="35" w:line="240" w:lineRule="auto"/>
            </w:pPr>
            <w:r>
              <w:rPr>
                <w:sz w:val="19"/>
              </w:rPr>
              <w:t xml:space="preserve">Veri okuryazarlığı</w:t>
            </w:r>
          </w:p>
        </w:tc>
        <w:tc>
          <w:tcPr>
            <w:tcW w:w="3759" w:type="dxa"/>
            <w:vAlign w:val="top"/>
          </w:tcPr>
          <w:p>
            <w:pPr>
              <w:spacing w:before="0" w:after="35" w:line="240" w:lineRule="auto"/>
            </w:pPr>
            <w:r>
              <w:rPr>
                <w:sz w:val="19"/>
              </w:rPr>
              <w:t xml:space="preserve">Sonuçtan yeni sorular üretme</w:t>
            </w:r>
          </w:p>
        </w:tc>
        <w:tc>
          <w:tcPr>
            <w:tcW w:w="3759" w:type="dxa"/>
            <w:vAlign w:val="top"/>
          </w:tcPr>
          <w:p>
            <w:pPr>
              <w:spacing w:before="0" w:after="35" w:line="240" w:lineRule="auto"/>
            </w:pPr>
            <w:r>
              <w:rPr>
                <w:sz w:val="19"/>
              </w:rPr>
              <w:t xml:space="preserve">Yinelemeli sorgulama</w:t>
            </w:r>
          </w:p>
        </w:tc>
      </w:tr>
    </w:tbl>
    <w:p>
      <w:pPr>
        <w:spacing w:after="50"/>
      </w:pPr>
    </w:p>
    <w:p>
      <w:pPr/>
      <w:r>
        <w:t xml:space="preserve">Araştırma önceliklerinden ilki, çocukların açık uçlu ve veri üreten dijital problem ortamlarındaki ayrıştırma, veri ihtiyacını belirleme, veri toplama/temizleme, örüntü bulma, soyutlama, algoritmik çözüm, test, hata ayıklama ve transfer davranışlarından geçerli CT ve veri okuryazarlığı profilleri oluşturulup oluşturulamayacağıdır. İkincisi, çocukların bir yapay zekâ sisteminin eğitim verisini değiştirip çıktıdaki değişimi gözlemlemesinin veri kalitesi, temsil, yanlılık ve yapay zekâ güvenilirliği arasındaki ilişkiyi anlamalarını geliştirip geliştirmediğidir. Bu soruların ölçüm boyutu geçerli araçlarla karşılaştırmayı ve psikometrik doğrulamayı gerektirir. Bu alanların diğer yetkinliklerle ortak süreçleri ve ilişkileri A3'te sentezlenmektedir.</w:t>
      </w:r>
    </w:p>
    <w:p>
      <w:pPr>
        <w:pStyle w:val="Heading3"/>
      </w:pPr>
      <w:r>
        <w:t xml:space="preserve">Ön Evidence Score: araştırmacı kodlaması</w:t>
      </w:r>
    </w:p>
    <w:p>
      <w:pPr/>
      <w:r>
        <w:t xml:space="preserve">Aşağıdaki puanlar araştırmacının ön kanıt değerlendirmesidir; meta-analitik etki büyüklüğü veya doğrulanmış bir ölçme aracının sonucu değildir. Her iki alan da bu ön kodlamada çok güçlü aday olarak değerlendirilmektedir.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891"/>
        <w:gridCol w:w="1157"/>
        <w:gridCol w:w="5590"/>
      </w:tblGrid>
      <w:tr>
        <w:trPr>
          <w:cantSplit/>
          <w:tblHeader/>
        </w:trPr>
        <w:tc>
          <w:tcPr>
            <w:tcW w:w="2891" w:type="dxa"/>
            <w:vAlign w:val="top"/>
            <w:shd w:fill="E9EEF3" w:val="clear"/>
          </w:tcPr>
          <w:p>
            <w:pPr>
              <w:spacing w:before="0" w:after="35" w:line="240" w:lineRule="auto"/>
            </w:pPr>
            <w:r>
              <w:rPr>
                <w:b/>
                <w:sz w:val="19"/>
              </w:rPr>
              <w:t xml:space="preserve">Ölçüt — Computational Thinking</w:t>
            </w:r>
          </w:p>
        </w:tc>
        <w:tc>
          <w:tcPr>
            <w:tcW w:w="1157" w:type="dxa"/>
            <w:vAlign w:val="top"/>
            <w:shd w:fill="E9EEF3" w:val="clear"/>
          </w:tcPr>
          <w:p>
            <w:pPr>
              <w:spacing w:before="0" w:after="35" w:line="240" w:lineRule="auto"/>
            </w:pPr>
            <w:r>
              <w:rPr>
                <w:b/>
                <w:sz w:val="19"/>
              </w:rPr>
              <w:t xml:space="preserve">Puan</w:t>
            </w:r>
          </w:p>
        </w:tc>
        <w:tc>
          <w:tcPr>
            <w:tcW w:w="5590" w:type="dxa"/>
            <w:vAlign w:val="top"/>
            <w:shd w:fill="E9EEF3" w:val="clear"/>
          </w:tcPr>
          <w:p>
            <w:pPr>
              <w:spacing w:before="0" w:after="35" w:line="240" w:lineRule="auto"/>
            </w:pPr>
            <w:r>
              <w:rPr>
                <w:b/>
                <w:sz w:val="19"/>
              </w:rPr>
              <w:t xml:space="preserve">Kısa gerekçe</w:t>
            </w:r>
          </w:p>
        </w:tc>
      </w:tr>
      <w:tr>
        <w:trPr>
          <w:cantSplit/>
        </w:trPr>
        <w:tc>
          <w:tcPr>
            <w:tcW w:w="2891" w:type="dxa"/>
            <w:vAlign w:val="top"/>
          </w:tcPr>
          <w:p>
            <w:pPr>
              <w:spacing w:before="0" w:after="35" w:line="240" w:lineRule="auto"/>
            </w:pPr>
            <w:r>
              <w:rPr>
                <w:sz w:val="19"/>
              </w:rPr>
              <w:t xml:space="preserve">Future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Dijital problem çözmeyle güçlü ilişki</w:t>
            </w:r>
          </w:p>
        </w:tc>
      </w:tr>
      <w:tr>
        <w:trPr>
          <w:cantSplit/>
        </w:trPr>
        <w:tc>
          <w:tcPr>
            <w:tcW w:w="2891" w:type="dxa"/>
            <w:vAlign w:val="top"/>
          </w:tcPr>
          <w:p>
            <w:pPr>
              <w:spacing w:before="0" w:after="35" w:line="240" w:lineRule="auto"/>
            </w:pPr>
            <w:r>
              <w:rPr>
                <w:sz w:val="19"/>
              </w:rPr>
              <w:t xml:space="preserve">Policy/framework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Uluslararası müfredatlar ve MEB'de açık yer</w:t>
            </w:r>
          </w:p>
        </w:tc>
      </w:tr>
      <w:tr>
        <w:trPr>
          <w:cantSplit/>
        </w:trPr>
        <w:tc>
          <w:tcPr>
            <w:tcW w:w="2891" w:type="dxa"/>
            <w:vAlign w:val="top"/>
          </w:tcPr>
          <w:p>
            <w:pPr>
              <w:spacing w:before="0" w:after="35" w:line="240" w:lineRule="auto"/>
            </w:pPr>
            <w:r>
              <w:rPr>
                <w:sz w:val="19"/>
              </w:rPr>
              <w:t xml:space="preserve">Overall evidence strength</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Geniş araştırma birikimi</w:t>
            </w:r>
          </w:p>
        </w:tc>
      </w:tr>
      <w:tr>
        <w:trPr>
          <w:cantSplit/>
        </w:trPr>
        <w:tc>
          <w:tcPr>
            <w:tcW w:w="2891" w:type="dxa"/>
            <w:vAlign w:val="top"/>
          </w:tcPr>
          <w:p>
            <w:pPr>
              <w:spacing w:before="0" w:after="35" w:line="240" w:lineRule="auto"/>
            </w:pPr>
            <w:r>
              <w:rPr>
                <w:sz w:val="19"/>
              </w:rPr>
              <w:t xml:space="preserve">Teachability</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Güçlü meta-analitik kanıt</w:t>
            </w:r>
          </w:p>
        </w:tc>
      </w:tr>
      <w:tr>
        <w:trPr>
          <w:cantSplit/>
        </w:trPr>
        <w:tc>
          <w:tcPr>
            <w:tcW w:w="2891" w:type="dxa"/>
            <w:vAlign w:val="top"/>
          </w:tcPr>
          <w:p>
            <w:pPr>
              <w:spacing w:before="0" w:after="35" w:line="240" w:lineRule="auto"/>
            </w:pPr>
            <w:r>
              <w:rPr>
                <w:sz w:val="19"/>
              </w:rPr>
              <w:t xml:space="preserve">Young-child evidence</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Erken çocukluk müdahale kanıtları</w:t>
            </w:r>
          </w:p>
        </w:tc>
      </w:tr>
      <w:tr>
        <w:trPr>
          <w:cantSplit/>
        </w:trPr>
        <w:tc>
          <w:tcPr>
            <w:tcW w:w="2891" w:type="dxa"/>
            <w:vAlign w:val="top"/>
          </w:tcPr>
          <w:p>
            <w:pPr>
              <w:spacing w:before="0" w:after="35" w:line="240" w:lineRule="auto"/>
            </w:pPr>
            <w:r>
              <w:rPr>
                <w:sz w:val="19"/>
              </w:rPr>
              <w:t xml:space="preserve">Developmental clarity</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Standart gelişim dizisi sınırlı</w:t>
            </w:r>
          </w:p>
        </w:tc>
      </w:tr>
      <w:tr>
        <w:trPr>
          <w:cantSplit/>
        </w:trPr>
        <w:tc>
          <w:tcPr>
            <w:tcW w:w="2891" w:type="dxa"/>
            <w:vAlign w:val="top"/>
          </w:tcPr>
          <w:p>
            <w:pPr>
              <w:spacing w:before="0" w:after="35" w:line="240" w:lineRule="auto"/>
            </w:pPr>
            <w:r>
              <w:rPr>
                <w:sz w:val="19"/>
              </w:rPr>
              <w:t xml:space="preserve">Measurability</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Çok sayıda araç; yüksek parçalanma</w:t>
            </w:r>
          </w:p>
        </w:tc>
      </w:tr>
      <w:tr>
        <w:trPr>
          <w:cantSplit/>
        </w:trPr>
        <w:tc>
          <w:tcPr>
            <w:tcW w:w="2891" w:type="dxa"/>
            <w:vAlign w:val="top"/>
          </w:tcPr>
          <w:p>
            <w:pPr>
              <w:spacing w:before="0" w:after="35" w:line="240" w:lineRule="auto"/>
            </w:pPr>
            <w:r>
              <w:rPr>
                <w:sz w:val="19"/>
              </w:rPr>
              <w:t xml:space="preserve">Far transfer</w:t>
            </w:r>
          </w:p>
        </w:tc>
        <w:tc>
          <w:tcPr>
            <w:tcW w:w="1157" w:type="dxa"/>
            <w:vAlign w:val="top"/>
          </w:tcPr>
          <w:p>
            <w:pPr>
              <w:spacing w:before="0" w:after="35" w:line="240" w:lineRule="auto"/>
            </w:pPr>
            <w:r>
              <w:rPr>
                <w:sz w:val="19"/>
              </w:rPr>
              <w:t xml:space="preserve">3/5</w:t>
            </w:r>
          </w:p>
        </w:tc>
        <w:tc>
          <w:tcPr>
            <w:tcW w:w="5590" w:type="dxa"/>
            <w:vAlign w:val="top"/>
          </w:tcPr>
          <w:p>
            <w:pPr>
              <w:spacing w:before="0" w:after="35" w:line="240" w:lineRule="auto"/>
            </w:pPr>
            <w:r>
              <w:rPr>
                <w:sz w:val="19"/>
              </w:rPr>
              <w:t xml:space="preserve">Umut verici, ancak kesin değil</w:t>
            </w:r>
          </w:p>
        </w:tc>
      </w:tr>
      <w:tr>
        <w:trPr>
          <w:cantSplit/>
        </w:trPr>
        <w:tc>
          <w:tcPr>
            <w:tcW w:w="2891" w:type="dxa"/>
            <w:vAlign w:val="top"/>
          </w:tcPr>
          <w:p>
            <w:pPr>
              <w:spacing w:before="0" w:after="35" w:line="240" w:lineRule="auto"/>
            </w:pPr>
            <w:r>
              <w:rPr>
                <w:sz w:val="19"/>
              </w:rPr>
              <w:t xml:space="preserve">Digital suitability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Algoritma ve yinelemeye uygunluk</w:t>
            </w:r>
          </w:p>
        </w:tc>
      </w:tr>
      <w:tr>
        <w:trPr>
          <w:cantSplit/>
        </w:trPr>
        <w:tc>
          <w:tcPr>
            <w:tcW w:w="2891" w:type="dxa"/>
            <w:vAlign w:val="top"/>
          </w:tcPr>
          <w:p>
            <w:pPr>
              <w:spacing w:before="0" w:after="35" w:line="240" w:lineRule="auto"/>
            </w:pPr>
            <w:r>
              <w:rPr>
                <w:sz w:val="19"/>
              </w:rPr>
              <w:t xml:space="preserve">Physical/unplugged suitability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Güçlü meta-analitik kanıt</w:t>
            </w:r>
          </w:p>
        </w:tc>
      </w:tr>
      <w:tr>
        <w:trPr>
          <w:cantSplit/>
        </w:trPr>
        <w:tc>
          <w:tcPr>
            <w:tcW w:w="2891" w:type="dxa"/>
            <w:vAlign w:val="top"/>
          </w:tcPr>
          <w:p>
            <w:pPr>
              <w:spacing w:before="0" w:after="35" w:line="240" w:lineRule="auto"/>
            </w:pPr>
            <w:r>
              <w:rPr>
                <w:sz w:val="19"/>
              </w:rPr>
              <w:t xml:space="preserve">Game suitability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Algoritma ve hata ayıklamaya uygunluk</w:t>
            </w:r>
          </w:p>
        </w:tc>
      </w:tr>
      <w:tr>
        <w:trPr>
          <w:cantSplit/>
        </w:trPr>
        <w:tc>
          <w:tcPr>
            <w:tcW w:w="2891" w:type="dxa"/>
            <w:vAlign w:val="top"/>
          </w:tcPr>
          <w:p>
            <w:pPr>
              <w:spacing w:before="0" w:after="35" w:line="240" w:lineRule="auto"/>
            </w:pPr>
            <w:r>
              <w:rPr>
                <w:sz w:val="19"/>
              </w:rPr>
              <w:t xml:space="preserve">Research opportunity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Davranışsal ölçme, soyutlama ve genelleme</w:t>
            </w:r>
          </w:p>
        </w:tc>
      </w:tr>
    </w:tbl>
    <w:p>
      <w:pPr>
        <w:spacing w:after="50"/>
      </w:pP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891"/>
        <w:gridCol w:w="1157"/>
        <w:gridCol w:w="5590"/>
      </w:tblGrid>
      <w:tr>
        <w:trPr>
          <w:cantSplit/>
          <w:tblHeader/>
        </w:trPr>
        <w:tc>
          <w:tcPr>
            <w:tcW w:w="2891" w:type="dxa"/>
            <w:vAlign w:val="top"/>
            <w:shd w:fill="E9EEF3" w:val="clear"/>
          </w:tcPr>
          <w:p>
            <w:pPr>
              <w:spacing w:before="0" w:after="35" w:line="240" w:lineRule="auto"/>
            </w:pPr>
            <w:r>
              <w:rPr>
                <w:b/>
                <w:sz w:val="19"/>
              </w:rPr>
              <w:t xml:space="preserve">Ölçüt — Data Literacy</w:t>
            </w:r>
          </w:p>
        </w:tc>
        <w:tc>
          <w:tcPr>
            <w:tcW w:w="1157" w:type="dxa"/>
            <w:vAlign w:val="top"/>
            <w:shd w:fill="E9EEF3" w:val="clear"/>
          </w:tcPr>
          <w:p>
            <w:pPr>
              <w:spacing w:before="0" w:after="35" w:line="240" w:lineRule="auto"/>
            </w:pPr>
            <w:r>
              <w:rPr>
                <w:b/>
                <w:sz w:val="19"/>
              </w:rPr>
              <w:t xml:space="preserve">Puan</w:t>
            </w:r>
          </w:p>
        </w:tc>
        <w:tc>
          <w:tcPr>
            <w:tcW w:w="5590" w:type="dxa"/>
            <w:vAlign w:val="top"/>
            <w:shd w:fill="E9EEF3" w:val="clear"/>
          </w:tcPr>
          <w:p>
            <w:pPr>
              <w:spacing w:before="0" w:after="35" w:line="240" w:lineRule="auto"/>
            </w:pPr>
            <w:r>
              <w:rPr>
                <w:b/>
                <w:sz w:val="19"/>
              </w:rPr>
              <w:t xml:space="preserve">Kısa gerekçe</w:t>
            </w:r>
          </w:p>
        </w:tc>
      </w:tr>
      <w:tr>
        <w:trPr>
          <w:cantSplit/>
        </w:trPr>
        <w:tc>
          <w:tcPr>
            <w:tcW w:w="2891" w:type="dxa"/>
            <w:vAlign w:val="top"/>
          </w:tcPr>
          <w:p>
            <w:pPr>
              <w:spacing w:before="0" w:after="35" w:line="240" w:lineRule="auto"/>
            </w:pPr>
            <w:r>
              <w:rPr>
                <w:sz w:val="19"/>
              </w:rPr>
              <w:t xml:space="preserve">Future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Veri temelli toplum ve yapay zekâyla ilişki</w:t>
            </w:r>
          </w:p>
        </w:tc>
      </w:tr>
      <w:tr>
        <w:trPr>
          <w:cantSplit/>
        </w:trPr>
        <w:tc>
          <w:tcPr>
            <w:tcW w:w="2891" w:type="dxa"/>
            <w:vAlign w:val="top"/>
          </w:tcPr>
          <w:p>
            <w:pPr>
              <w:spacing w:before="0" w:after="35" w:line="240" w:lineRule="auto"/>
            </w:pPr>
            <w:r>
              <w:rPr>
                <w:sz w:val="19"/>
              </w:rPr>
              <w:t xml:space="preserve">Policy/framework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GAISE, STEM çerçeveleri ve MEB</w:t>
            </w:r>
          </w:p>
        </w:tc>
      </w:tr>
      <w:tr>
        <w:trPr>
          <w:cantSplit/>
        </w:trPr>
        <w:tc>
          <w:tcPr>
            <w:tcW w:w="2891" w:type="dxa"/>
            <w:vAlign w:val="top"/>
          </w:tcPr>
          <w:p>
            <w:pPr>
              <w:spacing w:before="0" w:after="35" w:line="240" w:lineRule="auto"/>
            </w:pPr>
            <w:r>
              <w:rPr>
                <w:sz w:val="19"/>
              </w:rPr>
              <w:t xml:space="preserve">Overall evidence strength</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Büyüyen K–12 kanıtı</w:t>
            </w:r>
          </w:p>
        </w:tc>
      </w:tr>
      <w:tr>
        <w:trPr>
          <w:cantSplit/>
        </w:trPr>
        <w:tc>
          <w:tcPr>
            <w:tcW w:w="2891" w:type="dxa"/>
            <w:vAlign w:val="top"/>
          </w:tcPr>
          <w:p>
            <w:pPr>
              <w:spacing w:before="0" w:after="35" w:line="240" w:lineRule="auto"/>
            </w:pPr>
            <w:r>
              <w:rPr>
                <w:sz w:val="19"/>
              </w:rPr>
              <w:t xml:space="preserve">Teachability</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Gerçek yaşam sorgulamalarında olumlu kanıt</w:t>
            </w:r>
          </w:p>
        </w:tc>
      </w:tr>
      <w:tr>
        <w:trPr>
          <w:cantSplit/>
        </w:trPr>
        <w:tc>
          <w:tcPr>
            <w:tcW w:w="2891" w:type="dxa"/>
            <w:vAlign w:val="top"/>
          </w:tcPr>
          <w:p>
            <w:pPr>
              <w:spacing w:before="0" w:after="35" w:line="240" w:lineRule="auto"/>
            </w:pPr>
            <w:r>
              <w:rPr>
                <w:sz w:val="19"/>
              </w:rPr>
              <w:t xml:space="preserve">Young-child evidence</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İlkokul kanıtı mevcut, fakat sınırlı</w:t>
            </w:r>
          </w:p>
        </w:tc>
      </w:tr>
      <w:tr>
        <w:trPr>
          <w:cantSplit/>
        </w:trPr>
        <w:tc>
          <w:tcPr>
            <w:tcW w:w="2891" w:type="dxa"/>
            <w:vAlign w:val="top"/>
          </w:tcPr>
          <w:p>
            <w:pPr>
              <w:spacing w:before="0" w:after="35" w:line="240" w:lineRule="auto"/>
            </w:pPr>
            <w:r>
              <w:rPr>
                <w:sz w:val="19"/>
              </w:rPr>
              <w:t xml:space="preserve">Developmental clarity</w:t>
            </w:r>
          </w:p>
        </w:tc>
        <w:tc>
          <w:tcPr>
            <w:tcW w:w="1157" w:type="dxa"/>
            <w:vAlign w:val="top"/>
          </w:tcPr>
          <w:p>
            <w:pPr>
              <w:spacing w:before="0" w:after="35" w:line="240" w:lineRule="auto"/>
            </w:pPr>
            <w:r>
              <w:rPr>
                <w:sz w:val="19"/>
              </w:rPr>
              <w:t xml:space="preserve">3/5</w:t>
            </w:r>
          </w:p>
        </w:tc>
        <w:tc>
          <w:tcPr>
            <w:tcW w:w="5590" w:type="dxa"/>
            <w:vAlign w:val="top"/>
          </w:tcPr>
          <w:p>
            <w:pPr>
              <w:spacing w:before="0" w:after="35" w:line="240" w:lineRule="auto"/>
            </w:pPr>
            <w:r>
              <w:rPr>
                <w:sz w:val="19"/>
              </w:rPr>
              <w:t xml:space="preserve">Boylamsal araştırma ihtiyacı</w:t>
            </w:r>
          </w:p>
        </w:tc>
      </w:tr>
      <w:tr>
        <w:trPr>
          <w:cantSplit/>
        </w:trPr>
        <w:tc>
          <w:tcPr>
            <w:tcW w:w="2891" w:type="dxa"/>
            <w:vAlign w:val="top"/>
          </w:tcPr>
          <w:p>
            <w:pPr>
              <w:spacing w:before="0" w:after="35" w:line="240" w:lineRule="auto"/>
            </w:pPr>
            <w:r>
              <w:rPr>
                <w:sz w:val="19"/>
              </w:rPr>
              <w:t xml:space="preserve">Measurability</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Performans görevleri mümkün; yapı geniş</w:t>
            </w:r>
          </w:p>
        </w:tc>
      </w:tr>
      <w:tr>
        <w:trPr>
          <w:cantSplit/>
        </w:trPr>
        <w:tc>
          <w:tcPr>
            <w:tcW w:w="2891" w:type="dxa"/>
            <w:vAlign w:val="top"/>
          </w:tcPr>
          <w:p>
            <w:pPr>
              <w:spacing w:before="0" w:after="35" w:line="240" w:lineRule="auto"/>
            </w:pPr>
            <w:r>
              <w:rPr>
                <w:sz w:val="19"/>
              </w:rPr>
              <w:t xml:space="preserve">Transfer</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Bağlam ve alan etkileri</w:t>
            </w:r>
          </w:p>
        </w:tc>
      </w:tr>
      <w:tr>
        <w:trPr>
          <w:cantSplit/>
        </w:trPr>
        <w:tc>
          <w:tcPr>
            <w:tcW w:w="2891" w:type="dxa"/>
            <w:vAlign w:val="top"/>
          </w:tcPr>
          <w:p>
            <w:pPr>
              <w:spacing w:before="0" w:after="35" w:line="240" w:lineRule="auto"/>
            </w:pPr>
            <w:r>
              <w:rPr>
                <w:sz w:val="19"/>
              </w:rPr>
              <w:t xml:space="preserve">Digital suitability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Veri toplama, analiz ve simülasyona uygunluk</w:t>
            </w:r>
          </w:p>
        </w:tc>
      </w:tr>
      <w:tr>
        <w:trPr>
          <w:cantSplit/>
        </w:trPr>
        <w:tc>
          <w:tcPr>
            <w:tcW w:w="2891" w:type="dxa"/>
            <w:vAlign w:val="top"/>
          </w:tcPr>
          <w:p>
            <w:pPr>
              <w:spacing w:before="0" w:after="35" w:line="240" w:lineRule="auto"/>
            </w:pPr>
            <w:r>
              <w:rPr>
                <w:sz w:val="19"/>
              </w:rPr>
              <w:t xml:space="preserve">Game suitability</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Araştırma ve simülasyon görevlerine uygunluk</w:t>
            </w:r>
          </w:p>
        </w:tc>
      </w:tr>
      <w:tr>
        <w:trPr>
          <w:cantSplit/>
        </w:trPr>
        <w:tc>
          <w:tcPr>
            <w:tcW w:w="2891" w:type="dxa"/>
            <w:vAlign w:val="top"/>
          </w:tcPr>
          <w:p>
            <w:pPr>
              <w:spacing w:before="0" w:after="35" w:line="240" w:lineRule="auto"/>
            </w:pPr>
            <w:r>
              <w:rPr>
                <w:sz w:val="19"/>
              </w:rPr>
              <w:t xml:space="preserve">AI-era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Yapay zekâyı anlamanın temellerinden biri</w:t>
            </w:r>
          </w:p>
        </w:tc>
      </w:tr>
      <w:tr>
        <w:trPr>
          <w:cantSplit/>
        </w:trPr>
        <w:tc>
          <w:tcPr>
            <w:tcW w:w="2891" w:type="dxa"/>
            <w:vAlign w:val="top"/>
          </w:tcPr>
          <w:p>
            <w:pPr>
              <w:spacing w:before="0" w:after="35" w:line="240" w:lineRule="auto"/>
            </w:pPr>
            <w:r>
              <w:rPr>
                <w:sz w:val="19"/>
              </w:rPr>
              <w:t xml:space="preserve">Research opportunity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Veri toplama, yanlılık, eleştirel okuryazarlık ve davranışsal ölçme</w:t>
            </w:r>
          </w:p>
        </w:tc>
      </w:tr>
    </w:tbl>
    <w:p>
      <w:pPr>
        <w:spacing w:after="50"/>
      </w:pPr>
    </w:p>
    <w:p>
      <w:pPr>
        <w:pStyle w:val="Heading2"/>
        <w:pageBreakBefore/>
      </w:pPr>
      <w:bookmarkStart w:id="10" w:name="A2_8"/>
      <w:r>
        <w:t xml:space="preserve">A2.8. İletişim, İş Birliği, Empati ve Sosyal-Duygusal Yetkinlikler</w:t>
      </w:r>
      <w:bookmarkEnd w:id="10"/>
    </w:p>
    <w:p>
      <w:pPr>
        <w:pStyle w:val="Heading3"/>
      </w:pPr>
      <w:r>
        <w:t xml:space="preserve">Kavramsal kapsam ve alt bileşenler</w:t>
      </w:r>
    </w:p>
    <w:p>
      <w:pPr/>
      <w:r>
        <w:t xml:space="preserve">İletişim, iş birliği ve empati birbiriyle ilişkili, ancak birbirinden farklı yapılardır. İletişim; düşünce, bilgi, duygu ve niyetleri anlaşılır biçimde paylaşmayı, başkalarının iletilerini etkin biçimde dinlemeyi ve karşılıklı anlam oluşturmayı kapsar. İş birliği, iki veya daha fazla kişinin ortak hedef doğrultusunda bilgi, beceri, görev ve çabalarını koordine etmesidir. Empati ise başka bir kişinin duygusal veya zihinsel durumunu algılama, anlama, belirli ölçüde paylaşma ve buna uygun tepki verme kapasitesidir. Konuşma miktarı iletişim niteliğiyle, aynı grupta bulunma iş birliğiyle, birinin üzüntüsünü tanıma ise empatinin bütünüyle eşdeğer değildir.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120"/>
        <w:gridCol w:w="3759"/>
        <w:gridCol w:w="3759"/>
      </w:tblGrid>
      <w:tr>
        <w:trPr>
          <w:cantSplit/>
          <w:tblHeader/>
        </w:trPr>
        <w:tc>
          <w:tcPr>
            <w:tcW w:w="2120" w:type="dxa"/>
            <w:vAlign w:val="top"/>
            <w:shd w:fill="E9EEF3" w:val="clear"/>
          </w:tcPr>
          <w:p>
            <w:pPr>
              <w:spacing w:before="0" w:after="35" w:line="240" w:lineRule="auto"/>
            </w:pPr>
            <w:r>
              <w:rPr>
                <w:b/>
                <w:sz w:val="19"/>
              </w:rPr>
              <w:t xml:space="preserve">Yapı</w:t>
            </w:r>
          </w:p>
        </w:tc>
        <w:tc>
          <w:tcPr>
            <w:tcW w:w="3759" w:type="dxa"/>
            <w:vAlign w:val="top"/>
            <w:shd w:fill="E9EEF3" w:val="clear"/>
          </w:tcPr>
          <w:p>
            <w:pPr>
              <w:spacing w:before="0" w:after="35" w:line="240" w:lineRule="auto"/>
            </w:pPr>
            <w:r>
              <w:rPr>
                <w:b/>
                <w:sz w:val="19"/>
              </w:rPr>
              <w:t xml:space="preserve">Alt bileşen</w:t>
            </w:r>
          </w:p>
        </w:tc>
        <w:tc>
          <w:tcPr>
            <w:tcW w:w="3759" w:type="dxa"/>
            <w:vAlign w:val="top"/>
            <w:shd w:fill="E9EEF3" w:val="clear"/>
          </w:tcPr>
          <w:p>
            <w:pPr>
              <w:spacing w:before="0" w:after="35" w:line="240" w:lineRule="auto"/>
            </w:pPr>
            <w:r>
              <w:rPr>
                <w:b/>
                <w:sz w:val="19"/>
              </w:rPr>
              <w:t xml:space="preserve">Temel anlam</w:t>
            </w:r>
          </w:p>
        </w:tc>
      </w:tr>
      <w:tr>
        <w:trPr>
          <w:cantSplit/>
        </w:trPr>
        <w:tc>
          <w:tcPr>
            <w:tcW w:w="2120" w:type="dxa"/>
            <w:vAlign w:val="top"/>
          </w:tcPr>
          <w:p>
            <w:pPr>
              <w:spacing w:before="0" w:after="35" w:line="240" w:lineRule="auto"/>
            </w:pPr>
            <w:r>
              <w:rPr>
                <w:sz w:val="19"/>
              </w:rPr>
              <w:t xml:space="preserve">İletişim</w:t>
            </w:r>
          </w:p>
        </w:tc>
        <w:tc>
          <w:tcPr>
            <w:tcW w:w="3759" w:type="dxa"/>
            <w:vAlign w:val="top"/>
          </w:tcPr>
          <w:p>
            <w:pPr>
              <w:spacing w:before="0" w:after="35" w:line="240" w:lineRule="auto"/>
            </w:pPr>
            <w:r>
              <w:rPr>
                <w:sz w:val="19"/>
              </w:rPr>
              <w:t xml:space="preserve">Etkin dinleme</w:t>
            </w:r>
          </w:p>
        </w:tc>
        <w:tc>
          <w:tcPr>
            <w:tcW w:w="3759" w:type="dxa"/>
            <w:vAlign w:val="top"/>
          </w:tcPr>
          <w:p>
            <w:pPr>
              <w:spacing w:before="0" w:after="35" w:line="240" w:lineRule="auto"/>
            </w:pPr>
            <w:r>
              <w:rPr>
                <w:sz w:val="19"/>
              </w:rPr>
              <w:t xml:space="preserve">Karşıdakinin iletisini dinleme ve işleme</w:t>
            </w:r>
          </w:p>
        </w:tc>
      </w:tr>
      <w:tr>
        <w:trPr>
          <w:cantSplit/>
        </w:trPr>
        <w:tc>
          <w:tcPr>
            <w:tcW w:w="2120" w:type="dxa"/>
            <w:vAlign w:val="top"/>
          </w:tcPr>
          <w:p>
            <w:pPr>
              <w:spacing w:before="0" w:after="35" w:line="240" w:lineRule="auto"/>
            </w:pPr>
            <w:r>
              <w:rPr>
                <w:sz w:val="19"/>
              </w:rPr>
              <w:t xml:space="preserve">İletişim</w:t>
            </w:r>
          </w:p>
        </w:tc>
        <w:tc>
          <w:tcPr>
            <w:tcW w:w="3759" w:type="dxa"/>
            <w:vAlign w:val="top"/>
          </w:tcPr>
          <w:p>
            <w:pPr>
              <w:spacing w:before="0" w:after="35" w:line="240" w:lineRule="auto"/>
            </w:pPr>
            <w:r>
              <w:rPr>
                <w:sz w:val="19"/>
              </w:rPr>
              <w:t xml:space="preserve">İfade</w:t>
            </w:r>
          </w:p>
        </w:tc>
        <w:tc>
          <w:tcPr>
            <w:tcW w:w="3759" w:type="dxa"/>
            <w:vAlign w:val="top"/>
          </w:tcPr>
          <w:p>
            <w:pPr>
              <w:spacing w:before="0" w:after="35" w:line="240" w:lineRule="auto"/>
            </w:pPr>
            <w:r>
              <w:rPr>
                <w:sz w:val="19"/>
              </w:rPr>
              <w:t xml:space="preserve">Düşünce ve duyguları anlaşılır biçimde aktarma</w:t>
            </w:r>
          </w:p>
        </w:tc>
      </w:tr>
      <w:tr>
        <w:trPr>
          <w:cantSplit/>
        </w:trPr>
        <w:tc>
          <w:tcPr>
            <w:tcW w:w="2120" w:type="dxa"/>
            <w:vAlign w:val="top"/>
          </w:tcPr>
          <w:p>
            <w:pPr>
              <w:spacing w:before="0" w:after="35" w:line="240" w:lineRule="auto"/>
            </w:pPr>
            <w:r>
              <w:rPr>
                <w:sz w:val="19"/>
              </w:rPr>
              <w:t xml:space="preserve">İletişim</w:t>
            </w:r>
          </w:p>
        </w:tc>
        <w:tc>
          <w:tcPr>
            <w:tcW w:w="3759" w:type="dxa"/>
            <w:vAlign w:val="top"/>
          </w:tcPr>
          <w:p>
            <w:pPr>
              <w:spacing w:before="0" w:after="35" w:line="240" w:lineRule="auto"/>
            </w:pPr>
            <w:r>
              <w:rPr>
                <w:sz w:val="19"/>
              </w:rPr>
              <w:t xml:space="preserve">Açıklığa kavuşturma</w:t>
            </w:r>
          </w:p>
        </w:tc>
        <w:tc>
          <w:tcPr>
            <w:tcW w:w="3759" w:type="dxa"/>
            <w:vAlign w:val="top"/>
          </w:tcPr>
          <w:p>
            <w:pPr>
              <w:spacing w:before="0" w:after="35" w:line="240" w:lineRule="auto"/>
            </w:pPr>
            <w:r>
              <w:rPr>
                <w:sz w:val="19"/>
              </w:rPr>
              <w:t xml:space="preserve">Anlaşılmayan noktalar hakkında soru sorma</w:t>
            </w:r>
          </w:p>
        </w:tc>
      </w:tr>
      <w:tr>
        <w:trPr>
          <w:cantSplit/>
        </w:trPr>
        <w:tc>
          <w:tcPr>
            <w:tcW w:w="2120" w:type="dxa"/>
            <w:vAlign w:val="top"/>
          </w:tcPr>
          <w:p>
            <w:pPr>
              <w:spacing w:before="0" w:after="35" w:line="240" w:lineRule="auto"/>
            </w:pPr>
            <w:r>
              <w:rPr>
                <w:sz w:val="19"/>
              </w:rPr>
              <w:t xml:space="preserve">İletişim</w:t>
            </w:r>
          </w:p>
        </w:tc>
        <w:tc>
          <w:tcPr>
            <w:tcW w:w="3759" w:type="dxa"/>
            <w:vAlign w:val="top"/>
          </w:tcPr>
          <w:p>
            <w:pPr>
              <w:spacing w:before="0" w:after="35" w:line="240" w:lineRule="auto"/>
            </w:pPr>
            <w:r>
              <w:rPr>
                <w:sz w:val="19"/>
              </w:rPr>
              <w:t xml:space="preserve">Perspektif koordinasyonu</w:t>
            </w:r>
          </w:p>
        </w:tc>
        <w:tc>
          <w:tcPr>
            <w:tcW w:w="3759" w:type="dxa"/>
            <w:vAlign w:val="top"/>
          </w:tcPr>
          <w:p>
            <w:pPr>
              <w:spacing w:before="0" w:after="35" w:line="240" w:lineRule="auto"/>
            </w:pPr>
            <w:r>
              <w:rPr>
                <w:sz w:val="19"/>
              </w:rPr>
              <w:t xml:space="preserve">Karşıdakinin ne bildiğini veya ne anlamış olabileceğini hesaba katma</w:t>
            </w:r>
          </w:p>
        </w:tc>
      </w:tr>
      <w:tr>
        <w:trPr>
          <w:cantSplit/>
        </w:trPr>
        <w:tc>
          <w:tcPr>
            <w:tcW w:w="2120" w:type="dxa"/>
            <w:vAlign w:val="top"/>
          </w:tcPr>
          <w:p>
            <w:pPr>
              <w:spacing w:before="0" w:after="35" w:line="240" w:lineRule="auto"/>
            </w:pPr>
            <w:r>
              <w:rPr>
                <w:sz w:val="19"/>
              </w:rPr>
              <w:t xml:space="preserve">İletişim</w:t>
            </w:r>
          </w:p>
        </w:tc>
        <w:tc>
          <w:tcPr>
            <w:tcW w:w="3759" w:type="dxa"/>
            <w:vAlign w:val="top"/>
          </w:tcPr>
          <w:p>
            <w:pPr>
              <w:spacing w:before="0" w:after="35" w:line="240" w:lineRule="auto"/>
            </w:pPr>
            <w:r>
              <w:rPr>
                <w:sz w:val="19"/>
              </w:rPr>
              <w:t xml:space="preserve">Geri bildirim</w:t>
            </w:r>
          </w:p>
        </w:tc>
        <w:tc>
          <w:tcPr>
            <w:tcW w:w="3759" w:type="dxa"/>
            <w:vAlign w:val="top"/>
          </w:tcPr>
          <w:p>
            <w:pPr>
              <w:spacing w:before="0" w:after="35" w:line="240" w:lineRule="auto"/>
            </w:pPr>
            <w:r>
              <w:rPr>
                <w:sz w:val="19"/>
              </w:rPr>
              <w:t xml:space="preserve">İletiye uygun yanıt verme</w:t>
            </w:r>
          </w:p>
        </w:tc>
      </w:tr>
      <w:tr>
        <w:trPr>
          <w:cantSplit/>
        </w:trPr>
        <w:tc>
          <w:tcPr>
            <w:tcW w:w="2120" w:type="dxa"/>
            <w:vAlign w:val="top"/>
          </w:tcPr>
          <w:p>
            <w:pPr>
              <w:spacing w:before="0" w:after="35" w:line="240" w:lineRule="auto"/>
            </w:pPr>
            <w:r>
              <w:rPr>
                <w:sz w:val="19"/>
              </w:rPr>
              <w:t xml:space="preserve">İletişim</w:t>
            </w:r>
          </w:p>
        </w:tc>
        <w:tc>
          <w:tcPr>
            <w:tcW w:w="3759" w:type="dxa"/>
            <w:vAlign w:val="top"/>
          </w:tcPr>
          <w:p>
            <w:pPr>
              <w:spacing w:before="0" w:after="35" w:line="240" w:lineRule="auto"/>
            </w:pPr>
            <w:r>
              <w:rPr>
                <w:sz w:val="19"/>
              </w:rPr>
              <w:t xml:space="preserve">İletişimi onarma</w:t>
            </w:r>
          </w:p>
        </w:tc>
        <w:tc>
          <w:tcPr>
            <w:tcW w:w="3759" w:type="dxa"/>
            <w:vAlign w:val="top"/>
          </w:tcPr>
          <w:p>
            <w:pPr>
              <w:spacing w:before="0" w:after="35" w:line="240" w:lineRule="auto"/>
            </w:pPr>
            <w:r>
              <w:rPr>
                <w:sz w:val="19"/>
              </w:rPr>
              <w:t xml:space="preserve">Yanlış anlaşılmayı fark ederek düzeltme</w:t>
            </w:r>
          </w:p>
        </w:tc>
      </w:tr>
      <w:tr>
        <w:trPr>
          <w:cantSplit/>
        </w:trPr>
        <w:tc>
          <w:tcPr>
            <w:tcW w:w="2120" w:type="dxa"/>
            <w:vAlign w:val="top"/>
          </w:tcPr>
          <w:p>
            <w:pPr>
              <w:spacing w:before="0" w:after="35" w:line="240" w:lineRule="auto"/>
            </w:pPr>
            <w:r>
              <w:rPr>
                <w:sz w:val="19"/>
              </w:rPr>
              <w:t xml:space="preserve">İletişim</w:t>
            </w:r>
          </w:p>
        </w:tc>
        <w:tc>
          <w:tcPr>
            <w:tcW w:w="3759" w:type="dxa"/>
            <w:vAlign w:val="top"/>
          </w:tcPr>
          <w:p>
            <w:pPr>
              <w:spacing w:before="0" w:after="35" w:line="240" w:lineRule="auto"/>
            </w:pPr>
            <w:r>
              <w:rPr>
                <w:sz w:val="19"/>
              </w:rPr>
              <w:t xml:space="preserve">Gerekçelendirme</w:t>
            </w:r>
          </w:p>
        </w:tc>
        <w:tc>
          <w:tcPr>
            <w:tcW w:w="3759" w:type="dxa"/>
            <w:vAlign w:val="top"/>
          </w:tcPr>
          <w:p>
            <w:pPr>
              <w:spacing w:before="0" w:after="35" w:line="240" w:lineRule="auto"/>
            </w:pPr>
            <w:r>
              <w:rPr>
                <w:sz w:val="19"/>
              </w:rPr>
              <w:t xml:space="preserve">Görüşü gerekçelerle savunma</w:t>
            </w:r>
          </w:p>
        </w:tc>
      </w:tr>
      <w:tr>
        <w:trPr>
          <w:cantSplit/>
        </w:trPr>
        <w:tc>
          <w:tcPr>
            <w:tcW w:w="2120" w:type="dxa"/>
            <w:vAlign w:val="top"/>
          </w:tcPr>
          <w:p>
            <w:pPr>
              <w:spacing w:before="0" w:after="35" w:line="240" w:lineRule="auto"/>
            </w:pPr>
            <w:r>
              <w:rPr>
                <w:sz w:val="19"/>
              </w:rPr>
              <w:t xml:space="preserve">İletişim</w:t>
            </w:r>
          </w:p>
        </w:tc>
        <w:tc>
          <w:tcPr>
            <w:tcW w:w="3759" w:type="dxa"/>
            <w:vAlign w:val="top"/>
          </w:tcPr>
          <w:p>
            <w:pPr>
              <w:spacing w:before="0" w:after="35" w:line="240" w:lineRule="auto"/>
            </w:pPr>
            <w:r>
              <w:rPr>
                <w:sz w:val="19"/>
              </w:rPr>
              <w:t xml:space="preserve">Müzakere</w:t>
            </w:r>
          </w:p>
        </w:tc>
        <w:tc>
          <w:tcPr>
            <w:tcW w:w="3759" w:type="dxa"/>
            <w:vAlign w:val="top"/>
          </w:tcPr>
          <w:p>
            <w:pPr>
              <w:spacing w:before="0" w:after="35" w:line="240" w:lineRule="auto"/>
            </w:pPr>
            <w:r>
              <w:rPr>
                <w:sz w:val="19"/>
              </w:rPr>
              <w:t xml:space="preserve">Farklı görüşleri uzlaştırmaya çalışma</w:t>
            </w:r>
          </w:p>
        </w:tc>
      </w:tr>
      <w:tr>
        <w:trPr>
          <w:cantSplit/>
        </w:trPr>
        <w:tc>
          <w:tcPr>
            <w:tcW w:w="2120" w:type="dxa"/>
            <w:vAlign w:val="top"/>
          </w:tcPr>
          <w:p>
            <w:pPr>
              <w:spacing w:before="0" w:after="35" w:line="240" w:lineRule="auto"/>
            </w:pPr>
            <w:r>
              <w:rPr>
                <w:sz w:val="19"/>
              </w:rPr>
              <w:t xml:space="preserve">Empati</w:t>
            </w:r>
          </w:p>
        </w:tc>
        <w:tc>
          <w:tcPr>
            <w:tcW w:w="3759" w:type="dxa"/>
            <w:vAlign w:val="top"/>
          </w:tcPr>
          <w:p>
            <w:pPr>
              <w:spacing w:before="0" w:after="35" w:line="240" w:lineRule="auto"/>
            </w:pPr>
            <w:r>
              <w:rPr>
                <w:sz w:val="19"/>
              </w:rPr>
              <w:t xml:space="preserve">Duygusal empati</w:t>
            </w:r>
          </w:p>
        </w:tc>
        <w:tc>
          <w:tcPr>
            <w:tcW w:w="3759" w:type="dxa"/>
            <w:vAlign w:val="top"/>
          </w:tcPr>
          <w:p>
            <w:pPr>
              <w:spacing w:before="0" w:after="35" w:line="240" w:lineRule="auto"/>
            </w:pPr>
            <w:r>
              <w:rPr>
                <w:sz w:val="19"/>
              </w:rPr>
              <w:t xml:space="preserve">Başkasının duygusuna duygusal tepki verme veya duyguyu belirli ölçüde paylaşma</w:t>
            </w:r>
          </w:p>
        </w:tc>
      </w:tr>
      <w:tr>
        <w:trPr>
          <w:cantSplit/>
        </w:trPr>
        <w:tc>
          <w:tcPr>
            <w:tcW w:w="2120" w:type="dxa"/>
            <w:vAlign w:val="top"/>
          </w:tcPr>
          <w:p>
            <w:pPr>
              <w:spacing w:before="0" w:after="35" w:line="240" w:lineRule="auto"/>
            </w:pPr>
            <w:r>
              <w:rPr>
                <w:sz w:val="19"/>
              </w:rPr>
              <w:t xml:space="preserve">Empati</w:t>
            </w:r>
          </w:p>
        </w:tc>
        <w:tc>
          <w:tcPr>
            <w:tcW w:w="3759" w:type="dxa"/>
            <w:vAlign w:val="top"/>
          </w:tcPr>
          <w:p>
            <w:pPr>
              <w:spacing w:before="0" w:after="35" w:line="240" w:lineRule="auto"/>
            </w:pPr>
            <w:r>
              <w:rPr>
                <w:sz w:val="19"/>
              </w:rPr>
              <w:t xml:space="preserve">Bilişsel empati</w:t>
            </w:r>
          </w:p>
        </w:tc>
        <w:tc>
          <w:tcPr>
            <w:tcW w:w="3759" w:type="dxa"/>
            <w:vAlign w:val="top"/>
          </w:tcPr>
          <w:p>
            <w:pPr>
              <w:spacing w:before="0" w:after="35" w:line="240" w:lineRule="auto"/>
            </w:pPr>
            <w:r>
              <w:rPr>
                <w:sz w:val="19"/>
              </w:rPr>
              <w:t xml:space="preserve">Başkasının ne hissettiğini ve bunun nedenini anlama</w:t>
            </w:r>
          </w:p>
        </w:tc>
      </w:tr>
      <w:tr>
        <w:trPr>
          <w:cantSplit/>
        </w:trPr>
        <w:tc>
          <w:tcPr>
            <w:tcW w:w="2120" w:type="dxa"/>
            <w:vAlign w:val="top"/>
          </w:tcPr>
          <w:p>
            <w:pPr>
              <w:spacing w:before="0" w:after="35" w:line="240" w:lineRule="auto"/>
            </w:pPr>
            <w:r>
              <w:rPr>
                <w:sz w:val="19"/>
              </w:rPr>
              <w:t xml:space="preserve">Empatiyle ilişkili süreç</w:t>
            </w:r>
          </w:p>
        </w:tc>
        <w:tc>
          <w:tcPr>
            <w:tcW w:w="3759" w:type="dxa"/>
            <w:vAlign w:val="top"/>
          </w:tcPr>
          <w:p>
            <w:pPr>
              <w:spacing w:before="0" w:after="35" w:line="240" w:lineRule="auto"/>
            </w:pPr>
            <w:r>
              <w:rPr>
                <w:sz w:val="19"/>
              </w:rPr>
              <w:t xml:space="preserve">Perspektif alma</w:t>
            </w:r>
          </w:p>
        </w:tc>
        <w:tc>
          <w:tcPr>
            <w:tcW w:w="3759" w:type="dxa"/>
            <w:vAlign w:val="top"/>
          </w:tcPr>
          <w:p>
            <w:pPr>
              <w:spacing w:before="0" w:after="35" w:line="240" w:lineRule="auto"/>
            </w:pPr>
            <w:r>
              <w:rPr>
                <w:sz w:val="19"/>
              </w:rPr>
              <w:t xml:space="preserve">Duruma başka kişinin bakış açısından bakma</w:t>
            </w:r>
          </w:p>
        </w:tc>
      </w:tr>
      <w:tr>
        <w:trPr>
          <w:cantSplit/>
        </w:trPr>
        <w:tc>
          <w:tcPr>
            <w:tcW w:w="2120" w:type="dxa"/>
            <w:vAlign w:val="top"/>
          </w:tcPr>
          <w:p>
            <w:pPr>
              <w:spacing w:before="0" w:after="35" w:line="240" w:lineRule="auto"/>
            </w:pPr>
            <w:r>
              <w:rPr>
                <w:sz w:val="19"/>
              </w:rPr>
              <w:t xml:space="preserve">Empatiyle ilişkili süreç</w:t>
            </w:r>
          </w:p>
        </w:tc>
        <w:tc>
          <w:tcPr>
            <w:tcW w:w="3759" w:type="dxa"/>
            <w:vAlign w:val="top"/>
          </w:tcPr>
          <w:p>
            <w:pPr>
              <w:spacing w:before="0" w:after="35" w:line="240" w:lineRule="auto"/>
            </w:pPr>
            <w:r>
              <w:rPr>
                <w:sz w:val="19"/>
              </w:rPr>
              <w:t xml:space="preserve">Empatik ilgi</w:t>
            </w:r>
          </w:p>
        </w:tc>
        <w:tc>
          <w:tcPr>
            <w:tcW w:w="3759" w:type="dxa"/>
            <w:vAlign w:val="top"/>
          </w:tcPr>
          <w:p>
            <w:pPr>
              <w:spacing w:before="0" w:after="35" w:line="240" w:lineRule="auto"/>
            </w:pPr>
            <w:r>
              <w:rPr>
                <w:sz w:val="19"/>
              </w:rPr>
              <w:t xml:space="preserve">Başkasının iyiliğine yönelik ilgi ve şefkat geliştirme</w:t>
            </w:r>
          </w:p>
        </w:tc>
      </w:tr>
      <w:tr>
        <w:trPr>
          <w:cantSplit/>
        </w:trPr>
        <w:tc>
          <w:tcPr>
            <w:tcW w:w="2120" w:type="dxa"/>
            <w:vAlign w:val="top"/>
          </w:tcPr>
          <w:p>
            <w:pPr>
              <w:spacing w:before="0" w:after="35" w:line="240" w:lineRule="auto"/>
            </w:pPr>
            <w:r>
              <w:rPr>
                <w:sz w:val="19"/>
              </w:rPr>
              <w:t xml:space="preserve">Empatiyle ilişkili süreç</w:t>
            </w:r>
          </w:p>
        </w:tc>
        <w:tc>
          <w:tcPr>
            <w:tcW w:w="3759" w:type="dxa"/>
            <w:vAlign w:val="top"/>
          </w:tcPr>
          <w:p>
            <w:pPr>
              <w:spacing w:before="0" w:after="35" w:line="240" w:lineRule="auto"/>
            </w:pPr>
            <w:r>
              <w:rPr>
                <w:sz w:val="19"/>
              </w:rPr>
              <w:t xml:space="preserve">Toplum yanlısı tepki</w:t>
            </w:r>
          </w:p>
        </w:tc>
        <w:tc>
          <w:tcPr>
            <w:tcW w:w="3759" w:type="dxa"/>
            <w:vAlign w:val="top"/>
          </w:tcPr>
          <w:p>
            <w:pPr>
              <w:spacing w:before="0" w:after="35" w:line="240" w:lineRule="auto"/>
            </w:pPr>
            <w:r>
              <w:rPr>
                <w:sz w:val="19"/>
              </w:rPr>
              <w:t xml:space="preserve">Anlayışı yardım, destek veya uygun davranışa dönüştürme</w:t>
            </w:r>
          </w:p>
        </w:tc>
      </w:tr>
    </w:tbl>
    <w:p>
      <w:pPr>
        <w:spacing w:after="50"/>
      </w:pPr>
    </w:p>
    <w:p>
      <w:pPr/>
      <w:r>
        <w:t xml:space="preserve">OECD İş Birlikli Problem Çözme Çerçevesi, ortak çözüm için gerekli anlayış ve çabanın paylaşılmasını, bilgi ve becerilerin birleştirilmesini vurgular. İletişim, çatışma yönetimi, takımın örgütlenmesi, uzlaşma oluşturma ve ilerlemenin yönetimi bu çerçevenin parçalarıdır. Ortak problem anlayışı; iş bölümü, farklı perspektiflerin bir araya gelmesi, bilgi kaynaklarının paylaşılması ve diğer üyelerin fikirlerinden yararlanarak daha yaratıcı ve nitelikli çözümler üretilmesi açısından önemlidir. Her üyenin bağımsız biçimde çalışması, ortak bir ortamda gerçekleşse bile güçlü iş birliği anlamına gelmez.</w:t>
      </w:r>
    </w:p>
    <w:p>
      <w:pPr/>
      <w:r>
        <w:t xml:space="preserve">İş birliği sürekli görüş birliği gerektirmez. Yapıcı görüş ayrılıkları, karşıt gerekçelerin değerlendirilmesine katkı sağlayabilir; çatışma yönetimi, müzakere ve uzlaşma bu nedenle iş birliğinin dışında değil, içindedir. Empati bakımından da bilişsel anlama toplum yanlısı davranışı garanti etmez. Başkasının duygusunu doğru açıklayabilmek ile o kişinin ihtiyacına uygun davranmak ayrı değerlendirilmelidir.</w:t>
      </w:r>
    </w:p>
    <w:p>
      <w:pPr>
        <w:pStyle w:val="Heading3"/>
      </w:pPr>
      <w:r>
        <w:t xml:space="preserve">Gelişimsel bulgular ve yaşa göre çalışma haritası</w:t>
      </w:r>
    </w:p>
    <w:p>
      <w:pPr/>
      <w:r>
        <w:t xml:space="preserve">2025 tarihli, doğumdan üç yaşa kadar empati gelişimine ilişkin 2000–2025 literatürünü inceleyen derleme; başkasının duygusuna dolaylı duygusal tepki, başkalarının duygularını anlama, başkasına yönelik ilgi ve giderek karmaşıklaşan yardım/tepki davranışlarının erken çocuklukta geliştiğini bildirmektedir. Bununla birlikte erken duygusal duyarlılık, gelişmiş perspektif alma veya bilişsel empatiyle eşit değildir.</w:t>
      </w:r>
    </w:p>
    <w:p>
      <w:pPr/>
      <w:r>
        <w:t xml:space="preserve">4–6 yaşındaki 158 çocukla yapılan araştırmada bilişsel ve davranışsal empati yaşla gelişme eğilimi gösterirken duygusal empati daha durağan bulunmuştur. Davranışsal empatideki artış hafif, ancak doğrusal olarak raporlanmıştır. Bilişsel empati, zihin kuramı ve duygusal perspektif almayla ilişkili bulunmuştur. Bu dönemde çocukların kendi duygularını başkasının duygularından ayırması, başkasının neden belirli biçimde hissettiğini açıklaması ve yardımı karşı tarafın ihtiyacına uyarlaması gelişebilmektedir. Somut hikâyeler, duygu tanıma, duygunun nedenini açıklama, olası tepkileri düşünme ve karakter perspektiflerini karşılaştırma bu bileşenleri ele alabilecek etkinliklerdir.</w:t>
      </w:r>
    </w:p>
    <w:p>
      <w:pPr/>
      <w:r>
        <w:t xml:space="preserve">Perspektif alma erken başlamakla birlikte çocuklukta tamamlanan bir beceri değildir; gelişimsel derlemeler karmaşık sosyal perspektif almanın ergenlik boyunca rafine olduğunu göstermektedir. Bir kişinin duygusunu fark etmenin ötesinde, tarafların farklı bilgilere sahip olabileceğini, niyetlerin yanlış anlaşılabileceğini ve aynı olayın farklı açılardan değerlendirilebileceğini anlamak daha karmaşık perspektif koordinasyonu gerektirir.</w:t>
      </w:r>
    </w:p>
    <w:p>
      <w:pPr/>
      <w:r>
        <w:t xml:space="preserve">Aşağıdaki yaş haritası, kesin gelişim eşikleri değil pedagojik çalışma alanlarını göstermektedir. Empatinin erken öncülleri ilk yaş grubundan önce de ortaya çıkmaktadır.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Yaş</w:t>
            </w:r>
          </w:p>
        </w:tc>
        <w:tc>
          <w:tcPr>
            <w:tcW w:w="6939" w:type="dxa"/>
            <w:vAlign w:val="top"/>
            <w:shd w:fill="E9EEF3" w:val="clear"/>
          </w:tcPr>
          <w:p>
            <w:pPr>
              <w:spacing w:before="0" w:after="35" w:line="240" w:lineRule="auto"/>
            </w:pPr>
            <w:r>
              <w:rPr>
                <w:b/>
                <w:sz w:val="19"/>
              </w:rPr>
              <w:t xml:space="preserve">Pedagojik çalışma alanları</w:t>
            </w:r>
          </w:p>
        </w:tc>
      </w:tr>
      <w:tr>
        <w:trPr>
          <w:cantSplit/>
        </w:trPr>
        <w:tc>
          <w:tcPr>
            <w:tcW w:w="2699" w:type="dxa"/>
            <w:vAlign w:val="top"/>
          </w:tcPr>
          <w:p>
            <w:pPr>
              <w:spacing w:before="0" w:after="35" w:line="240" w:lineRule="auto"/>
            </w:pPr>
            <w:r>
              <w:rPr>
                <w:sz w:val="19"/>
              </w:rPr>
              <w:t xml:space="preserve">3–5</w:t>
            </w:r>
          </w:p>
        </w:tc>
        <w:tc>
          <w:tcPr>
            <w:tcW w:w="6939" w:type="dxa"/>
            <w:vAlign w:val="top"/>
          </w:tcPr>
          <w:p>
            <w:pPr>
              <w:spacing w:before="0" w:after="35" w:line="240" w:lineRule="auto"/>
            </w:pPr>
            <w:r>
              <w:rPr>
                <w:sz w:val="19"/>
              </w:rPr>
              <w:t xml:space="preserve">Temel duygu tanıma, basit perspektif alma, paylaşma, sıra alma, ortak hedefler ve basit yardım davranışı</w:t>
            </w:r>
          </w:p>
        </w:tc>
      </w:tr>
      <w:tr>
        <w:trPr>
          <w:cantSplit/>
        </w:trPr>
        <w:tc>
          <w:tcPr>
            <w:tcW w:w="2699" w:type="dxa"/>
            <w:vAlign w:val="top"/>
          </w:tcPr>
          <w:p>
            <w:pPr>
              <w:spacing w:before="0" w:after="35" w:line="240" w:lineRule="auto"/>
            </w:pPr>
            <w:r>
              <w:rPr>
                <w:sz w:val="19"/>
              </w:rPr>
              <w:t xml:space="preserve">5–7</w:t>
            </w:r>
          </w:p>
        </w:tc>
        <w:tc>
          <w:tcPr>
            <w:tcW w:w="6939" w:type="dxa"/>
            <w:vAlign w:val="top"/>
          </w:tcPr>
          <w:p>
            <w:pPr>
              <w:spacing w:before="0" w:after="35" w:line="240" w:lineRule="auto"/>
            </w:pPr>
            <w:r>
              <w:rPr>
                <w:sz w:val="19"/>
              </w:rPr>
              <w:t xml:space="preserve">Başkasının neden farklı hissettiğini açıklama, iş birlikli yapbozlar, basit bilgi paylaşımı, sıra ve rol koordinasyonu, sosyal problem çözme</w:t>
            </w:r>
          </w:p>
        </w:tc>
      </w:tr>
      <w:tr>
        <w:trPr>
          <w:cantSplit/>
        </w:trPr>
        <w:tc>
          <w:tcPr>
            <w:tcW w:w="2699" w:type="dxa"/>
            <w:vAlign w:val="top"/>
          </w:tcPr>
          <w:p>
            <w:pPr>
              <w:spacing w:before="0" w:after="35" w:line="240" w:lineRule="auto"/>
            </w:pPr>
            <w:r>
              <w:rPr>
                <w:sz w:val="19"/>
              </w:rPr>
              <w:t xml:space="preserve">7–9</w:t>
            </w:r>
          </w:p>
        </w:tc>
        <w:tc>
          <w:tcPr>
            <w:tcW w:w="6939" w:type="dxa"/>
            <w:vAlign w:val="top"/>
          </w:tcPr>
          <w:p>
            <w:pPr>
              <w:spacing w:before="0" w:after="35" w:line="240" w:lineRule="auto"/>
            </w:pPr>
            <w:r>
              <w:rPr>
                <w:sz w:val="19"/>
              </w:rPr>
              <w:t xml:space="preserve">Çoklu perspektifler, ortak planlama, müzakere, temel çatışma çözümü, gizli/asimetrik bilgiye dayalı iş birliği ve gerekçeli sosyal karar</w:t>
            </w:r>
          </w:p>
        </w:tc>
      </w:tr>
      <w:tr>
        <w:trPr>
          <w:cantSplit/>
        </w:trPr>
        <w:tc>
          <w:tcPr>
            <w:tcW w:w="2699" w:type="dxa"/>
            <w:vAlign w:val="top"/>
          </w:tcPr>
          <w:p>
            <w:pPr>
              <w:spacing w:before="0" w:after="35" w:line="240" w:lineRule="auto"/>
            </w:pPr>
            <w:r>
              <w:rPr>
                <w:sz w:val="19"/>
              </w:rPr>
              <w:t xml:space="preserve">9–12</w:t>
            </w:r>
          </w:p>
        </w:tc>
        <w:tc>
          <w:tcPr>
            <w:tcW w:w="6939" w:type="dxa"/>
            <w:vAlign w:val="top"/>
          </w:tcPr>
          <w:p>
            <w:pPr>
              <w:spacing w:before="0" w:after="35" w:line="240" w:lineRule="auto"/>
            </w:pPr>
            <w:r>
              <w:rPr>
                <w:sz w:val="19"/>
              </w:rPr>
              <w:t xml:space="preserve">Perspektif çatışmaları, grup kararı, uzlaşma, rollerin karşılıklı bağımlılığı, etik/sosyal ödünleşimler ve iş birlikli karmaşık problem çözme</w:t>
            </w:r>
          </w:p>
        </w:tc>
      </w:tr>
      <w:tr>
        <w:trPr>
          <w:cantSplit/>
        </w:trPr>
        <w:tc>
          <w:tcPr>
            <w:tcW w:w="2699" w:type="dxa"/>
            <w:vAlign w:val="top"/>
          </w:tcPr>
          <w:p>
            <w:pPr>
              <w:spacing w:before="0" w:after="35" w:line="240" w:lineRule="auto"/>
            </w:pPr>
            <w:r>
              <w:rPr>
                <w:sz w:val="19"/>
              </w:rPr>
              <w:t xml:space="preserve">12+</w:t>
            </w:r>
          </w:p>
        </w:tc>
        <w:tc>
          <w:tcPr>
            <w:tcW w:w="6939" w:type="dxa"/>
            <w:vAlign w:val="top"/>
          </w:tcPr>
          <w:p>
            <w:pPr>
              <w:spacing w:before="0" w:after="35" w:line="240" w:lineRule="auto"/>
            </w:pPr>
            <w:r>
              <w:rPr>
                <w:sz w:val="19"/>
              </w:rPr>
              <w:t xml:space="preserve">Daha karmaşık sosyal kimlikler, grup dinamikleri, manipülasyon/ikna, liderlik, yurttaşlık kapsamında iş birliği, ileri müzakere ve dijital iletişim normları</w:t>
            </w:r>
          </w:p>
        </w:tc>
      </w:tr>
    </w:tbl>
    <w:p>
      <w:pPr>
        <w:spacing w:after="50"/>
      </w:pPr>
    </w:p>
    <w:p>
      <w:pPr>
        <w:pStyle w:val="Heading3"/>
      </w:pPr>
      <w:r>
        <w:t xml:space="preserve">Okul temelli SEL, iş birliği ve empati müdahaleleri</w:t>
      </w:r>
    </w:p>
    <w:p>
      <w:pPr/>
      <w:r>
        <w:t xml:space="preserve">Cipriano ve arkadaşlarının 2023 tarihli meta-analizi, 53 ülkeden 424 çalışmayı, 252 farklı evrensel okul temelli sosyal-duygusal öğrenme (SEL) müdahalesini ve 575.361 öğrenciyi kapsamaktadır. Müdahaleye katılan öğrenciler kontrol gruplarına göre sosyal-duygusal beceriler, tutumlar, davranışlar, akran ilişkileri, okul iklimi/güvenliği, okul işlevselliği ve akademik başarı bakımından anlamlı biçimde daha iyi sonuçlar göstermiştir. Bununla birlikte meta-analiz yüksek heterojenlik bildirmekte; müdahale içeriği, uygulama biçimi, bağlam ve uygulama niteliğinin sonuçları anlamlı biçimde etkilediğini göstermektedir. Geniş SEL kanıtı, tek tek iletişim, iş birliği veya empati bileşenlerinin aynı büyüklükte etkilendiği anlamına gelmez.</w:t>
      </w:r>
    </w:p>
    <w:p>
      <w:pPr/>
      <w:r>
        <w:t xml:space="preserve">Durlak ve arkadaşlarının meta-analizi, 213 okul temelli SEL programını 270.034 öğrencide incelemiştir. Sosyal-duygusal beceriler, tutumlar, davranışlar ve akademik performansta iyileşme; akademik performansta yaklaşık 11 yüzdelik sıra puanı (percentile points) kazanım raporlanmıştır. Bu değer yüzde olarak bir başarı artışı değildir. Okul işlevselliği ve öğrenme sonuçları bakımından SEL'in önemini destekleyen bu bulgular, her programın eşit nitelikte kanıta sahip olduğunu göstermez.</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313"/>
        <w:gridCol w:w="1638"/>
        <w:gridCol w:w="2410"/>
        <w:gridCol w:w="3277"/>
      </w:tblGrid>
      <w:tr>
        <w:trPr>
          <w:cantSplit/>
          <w:tblHeader/>
        </w:trPr>
        <w:tc>
          <w:tcPr>
            <w:tcW w:w="2313" w:type="dxa"/>
            <w:vAlign w:val="top"/>
            <w:shd w:fill="E9EEF3" w:val="clear"/>
          </w:tcPr>
          <w:p>
            <w:pPr>
              <w:spacing w:before="0" w:after="35" w:line="240" w:lineRule="auto"/>
            </w:pPr>
            <w:r>
              <w:rPr>
                <w:b/>
                <w:sz w:val="19"/>
              </w:rPr>
              <w:t xml:space="preserve">İnceleme veya çalışma</w:t>
            </w:r>
          </w:p>
        </w:tc>
        <w:tc>
          <w:tcPr>
            <w:tcW w:w="1638" w:type="dxa"/>
            <w:vAlign w:val="top"/>
            <w:shd w:fill="E9EEF3" w:val="clear"/>
          </w:tcPr>
          <w:p>
            <w:pPr>
              <w:spacing w:before="0" w:after="35" w:line="240" w:lineRule="auto"/>
            </w:pPr>
            <w:r>
              <w:rPr>
                <w:b/>
                <w:sz w:val="19"/>
              </w:rPr>
              <w:t xml:space="preserve">Kapsam</w:t>
            </w:r>
          </w:p>
        </w:tc>
        <w:tc>
          <w:tcPr>
            <w:tcW w:w="2410" w:type="dxa"/>
            <w:vAlign w:val="top"/>
            <w:shd w:fill="E9EEF3" w:val="clear"/>
          </w:tcPr>
          <w:p>
            <w:pPr>
              <w:spacing w:before="0" w:after="35" w:line="240" w:lineRule="auto"/>
            </w:pPr>
            <w:r>
              <w:rPr>
                <w:b/>
                <w:sz w:val="19"/>
              </w:rPr>
              <w:t xml:space="preserve">Bulgular</w:t>
            </w:r>
          </w:p>
        </w:tc>
        <w:tc>
          <w:tcPr>
            <w:tcW w:w="3277" w:type="dxa"/>
            <w:vAlign w:val="top"/>
            <w:shd w:fill="E9EEF3" w:val="clear"/>
          </w:tcPr>
          <w:p>
            <w:pPr>
              <w:spacing w:before="0" w:after="35" w:line="240" w:lineRule="auto"/>
            </w:pPr>
            <w:r>
              <w:rPr>
                <w:b/>
                <w:sz w:val="19"/>
              </w:rPr>
              <w:t xml:space="preserve">Çalışmaya özgü sınırlar</w:t>
            </w:r>
          </w:p>
        </w:tc>
      </w:tr>
      <w:tr>
        <w:trPr>
          <w:cantSplit/>
        </w:trPr>
        <w:tc>
          <w:tcPr>
            <w:tcW w:w="2313" w:type="dxa"/>
            <w:vAlign w:val="top"/>
          </w:tcPr>
          <w:p>
            <w:pPr>
              <w:spacing w:before="0" w:after="35" w:line="240" w:lineRule="auto"/>
            </w:pPr>
            <w:r>
              <w:rPr>
                <w:sz w:val="19"/>
              </w:rPr>
              <w:t xml:space="preserve">Okul öncesi sınıf genelini kapsayan SEL programları sistematik derlemesi, 2022</w:t>
            </w:r>
          </w:p>
        </w:tc>
        <w:tc>
          <w:tcPr>
            <w:tcW w:w="1638" w:type="dxa"/>
            <w:vAlign w:val="top"/>
          </w:tcPr>
          <w:p>
            <w:pPr>
              <w:spacing w:before="0" w:after="35" w:line="240" w:lineRule="auto"/>
            </w:pPr>
            <w:r>
              <w:rPr>
                <w:sz w:val="19"/>
              </w:rPr>
              <w:t xml:space="preserve">38 program; 81 çalışma</w:t>
            </w:r>
          </w:p>
        </w:tc>
        <w:tc>
          <w:tcPr>
            <w:tcW w:w="2410" w:type="dxa"/>
            <w:vAlign w:val="top"/>
          </w:tcPr>
          <w:p>
            <w:pPr>
              <w:spacing w:before="0" w:after="35" w:line="240" w:lineRule="auto"/>
            </w:pPr>
            <w:r>
              <w:rPr>
                <w:sz w:val="19"/>
              </w:rPr>
              <w:t xml:space="preserve">İyi desteklenen programlarda sosyal-duygusal yeterlikte artış, duygusal/davranışsal sorun riskinde azalma; bazı çalışmalarda yürütücü işlevler veya okula hazırbulunuşlukta olumlu sonuçlar</w:t>
            </w:r>
          </w:p>
        </w:tc>
        <w:tc>
          <w:tcPr>
            <w:tcW w:w="3277" w:type="dxa"/>
            <w:vAlign w:val="top"/>
          </w:tcPr>
          <w:p>
            <w:pPr>
              <w:spacing w:before="0" w:after="35" w:line="240" w:lineRule="auto"/>
            </w:pPr>
            <w:r>
              <w:rPr>
                <w:sz w:val="19"/>
              </w:rPr>
              <w:t xml:space="preserve">Yalnızca dört program derlemenin ölçütleriyle yerleşik kanıt desteğine sahip (well-established) kabul edilmiştir.</w:t>
            </w:r>
          </w:p>
        </w:tc>
      </w:tr>
      <w:tr>
        <w:trPr>
          <w:cantSplit/>
        </w:trPr>
        <w:tc>
          <w:tcPr>
            <w:tcW w:w="2313" w:type="dxa"/>
            <w:vAlign w:val="top"/>
          </w:tcPr>
          <w:p>
            <w:pPr>
              <w:spacing w:before="0" w:after="35" w:line="240" w:lineRule="auto"/>
            </w:pPr>
            <w:r>
              <w:rPr>
                <w:sz w:val="19"/>
              </w:rPr>
              <w:t xml:space="preserve">Küçük çocuklarda iş birliği sistematik derlemesi</w:t>
            </w:r>
          </w:p>
        </w:tc>
        <w:tc>
          <w:tcPr>
            <w:tcW w:w="1638" w:type="dxa"/>
            <w:vAlign w:val="top"/>
          </w:tcPr>
          <w:p>
            <w:pPr>
              <w:spacing w:before="0" w:after="35" w:line="240" w:lineRule="auto"/>
            </w:pPr>
            <w:r>
              <w:rPr>
                <w:sz w:val="19"/>
              </w:rPr>
              <w:t xml:space="preserve">4–7 yaş; 21 çalışma</w:t>
            </w:r>
          </w:p>
        </w:tc>
        <w:tc>
          <w:tcPr>
            <w:tcW w:w="2410" w:type="dxa"/>
            <w:vAlign w:val="top"/>
          </w:tcPr>
          <w:p>
            <w:pPr>
              <w:spacing w:before="0" w:after="35" w:line="240" w:lineRule="auto"/>
            </w:pPr>
            <w:r>
              <w:rPr>
                <w:sz w:val="19"/>
              </w:rPr>
              <w:t xml:space="preserve">Aynı yaş grubundaki akranlarla iş birliği, görsel algı, problem çözme ve kurala dayalı düşünme görevlerinde anlık bilişsel yararlar sağlayabilmiştir</w:t>
            </w:r>
          </w:p>
        </w:tc>
        <w:tc>
          <w:tcPr>
            <w:tcW w:w="3277" w:type="dxa"/>
            <w:vAlign w:val="top"/>
          </w:tcPr>
          <w:p>
            <w:pPr>
              <w:spacing w:before="0" w:after="35" w:line="240" w:lineRule="auto"/>
            </w:pPr>
            <w:r>
              <w:rPr>
                <w:sz w:val="19"/>
              </w:rPr>
              <w:t xml:space="preserve">Sözcük okuma ve uzamsal perspektif alma dâhil bütün görevlerde aynı fayda görülmemiştir; partnerin yetkinliği ve görev yapısı önemlidir.</w:t>
            </w:r>
          </w:p>
        </w:tc>
      </w:tr>
      <w:tr>
        <w:trPr>
          <w:cantSplit/>
        </w:trPr>
        <w:tc>
          <w:tcPr>
            <w:tcW w:w="2313" w:type="dxa"/>
            <w:vAlign w:val="top"/>
          </w:tcPr>
          <w:p>
            <w:pPr>
              <w:spacing w:before="0" w:after="35" w:line="240" w:lineRule="auto"/>
            </w:pPr>
            <w:r>
              <w:rPr>
                <w:sz w:val="19"/>
              </w:rPr>
              <w:t xml:space="preserve">Sınıf ortamında iş birlikli öğrenme meta-analizi</w:t>
            </w:r>
          </w:p>
        </w:tc>
        <w:tc>
          <w:tcPr>
            <w:tcW w:w="1638" w:type="dxa"/>
            <w:vAlign w:val="top"/>
          </w:tcPr>
          <w:p>
            <w:pPr>
              <w:spacing w:before="0" w:after="35" w:line="240" w:lineRule="auto"/>
            </w:pPr>
            <w:r>
              <w:rPr>
                <w:sz w:val="19"/>
              </w:rPr>
              <w:t xml:space="preserve">65 makale</w:t>
            </w:r>
          </w:p>
        </w:tc>
        <w:tc>
          <w:tcPr>
            <w:tcW w:w="2410" w:type="dxa"/>
            <w:vAlign w:val="top"/>
          </w:tcPr>
          <w:p>
            <w:pPr>
              <w:spacing w:before="0" w:after="35" w:line="240" w:lineRule="auto"/>
            </w:pPr>
            <w:r>
              <w:rPr>
                <w:sz w:val="19"/>
              </w:rPr>
              <w:t xml:space="preserve">Başarı, tutum ve algılarda genel olarak olumlu etkiler</w:t>
            </w:r>
          </w:p>
        </w:tc>
        <w:tc>
          <w:tcPr>
            <w:tcW w:w="3277" w:type="dxa"/>
            <w:vAlign w:val="top"/>
          </w:tcPr>
          <w:p>
            <w:pPr>
              <w:spacing w:before="0" w:after="35" w:line="240" w:lineRule="auto"/>
            </w:pPr>
            <w:r>
              <w:rPr>
                <w:sz w:val="19"/>
              </w:rPr>
              <w:t xml:space="preserve">Yaş, kültür ve ders alanı etkiyi değiştirmektedir; birlikte bulunmak tek başına yeterli değildir.</w:t>
            </w:r>
          </w:p>
        </w:tc>
      </w:tr>
      <w:tr>
        <w:trPr>
          <w:cantSplit/>
        </w:trPr>
        <w:tc>
          <w:tcPr>
            <w:tcW w:w="2313" w:type="dxa"/>
            <w:vAlign w:val="top"/>
          </w:tcPr>
          <w:p>
            <w:pPr>
              <w:spacing w:before="0" w:after="35" w:line="240" w:lineRule="auto"/>
            </w:pPr>
            <w:r>
              <w:rPr>
                <w:sz w:val="19"/>
              </w:rPr>
              <w:t xml:space="preserve">Malti ve arkadaşlarının okul temelli empati müdahalelerine ilişkin gelişimsel incelemesi</w:t>
            </w:r>
          </w:p>
        </w:tc>
        <w:tc>
          <w:tcPr>
            <w:tcW w:w="1638" w:type="dxa"/>
            <w:vAlign w:val="top"/>
          </w:tcPr>
          <w:p>
            <w:pPr>
              <w:spacing w:before="0" w:after="35" w:line="240" w:lineRule="auto"/>
            </w:pPr>
            <w:r>
              <w:rPr>
                <w:sz w:val="19"/>
              </w:rPr>
              <w:t xml:space="preserve">Güçlü ampirik desteğe sahip 19 program</w:t>
            </w:r>
          </w:p>
        </w:tc>
        <w:tc>
          <w:tcPr>
            <w:tcW w:w="2410" w:type="dxa"/>
            <w:vAlign w:val="top"/>
          </w:tcPr>
          <w:p>
            <w:pPr>
              <w:spacing w:before="0" w:after="35" w:line="240" w:lineRule="auto"/>
            </w:pPr>
            <w:r>
              <w:rPr>
                <w:sz w:val="19"/>
              </w:rPr>
              <w:t xml:space="preserve">Programların çoğu empatiyle ilişkili tepkilerin belirli yönlerini geliştirmiştir; erken başlama ve daha fazla empati bileşenini birlikte hedefleme bazı durumlarda daha güçlü sonuçlarla ilişkilidir</w:t>
            </w:r>
          </w:p>
        </w:tc>
        <w:tc>
          <w:tcPr>
            <w:tcW w:w="3277" w:type="dxa"/>
            <w:vAlign w:val="top"/>
          </w:tcPr>
          <w:p>
            <w:pPr>
              <w:spacing w:before="0" w:after="35" w:line="240" w:lineRule="auto"/>
            </w:pPr>
            <w:r>
              <w:rPr>
                <w:sz w:val="19"/>
              </w:rPr>
              <w:t xml:space="preserve">Gelişimsel uyarlama bakımından sınırlılıklar sürmektedir.</w:t>
            </w:r>
          </w:p>
        </w:tc>
      </w:tr>
      <w:tr>
        <w:trPr>
          <w:cantSplit/>
        </w:trPr>
        <w:tc>
          <w:tcPr>
            <w:tcW w:w="2313" w:type="dxa"/>
            <w:vAlign w:val="top"/>
          </w:tcPr>
          <w:p>
            <w:pPr>
              <w:spacing w:before="0" w:after="35" w:line="240" w:lineRule="auto"/>
            </w:pPr>
            <w:r>
              <w:rPr>
                <w:sz w:val="19"/>
              </w:rPr>
              <w:t xml:space="preserve">Deneyimsel öğrenme ve empati meta-analizi</w:t>
            </w:r>
          </w:p>
        </w:tc>
        <w:tc>
          <w:tcPr>
            <w:tcW w:w="1638" w:type="dxa"/>
            <w:vAlign w:val="top"/>
          </w:tcPr>
          <w:p>
            <w:pPr>
              <w:spacing w:before="0" w:after="35" w:line="240" w:lineRule="auto"/>
            </w:pPr>
            <w:r>
              <w:rPr>
                <w:sz w:val="19"/>
              </w:rPr>
              <w:t xml:space="preserve">20 randomize çalışma; 8–25 yaş</w:t>
            </w:r>
          </w:p>
        </w:tc>
        <w:tc>
          <w:tcPr>
            <w:tcW w:w="2410" w:type="dxa"/>
            <w:vAlign w:val="top"/>
          </w:tcPr>
          <w:p>
            <w:pPr>
              <w:spacing w:before="0" w:after="35" w:line="240" w:lineRule="auto"/>
            </w:pPr>
            <w:r>
              <w:rPr>
                <w:sz w:val="19"/>
              </w:rPr>
              <w:t xml:space="preserve">Empatide d = 0.65; rol oynama, simülasyon ve deneyimsel öğrenme umut vericidir</w:t>
            </w:r>
          </w:p>
        </w:tc>
        <w:tc>
          <w:tcPr>
            <w:tcW w:w="3277" w:type="dxa"/>
            <w:vAlign w:val="top"/>
          </w:tcPr>
          <w:p>
            <w:pPr>
              <w:spacing w:before="0" w:after="35" w:line="240" w:lineRule="auto"/>
            </w:pPr>
            <w:r>
              <w:rPr>
                <w:sz w:val="19"/>
              </w:rPr>
              <w:t xml:space="preserve">Çocuk, ergen ve genç yetişkinleri içeren bu etki ilkokul öğrencilerine özgü bir etki büyüklüğü olarak yorumlanamaz.</w:t>
            </w:r>
          </w:p>
        </w:tc>
      </w:tr>
      <w:tr>
        <w:trPr>
          <w:cantSplit/>
        </w:trPr>
        <w:tc>
          <w:tcPr>
            <w:tcW w:w="2313" w:type="dxa"/>
            <w:vAlign w:val="top"/>
          </w:tcPr>
          <w:p>
            <w:pPr>
              <w:spacing w:before="0" w:after="35" w:line="240" w:lineRule="auto"/>
            </w:pPr>
            <w:r>
              <w:rPr>
                <w:sz w:val="19"/>
              </w:rPr>
              <w:t xml:space="preserve">Türkiye'de animasyon filmi ve izleme etkinlikleri temelli empati müdahalesi, 2026</w:t>
            </w:r>
          </w:p>
        </w:tc>
        <w:tc>
          <w:tcPr>
            <w:tcW w:w="1638" w:type="dxa"/>
            <w:vAlign w:val="top"/>
          </w:tcPr>
          <w:p>
            <w:pPr>
              <w:spacing w:before="0" w:after="35" w:line="240" w:lineRule="auto"/>
            </w:pPr>
            <w:r>
              <w:rPr>
                <w:sz w:val="19"/>
              </w:rPr>
              <w:t xml:space="preserve">37 dördüncü sınıf öğrencisi</w:t>
            </w:r>
          </w:p>
        </w:tc>
        <w:tc>
          <w:tcPr>
            <w:tcW w:w="2410" w:type="dxa"/>
            <w:vAlign w:val="top"/>
          </w:tcPr>
          <w:p>
            <w:pPr>
              <w:spacing w:before="0" w:after="35" w:line="240" w:lineRule="auto"/>
            </w:pPr>
            <w:r>
              <w:rPr>
                <w:sz w:val="19"/>
              </w:rPr>
              <w:t xml:space="preserve">Duygusal ve bilişsel empatiyi hedefleyen hikâye, karakter ve yönlendirilmiş yansıtma yaklaşımının Türkiye ilkokul bağlamında incelenmesi</w:t>
            </w:r>
          </w:p>
        </w:tc>
        <w:tc>
          <w:tcPr>
            <w:tcW w:w="3277" w:type="dxa"/>
            <w:vAlign w:val="top"/>
          </w:tcPr>
          <w:p>
            <w:pPr>
              <w:spacing w:before="0" w:after="35" w:line="240" w:lineRule="auto"/>
            </w:pPr>
            <w:r>
              <w:rPr>
                <w:sz w:val="19"/>
              </w:rPr>
              <w:t xml:space="preserve">Küçük örneklemli ve yarı deneysel tasarım tek başına güçlü etki kanıtı değildir.</w:t>
            </w:r>
          </w:p>
        </w:tc>
      </w:tr>
    </w:tbl>
    <w:p>
      <w:pPr>
        <w:spacing w:after="50"/>
      </w:pPr>
    </w:p>
    <w:p>
      <w:pPr/>
      <w:r>
        <w:t xml:space="preserve">Empati ile zorbalık karşısında savunucu davranış arasındaki ilişkiyi inceleyen, 25.012 ergeni kapsayan meta-analizde duygusal empati için yaklaşık r = .27, bilişsel empati için yaklaşık r = .22 bulunmuştur. Bunlar ilişkisel bulgulardır; empatinin savunucu davranışa neden olduğunu göstermez ve küçük çocuklara doğrudan genellenemez. Bilişsel empati, duygusal empati ve toplum yanlısı davranışın birbirinden ayrılması hem müdahale hedefleri hem de sonuçların yorumlanması için gereklidir.</w:t>
      </w:r>
    </w:p>
    <w:p>
      <w:pPr>
        <w:pStyle w:val="Heading3"/>
      </w:pPr>
      <w:r>
        <w:t xml:space="preserve">Dijital ortamlar, oyun temelli öğrenme ve kişilerarası transfer</w:t>
      </w:r>
    </w:p>
    <w:p>
      <w:pPr/>
      <w:r>
        <w:t xml:space="preserve">2024 tarihli erken çocukluk oyun temelli öğrenme sistematik derlemesi/meta-analizi, sosyal gelişim sonuçlarında g = 0.38 düzeyinde olumlu etki bildirmiştir. Sosyal gelişim kapsamında iş birliği, iletişim ve empati gibi beceriler değerlendirilmiştir. Bununla birlikte bu sonuç her çocuk oyununun empati geliştirdiğini göstermez; etkinliğin ilgili sosyal beceriyi gerçekten gerektirmesi önemlidir.</w:t>
      </w:r>
    </w:p>
    <w:p>
      <w:pPr/>
      <w:r>
        <w:t xml:space="preserve">Gençlere yönelik toplum yanlısı dijital oyun müdahaleleri sistematik derlemesinde yalnızca 11 çalışma ölçütleri karşılamıştır. Sonuçlar karışık, ancak umut verici olarak değerlendirilmiş; ölçüm araçlarının heterojenliği ve ortak kuramsal çerçeve eksikliği temel sorunlar olarak belirtilmiştir. 5–19 yaş grubunda sosyal becerilere yönelik ciddi oyunları inceleyen sistematik derleme de gelişen, fakat parçalı bir literatüre işaret etmektedir. Bu nedenle belirli oyun mekanizmaları ile belirli sosyal yetkinlikler arasındaki ilişkinin daha iyi doğrulanması gerekmektedir.</w:t>
      </w:r>
    </w:p>
    <w:p>
      <w:pPr/>
      <w:r>
        <w:t xml:space="preserve">İş birliği için yalnızca çok oyunculu bir ortam yeterli değildir; bireysel puanların bağımsız toplandığı bir görev paralel oyun düzeyinde kalabilir. Bilginin, kaynakların, rollerin, hedeflerin, kararların ve sonuçların karşılıklı bağımlılığı farklı iş birliği koşulları oluşturur. Bunlar sırasıyla üyelerde farklı bilgi veya kaynakların bulunması, görevlerin farklılaşması, başarının ortak olması, kararların müzakere gerektirmesi ve bir üyenin davranışının diğerini etkilemesi anlamına gelir. OECD'nin iş birlikli değerlendirmesinde kullanılan jigsaw/hidden-profile görevleri de benzersiz bilgilerin paylaşılmasını gerektirir.</w:t>
      </w:r>
    </w:p>
    <w:p>
      <w:pPr/>
      <w:r>
        <w:t xml:space="preserve">Empati odaklı sosyal senaryolarda yalnızca duygu tanımayı değil; karakterin ne bildiğini, ne hissettiğini, bunun nedenini, ihtiyacını, olası yardım seçimini, seçimin sonuçlarını ve alternatif tepkiler üzerine düşünmeyi ayırt etmek gerekir. Rol değiştirme, aynı olayın farklı kişilerce nasıl anlaşıldığını karşılaştırmaya ve ilk yargıyı gözden geçirmeye olanak sağlayabilir. Bu yaklaşım perspektif alma, bilişsel empati ve inançların gözden geçirilmesiyle ilişkilidir; etkililiği ayrıca sınanmalıdır. Farklı talepler ve sınırlı kaynaklar içeren sosyal problemler de dinleme, ihtiyaçları ayırt etme, çözüm üretme ve kararların farklı kişiler üzerindeki sonuçlarını değerlendirme gerektirebilir.</w:t>
      </w:r>
    </w:p>
    <w:p>
      <w:pPr/>
      <w:r>
        <w:t xml:space="preserve">PISA 2015, iş birlikli problem çözmeyi geniş ölçekte değerlendiren ilk uluslararası uygulama olarak öğrencileri gerçek insanlar yerine bilgisayarca simüle edilen takım üyeleriyle etkileştirmiştir. Grup kararı görevleri tartışma, müzakere ve uzlaşmayı; grup koordinasyonu bilgi paylaşımı ve iş bölümünü; grup üretimi ise ortak ürün oluşturmayı kapsamıştır. Simüle edilen üyeler belirli sosyal kararların değerlendirilmesine, görevlerin standartlaştırılmasına, aynı senaryonun farklı çocuklara sunulmasına ve karakter davranışlarının sistematik değiştirilmesine olanak tanır.</w:t>
      </w:r>
    </w:p>
    <w:p>
      <w:pPr/>
      <w:r>
        <w:t xml:space="preserve">Ancak yapay zekâ veya oyuncu olmayan karakterlerle (AI/NPC) bilgi paylaşımı, müzakere ve koordinasyon, gerçek kişilerarası iş birliğinin tamamına eşdeğer değildir. Çocuklar arası etkileşimde öngörülemeyen davranışlar, arkadaşlık, statü, duygu, çatışma ve karşılıklılık gibi ek dinamikler bulunmaktadır. Bu nedenle AI/NPC görevlerinin gerçek iş birliğinin geçerli bir göstergesi olup olmadığı ayrıca doğrulanmalıdır. Dijital sosyal performanstan gerçek çocuk–çocuk etkileşimindeki davranışa transfer, özellikle sınırlı ve heterojen dijital oyun kanıtı karşısında temel araştırma sorusudur. Bir karaktere uygun tepki vermek, gerçek insan ilişkilerinde aynı davranışın ortaya çıkacağını göstermez.</w:t>
      </w:r>
    </w:p>
    <w:p>
      <w:pPr>
        <w:pStyle w:val="Heading3"/>
      </w:pPr>
      <w:r>
        <w:t xml:space="preserve">Ölçme ve davranışsal araştırma öncelikleri</w:t>
      </w:r>
    </w:p>
    <w:p>
      <w:pPr/>
      <w:r>
        <w:t xml:space="preserve">Empati ölçümünde öz bildirim, ebeveyn ve öğretmen bildirimleri, hikâye görevleri, duygu tanıma görevleri, davranışsal gözlem ve fizyolojik/sinirsel ölçümler kullanılmaktadır. Çok bileşenli bir yapıyı tek bir puanla temsil etmek bu farklılıkları örtebilir. Türkiye'deki okul öncesi empati araştırmalarını inceleyen 2025 tarihli sistematik derleme, 29 çalışma belirlemiş; nicel ölçeklerin ve ilişkisel araştırmaların ağırlıkta, deneysel araştırmaların ve yeni ölçme aracı geliştirme çalışmalarının ise daha sınırlı olduğunu göstermiştir.</w:t>
      </w:r>
    </w:p>
    <w:p>
      <w:pPr/>
      <w:r>
        <w:t xml:space="preserve">İş birliğinde grubun görevi tamamlaması yeterli gösterge değildir; bir üye işin tamamını üstlenmiş olabilir. İletişimde de mesaj sayısından çok bilginin ilgililiği, sıra alma, etkin dinleme, açıklığa kavuşturma, uygun yanıt verme, yeterli açıklama, dinleyiciye uyarlama ve yanlış anlaşılmayı onarma önemlidir. Öz bildirim, öğretmen değerlendirmesi ve nihai performans, etkileşim sürecinin tamamını açıklamayabilir. Süreç verileri aşağıdaki aday göstergelerle incelenebilir.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120"/>
        <w:gridCol w:w="3759"/>
        <w:gridCol w:w="3759"/>
      </w:tblGrid>
      <w:tr>
        <w:trPr>
          <w:cantSplit/>
          <w:tblHeader/>
        </w:trPr>
        <w:tc>
          <w:tcPr>
            <w:tcW w:w="2120" w:type="dxa"/>
            <w:vAlign w:val="top"/>
            <w:shd w:fill="E9EEF3" w:val="clear"/>
          </w:tcPr>
          <w:p>
            <w:pPr>
              <w:spacing w:before="0" w:after="35" w:line="240" w:lineRule="auto"/>
            </w:pPr>
            <w:r>
              <w:rPr>
                <w:b/>
                <w:sz w:val="19"/>
              </w:rPr>
              <w:t xml:space="preserve">Alan</w:t>
            </w:r>
          </w:p>
        </w:tc>
        <w:tc>
          <w:tcPr>
            <w:tcW w:w="3759" w:type="dxa"/>
            <w:vAlign w:val="top"/>
            <w:shd w:fill="E9EEF3" w:val="clear"/>
          </w:tcPr>
          <w:p>
            <w:pPr>
              <w:spacing w:before="0" w:after="35" w:line="240" w:lineRule="auto"/>
            </w:pPr>
            <w:r>
              <w:rPr>
                <w:b/>
                <w:sz w:val="19"/>
              </w:rPr>
              <w:t xml:space="preserve">Gözlenebilir davranış</w:t>
            </w:r>
          </w:p>
        </w:tc>
        <w:tc>
          <w:tcPr>
            <w:tcW w:w="3759" w:type="dxa"/>
            <w:vAlign w:val="top"/>
            <w:shd w:fill="E9EEF3" w:val="clear"/>
          </w:tcPr>
          <w:p>
            <w:pPr>
              <w:spacing w:before="0" w:after="35" w:line="240" w:lineRule="auto"/>
            </w:pPr>
            <w:r>
              <w:rPr>
                <w:b/>
                <w:sz w:val="19"/>
              </w:rPr>
              <w:t xml:space="preserve">Olası gösterge</w:t>
            </w:r>
          </w:p>
        </w:tc>
      </w:tr>
      <w:tr>
        <w:trPr>
          <w:cantSplit/>
        </w:trPr>
        <w:tc>
          <w:tcPr>
            <w:tcW w:w="2120" w:type="dxa"/>
            <w:vAlign w:val="top"/>
          </w:tcPr>
          <w:p>
            <w:pPr>
              <w:spacing w:before="0" w:after="35" w:line="240" w:lineRule="auto"/>
            </w:pPr>
            <w:r>
              <w:rPr>
                <w:sz w:val="19"/>
              </w:rPr>
              <w:t xml:space="preserve">İletişim/iş birliği</w:t>
            </w:r>
          </w:p>
        </w:tc>
        <w:tc>
          <w:tcPr>
            <w:tcW w:w="3759" w:type="dxa"/>
            <w:vAlign w:val="top"/>
          </w:tcPr>
          <w:p>
            <w:pPr>
              <w:spacing w:before="0" w:after="35" w:line="240" w:lineRule="auto"/>
            </w:pPr>
            <w:r>
              <w:rPr>
                <w:sz w:val="19"/>
              </w:rPr>
              <w:t xml:space="preserve">Benzersiz ve ilgili bilgisini paylaşma</w:t>
            </w:r>
          </w:p>
        </w:tc>
        <w:tc>
          <w:tcPr>
            <w:tcW w:w="3759" w:type="dxa"/>
            <w:vAlign w:val="top"/>
          </w:tcPr>
          <w:p>
            <w:pPr>
              <w:spacing w:before="0" w:after="35" w:line="240" w:lineRule="auto"/>
            </w:pPr>
            <w:r>
              <w:rPr>
                <w:sz w:val="19"/>
              </w:rPr>
              <w:t xml:space="preserve">Bilgi paylaşımı ve mesajın bilgi değeri</w:t>
            </w:r>
          </w:p>
        </w:tc>
      </w:tr>
      <w:tr>
        <w:trPr>
          <w:cantSplit/>
        </w:trPr>
        <w:tc>
          <w:tcPr>
            <w:tcW w:w="2120" w:type="dxa"/>
            <w:vAlign w:val="top"/>
          </w:tcPr>
          <w:p>
            <w:pPr>
              <w:spacing w:before="0" w:after="35" w:line="240" w:lineRule="auto"/>
            </w:pPr>
            <w:r>
              <w:rPr>
                <w:sz w:val="19"/>
              </w:rPr>
              <w:t xml:space="preserve">İletişim</w:t>
            </w:r>
          </w:p>
        </w:tc>
        <w:tc>
          <w:tcPr>
            <w:tcW w:w="3759" w:type="dxa"/>
            <w:vAlign w:val="top"/>
          </w:tcPr>
          <w:p>
            <w:pPr>
              <w:spacing w:before="0" w:after="35" w:line="240" w:lineRule="auto"/>
            </w:pPr>
            <w:r>
              <w:rPr>
                <w:sz w:val="19"/>
              </w:rPr>
              <w:t xml:space="preserve">Diğer üyeyi dinleyerek uygun yanıt verme</w:t>
            </w:r>
          </w:p>
        </w:tc>
        <w:tc>
          <w:tcPr>
            <w:tcW w:w="3759" w:type="dxa"/>
            <w:vAlign w:val="top"/>
          </w:tcPr>
          <w:p>
            <w:pPr>
              <w:spacing w:before="0" w:after="35" w:line="240" w:lineRule="auto"/>
            </w:pPr>
            <w:r>
              <w:rPr>
                <w:sz w:val="19"/>
              </w:rPr>
              <w:t xml:space="preserve">Etkin/alıcı iletişim ve karşılıklılık</w:t>
            </w:r>
          </w:p>
        </w:tc>
      </w:tr>
      <w:tr>
        <w:trPr>
          <w:cantSplit/>
        </w:trPr>
        <w:tc>
          <w:tcPr>
            <w:tcW w:w="2120" w:type="dxa"/>
            <w:vAlign w:val="top"/>
          </w:tcPr>
          <w:p>
            <w:pPr>
              <w:spacing w:before="0" w:after="35" w:line="240" w:lineRule="auto"/>
            </w:pPr>
            <w:r>
              <w:rPr>
                <w:sz w:val="19"/>
              </w:rPr>
              <w:t xml:space="preserve">İletişim</w:t>
            </w:r>
          </w:p>
        </w:tc>
        <w:tc>
          <w:tcPr>
            <w:tcW w:w="3759" w:type="dxa"/>
            <w:vAlign w:val="top"/>
          </w:tcPr>
          <w:p>
            <w:pPr>
              <w:spacing w:before="0" w:after="35" w:line="240" w:lineRule="auto"/>
            </w:pPr>
            <w:r>
              <w:rPr>
                <w:sz w:val="19"/>
              </w:rPr>
              <w:t xml:space="preserve">Açıklayıcı soru sorma</w:t>
            </w:r>
          </w:p>
        </w:tc>
        <w:tc>
          <w:tcPr>
            <w:tcW w:w="3759" w:type="dxa"/>
            <w:vAlign w:val="top"/>
          </w:tcPr>
          <w:p>
            <w:pPr>
              <w:spacing w:before="0" w:after="35" w:line="240" w:lineRule="auto"/>
            </w:pPr>
            <w:r>
              <w:rPr>
                <w:sz w:val="19"/>
              </w:rPr>
              <w:t xml:space="preserve">Açıklığa kavuşturma</w:t>
            </w:r>
          </w:p>
        </w:tc>
      </w:tr>
      <w:tr>
        <w:trPr>
          <w:cantSplit/>
        </w:trPr>
        <w:tc>
          <w:tcPr>
            <w:tcW w:w="2120" w:type="dxa"/>
            <w:vAlign w:val="top"/>
          </w:tcPr>
          <w:p>
            <w:pPr>
              <w:spacing w:before="0" w:after="35" w:line="240" w:lineRule="auto"/>
            </w:pPr>
            <w:r>
              <w:rPr>
                <w:sz w:val="19"/>
              </w:rPr>
              <w:t xml:space="preserve">İletişim</w:t>
            </w:r>
          </w:p>
        </w:tc>
        <w:tc>
          <w:tcPr>
            <w:tcW w:w="3759" w:type="dxa"/>
            <w:vAlign w:val="top"/>
          </w:tcPr>
          <w:p>
            <w:pPr>
              <w:spacing w:before="0" w:after="35" w:line="240" w:lineRule="auto"/>
            </w:pPr>
            <w:r>
              <w:rPr>
                <w:sz w:val="19"/>
              </w:rPr>
              <w:t xml:space="preserve">Sıra alma, açıklamayı dinleyiciye uyarlama, yanlış anlaşılmayı düzeltme</w:t>
            </w:r>
          </w:p>
        </w:tc>
        <w:tc>
          <w:tcPr>
            <w:tcW w:w="3759" w:type="dxa"/>
            <w:vAlign w:val="top"/>
          </w:tcPr>
          <w:p>
            <w:pPr>
              <w:spacing w:before="0" w:after="35" w:line="240" w:lineRule="auto"/>
            </w:pPr>
            <w:r>
              <w:rPr>
                <w:sz w:val="19"/>
              </w:rPr>
              <w:t xml:space="preserve">İletişim niteliği ve onarım</w:t>
            </w:r>
          </w:p>
        </w:tc>
      </w:tr>
      <w:tr>
        <w:trPr>
          <w:cantSplit/>
        </w:trPr>
        <w:tc>
          <w:tcPr>
            <w:tcW w:w="2120" w:type="dxa"/>
            <w:vAlign w:val="top"/>
          </w:tcPr>
          <w:p>
            <w:pPr>
              <w:spacing w:before="0" w:after="35" w:line="240" w:lineRule="auto"/>
            </w:pPr>
            <w:r>
              <w:rPr>
                <w:sz w:val="19"/>
              </w:rPr>
              <w:t xml:space="preserve">İş birliği</w:t>
            </w:r>
          </w:p>
        </w:tc>
        <w:tc>
          <w:tcPr>
            <w:tcW w:w="3759" w:type="dxa"/>
            <w:vAlign w:val="top"/>
          </w:tcPr>
          <w:p>
            <w:pPr>
              <w:spacing w:before="0" w:after="35" w:line="240" w:lineRule="auto"/>
            </w:pPr>
            <w:r>
              <w:rPr>
                <w:sz w:val="19"/>
              </w:rPr>
              <w:t xml:space="preserve">Görev ve rol dağılımı yapma, ortak plan oluşturma</w:t>
            </w:r>
          </w:p>
        </w:tc>
        <w:tc>
          <w:tcPr>
            <w:tcW w:w="3759" w:type="dxa"/>
            <w:vAlign w:val="top"/>
          </w:tcPr>
          <w:p>
            <w:pPr>
              <w:spacing w:before="0" w:after="35" w:line="240" w:lineRule="auto"/>
            </w:pPr>
            <w:r>
              <w:rPr>
                <w:sz w:val="19"/>
              </w:rPr>
              <w:t xml:space="preserve">Koordinasyon ve ortak planlama</w:t>
            </w:r>
          </w:p>
        </w:tc>
      </w:tr>
      <w:tr>
        <w:trPr>
          <w:cantSplit/>
        </w:trPr>
        <w:tc>
          <w:tcPr>
            <w:tcW w:w="2120" w:type="dxa"/>
            <w:vAlign w:val="top"/>
          </w:tcPr>
          <w:p>
            <w:pPr>
              <w:spacing w:before="0" w:after="35" w:line="240" w:lineRule="auto"/>
            </w:pPr>
            <w:r>
              <w:rPr>
                <w:sz w:val="19"/>
              </w:rPr>
              <w:t xml:space="preserve">İş birliği</w:t>
            </w:r>
          </w:p>
        </w:tc>
        <w:tc>
          <w:tcPr>
            <w:tcW w:w="3759" w:type="dxa"/>
            <w:vAlign w:val="top"/>
          </w:tcPr>
          <w:p>
            <w:pPr>
              <w:spacing w:before="0" w:after="35" w:line="240" w:lineRule="auto"/>
            </w:pPr>
            <w:r>
              <w:rPr>
                <w:sz w:val="19"/>
              </w:rPr>
              <w:t xml:space="preserve">Başkasının fikrini kullanma</w:t>
            </w:r>
          </w:p>
        </w:tc>
        <w:tc>
          <w:tcPr>
            <w:tcW w:w="3759" w:type="dxa"/>
            <w:vAlign w:val="top"/>
          </w:tcPr>
          <w:p>
            <w:pPr>
              <w:spacing w:before="0" w:after="35" w:line="240" w:lineRule="auto"/>
            </w:pPr>
            <w:r>
              <w:rPr>
                <w:sz w:val="19"/>
              </w:rPr>
              <w:t xml:space="preserve">Ortak bilgi oluşturma</w:t>
            </w:r>
          </w:p>
        </w:tc>
      </w:tr>
      <w:tr>
        <w:trPr>
          <w:cantSplit/>
        </w:trPr>
        <w:tc>
          <w:tcPr>
            <w:tcW w:w="2120" w:type="dxa"/>
            <w:vAlign w:val="top"/>
          </w:tcPr>
          <w:p>
            <w:pPr>
              <w:spacing w:before="0" w:after="35" w:line="240" w:lineRule="auto"/>
            </w:pPr>
            <w:r>
              <w:rPr>
                <w:sz w:val="19"/>
              </w:rPr>
              <w:t xml:space="preserve">İş birliği</w:t>
            </w:r>
          </w:p>
        </w:tc>
        <w:tc>
          <w:tcPr>
            <w:tcW w:w="3759" w:type="dxa"/>
            <w:vAlign w:val="top"/>
          </w:tcPr>
          <w:p>
            <w:pPr>
              <w:spacing w:before="0" w:after="35" w:line="240" w:lineRule="auto"/>
            </w:pPr>
            <w:r>
              <w:rPr>
                <w:sz w:val="19"/>
              </w:rPr>
              <w:t xml:space="preserve">Karşı görüşü dikkate alma</w:t>
            </w:r>
          </w:p>
        </w:tc>
        <w:tc>
          <w:tcPr>
            <w:tcW w:w="3759" w:type="dxa"/>
            <w:vAlign w:val="top"/>
          </w:tcPr>
          <w:p>
            <w:pPr>
              <w:spacing w:before="0" w:after="35" w:line="240" w:lineRule="auto"/>
            </w:pPr>
            <w:r>
              <w:rPr>
                <w:sz w:val="19"/>
              </w:rPr>
              <w:t xml:space="preserve">Perspektif bütünleştirme</w:t>
            </w:r>
          </w:p>
        </w:tc>
      </w:tr>
      <w:tr>
        <w:trPr>
          <w:cantSplit/>
        </w:trPr>
        <w:tc>
          <w:tcPr>
            <w:tcW w:w="2120" w:type="dxa"/>
            <w:vAlign w:val="top"/>
          </w:tcPr>
          <w:p>
            <w:pPr>
              <w:spacing w:before="0" w:after="35" w:line="240" w:lineRule="auto"/>
            </w:pPr>
            <w:r>
              <w:rPr>
                <w:sz w:val="19"/>
              </w:rPr>
              <w:t xml:space="preserve">İş birliği</w:t>
            </w:r>
          </w:p>
        </w:tc>
        <w:tc>
          <w:tcPr>
            <w:tcW w:w="3759" w:type="dxa"/>
            <w:vAlign w:val="top"/>
          </w:tcPr>
          <w:p>
            <w:pPr>
              <w:spacing w:before="0" w:after="35" w:line="240" w:lineRule="auto"/>
            </w:pPr>
            <w:r>
              <w:rPr>
                <w:sz w:val="19"/>
              </w:rPr>
              <w:t xml:space="preserve">Anlaşmazlık sonrasında ortak karar veya strateji oluşturma</w:t>
            </w:r>
          </w:p>
        </w:tc>
        <w:tc>
          <w:tcPr>
            <w:tcW w:w="3759" w:type="dxa"/>
            <w:vAlign w:val="top"/>
          </w:tcPr>
          <w:p>
            <w:pPr>
              <w:spacing w:before="0" w:after="35" w:line="240" w:lineRule="auto"/>
            </w:pPr>
            <w:r>
              <w:rPr>
                <w:sz w:val="19"/>
              </w:rPr>
              <w:t xml:space="preserve">Çatışma çözümü</w:t>
            </w:r>
          </w:p>
        </w:tc>
      </w:tr>
      <w:tr>
        <w:trPr>
          <w:cantSplit/>
        </w:trPr>
        <w:tc>
          <w:tcPr>
            <w:tcW w:w="2120" w:type="dxa"/>
            <w:vAlign w:val="top"/>
          </w:tcPr>
          <w:p>
            <w:pPr>
              <w:spacing w:before="0" w:after="35" w:line="240" w:lineRule="auto"/>
            </w:pPr>
            <w:r>
              <w:rPr>
                <w:sz w:val="19"/>
              </w:rPr>
              <w:t xml:space="preserve">İş birliği</w:t>
            </w:r>
          </w:p>
        </w:tc>
        <w:tc>
          <w:tcPr>
            <w:tcW w:w="3759" w:type="dxa"/>
            <w:vAlign w:val="top"/>
          </w:tcPr>
          <w:p>
            <w:pPr>
              <w:spacing w:before="0" w:after="35" w:line="240" w:lineRule="auto"/>
            </w:pPr>
            <w:r>
              <w:rPr>
                <w:sz w:val="19"/>
              </w:rPr>
              <w:t xml:space="preserve">Grubun ilerlemesini izleme</w:t>
            </w:r>
          </w:p>
        </w:tc>
        <w:tc>
          <w:tcPr>
            <w:tcW w:w="3759" w:type="dxa"/>
            <w:vAlign w:val="top"/>
          </w:tcPr>
          <w:p>
            <w:pPr>
              <w:spacing w:before="0" w:after="35" w:line="240" w:lineRule="auto"/>
            </w:pPr>
            <w:r>
              <w:rPr>
                <w:sz w:val="19"/>
              </w:rPr>
              <w:t xml:space="preserve">Takımın ilerlemesini değerlendirme</w:t>
            </w:r>
          </w:p>
        </w:tc>
      </w:tr>
      <w:tr>
        <w:trPr>
          <w:cantSplit/>
        </w:trPr>
        <w:tc>
          <w:tcPr>
            <w:tcW w:w="2120" w:type="dxa"/>
            <w:vAlign w:val="top"/>
          </w:tcPr>
          <w:p>
            <w:pPr>
              <w:spacing w:before="0" w:after="35" w:line="240" w:lineRule="auto"/>
            </w:pPr>
            <w:r>
              <w:rPr>
                <w:sz w:val="19"/>
              </w:rPr>
              <w:t xml:space="preserve">İş birliği</w:t>
            </w:r>
          </w:p>
        </w:tc>
        <w:tc>
          <w:tcPr>
            <w:tcW w:w="3759" w:type="dxa"/>
            <w:vAlign w:val="top"/>
          </w:tcPr>
          <w:p>
            <w:pPr>
              <w:spacing w:before="0" w:after="35" w:line="240" w:lineRule="auto"/>
            </w:pPr>
            <w:r>
              <w:rPr>
                <w:sz w:val="19"/>
              </w:rPr>
              <w:t xml:space="preserve">Yardım isteme veya verme</w:t>
            </w:r>
          </w:p>
        </w:tc>
        <w:tc>
          <w:tcPr>
            <w:tcW w:w="3759" w:type="dxa"/>
            <w:vAlign w:val="top"/>
          </w:tcPr>
          <w:p>
            <w:pPr>
              <w:spacing w:before="0" w:after="35" w:line="240" w:lineRule="auto"/>
            </w:pPr>
            <w:r>
              <w:rPr>
                <w:sz w:val="19"/>
              </w:rPr>
              <w:t xml:space="preserve">Karşılıklı destek</w:t>
            </w:r>
          </w:p>
        </w:tc>
      </w:tr>
      <w:tr>
        <w:trPr>
          <w:cantSplit/>
        </w:trPr>
        <w:tc>
          <w:tcPr>
            <w:tcW w:w="2120" w:type="dxa"/>
            <w:vAlign w:val="top"/>
          </w:tcPr>
          <w:p>
            <w:pPr>
              <w:spacing w:before="0" w:after="35" w:line="240" w:lineRule="auto"/>
            </w:pPr>
            <w:r>
              <w:rPr>
                <w:sz w:val="19"/>
              </w:rPr>
              <w:t xml:space="preserve">Perspektif alma</w:t>
            </w:r>
          </w:p>
        </w:tc>
        <w:tc>
          <w:tcPr>
            <w:tcW w:w="3759" w:type="dxa"/>
            <w:vAlign w:val="top"/>
          </w:tcPr>
          <w:p>
            <w:pPr>
              <w:spacing w:before="0" w:after="35" w:line="240" w:lineRule="auto"/>
            </w:pPr>
            <w:r>
              <w:rPr>
                <w:sz w:val="19"/>
              </w:rPr>
              <w:t xml:space="preserve">Diğer oyuncunun bilgisine göre davranışını değiştirme</w:t>
            </w:r>
          </w:p>
        </w:tc>
        <w:tc>
          <w:tcPr>
            <w:tcW w:w="3759" w:type="dxa"/>
            <w:vAlign w:val="top"/>
          </w:tcPr>
          <w:p>
            <w:pPr>
              <w:spacing w:before="0" w:after="35" w:line="240" w:lineRule="auto"/>
            </w:pPr>
            <w:r>
              <w:rPr>
                <w:sz w:val="19"/>
              </w:rPr>
              <w:t xml:space="preserve">Perspektif koordinasyonu</w:t>
            </w:r>
          </w:p>
        </w:tc>
      </w:tr>
      <w:tr>
        <w:trPr>
          <w:cantSplit/>
        </w:trPr>
        <w:tc>
          <w:tcPr>
            <w:tcW w:w="2120" w:type="dxa"/>
            <w:vAlign w:val="top"/>
          </w:tcPr>
          <w:p>
            <w:pPr>
              <w:spacing w:before="0" w:after="35" w:line="240" w:lineRule="auto"/>
            </w:pPr>
            <w:r>
              <w:rPr>
                <w:sz w:val="19"/>
              </w:rPr>
              <w:t xml:space="preserve">Empati</w:t>
            </w:r>
          </w:p>
        </w:tc>
        <w:tc>
          <w:tcPr>
            <w:tcW w:w="3759" w:type="dxa"/>
            <w:vAlign w:val="top"/>
          </w:tcPr>
          <w:p>
            <w:pPr>
              <w:spacing w:before="0" w:after="35" w:line="240" w:lineRule="auto"/>
            </w:pPr>
            <w:r>
              <w:rPr>
                <w:sz w:val="19"/>
              </w:rPr>
              <w:t xml:space="preserve">Diğer oyuncunun/karakterin durumunu fark etme ve ihtiyacına uygun yardım seçme</w:t>
            </w:r>
          </w:p>
        </w:tc>
        <w:tc>
          <w:tcPr>
            <w:tcW w:w="3759" w:type="dxa"/>
            <w:vAlign w:val="top"/>
          </w:tcPr>
          <w:p>
            <w:pPr>
              <w:spacing w:before="0" w:after="35" w:line="240" w:lineRule="auto"/>
            </w:pPr>
            <w:r>
              <w:rPr>
                <w:sz w:val="19"/>
              </w:rPr>
              <w:t xml:space="preserve">Empatik anlama ve tepki</w:t>
            </w:r>
          </w:p>
        </w:tc>
      </w:tr>
      <w:tr>
        <w:trPr>
          <w:cantSplit/>
        </w:trPr>
        <w:tc>
          <w:tcPr>
            <w:tcW w:w="2120" w:type="dxa"/>
            <w:vAlign w:val="top"/>
          </w:tcPr>
          <w:p>
            <w:pPr>
              <w:spacing w:before="0" w:after="35" w:line="240" w:lineRule="auto"/>
            </w:pPr>
            <w:r>
              <w:rPr>
                <w:sz w:val="19"/>
              </w:rPr>
              <w:t xml:space="preserve">Müzakere</w:t>
            </w:r>
          </w:p>
        </w:tc>
        <w:tc>
          <w:tcPr>
            <w:tcW w:w="3759" w:type="dxa"/>
            <w:vAlign w:val="top"/>
          </w:tcPr>
          <w:p>
            <w:pPr>
              <w:spacing w:before="0" w:after="35" w:line="240" w:lineRule="auto"/>
            </w:pPr>
            <w:r>
              <w:rPr>
                <w:sz w:val="19"/>
              </w:rPr>
              <w:t xml:space="preserve">Farklı çözüm önerilerini karşılaştırma</w:t>
            </w:r>
          </w:p>
        </w:tc>
        <w:tc>
          <w:tcPr>
            <w:tcW w:w="3759" w:type="dxa"/>
            <w:vAlign w:val="top"/>
          </w:tcPr>
          <w:p>
            <w:pPr>
              <w:spacing w:before="0" w:after="35" w:line="240" w:lineRule="auto"/>
            </w:pPr>
            <w:r>
              <w:rPr>
                <w:sz w:val="19"/>
              </w:rPr>
              <w:t xml:space="preserve">Ortak karar geliştirme</w:t>
            </w:r>
          </w:p>
        </w:tc>
      </w:tr>
    </w:tbl>
    <w:p>
      <w:pPr>
        <w:spacing w:after="50"/>
      </w:pPr>
    </w:p>
    <w:p>
      <w:pPr/>
      <w:r>
        <w:t xml:space="preserve">Bu eşleştirmeler doğrulanmış yetkinlik puanları değildir. Kurama dayalı davranış kodlaması, psikometrik doğrulama, dış ölçütlerle karşılaştırma ve gerçek yaşam transferinin sınanması gereklidir. İlk araştırma sorusu, çocukların ortak hedefli dijital görevlerde bilgi paylaşma, etkin dinleme, açıklığa kavuşturma, görev koordinasyonu, perspektif bütünleştirme, müzakere ve anlaşmazlık çözme davranışlarından güvenilir iletişim/iş birliği profilleri oluşturulup oluşturulamayacağıdır. İkinci soru, dijital sosyal senaryolardaki bilişsel empati ve perspektif alma davranışlarının gerçek çocuk–çocuk etkileşimindeki toplum yanlısı ve iş birlikli davranışları öngörüp öngöremediğidir.</w:t>
      </w:r>
    </w:p>
    <w:p>
      <w:pPr/>
      <w:r>
        <w:t xml:space="preserve">Yapay zekânın takım etkileşimine katılması ayrıca gelişmekte olan araştırma hipotezleri doğurmaktadır: yapay zekâ önerilerinin nasıl değerlendirileceği, hatalarını kimin fark edeceği, çocukların yapay zekâya mı akranlarına mı daha fazla güveneceği, yapay zekânın bir görüşü desteklemesinin grup dinamiğini nasıl etkileyebileceği ve anlaşmazlıklarda arabuluculuğun uygun olup olmadığı. Bunlar iş birliği, yapay zekâ okuryazarlığı, epistemik güven ve insanın karar verme özerkliği arasındaki ilişkilere yöneliktir; yerleşik çocuk araştırması bulguları değildir.</w:t>
      </w:r>
    </w:p>
    <w:p>
      <w:pPr>
        <w:pStyle w:val="Heading3"/>
      </w:pPr>
      <w:r>
        <w:t xml:space="preserve">Türkiye Yüzyılı Maarif Modeli ve diğer yetkinliklerle ilişkiler</w:t>
      </w:r>
    </w:p>
    <w:p>
      <w:pPr/>
      <w:r>
        <w:t xml:space="preserve">Türkiye Yüzyılı Maarif Modeli sosyal yaşam becerilerini iletişim, iş birliği ve sosyal farkındalık başlıklarında ele almaktadır. İletişimde başkalarını etkin dinleme; iş birliğinde ortaklık oluşturma, iş birliğinin sonuçlarını değerlendirme, düşünceleri başkalarıyla tartışma/müzakere etme ve tartışmanın kendisi ile başkaları üzerindeki etkisini değerlendirme açık süreç bileşenleridir. Öğretim programlarında, örneğin 5. sınıf Türkçe dersindeki “İletişim ve Sosyal İlişkiler” temasında, empati, güven, sorumluluk ve sosyal farkındalık hedeflenmektedir. İletişim ve esneklik de bu sosyal-duygusal kapsamla ilişkilidir.</w:t>
      </w:r>
    </w:p>
    <w:p>
      <w:pPr/>
      <w:r>
        <w:t xml:space="preserve">İletişim, perspektif alma, empati ve iş birliği; eksik veya üyeler arasında dağılmış bilgi, farklı amaçlar ve bakış açıları, sınırlı kaynaklar, anlaşmazlıklar ve ortak kararlar içeren durumlarda birlikte kullanılabilir. Ortak hedef belirleme, farklı bilgi ve perspektifleri sentezleme, anlaşmazlık çözme ve yapay zekâ çıktısını takım içinde değerlendirme geleceğin becerileri tartışmaları açısından önemlidir. Bununla birlikte yapay zekâ kullanımının artmasının insan becerilerini zorunlu olarak daha değerli kılacağı, çocuk literatüründen çıkarılabilecek nedensel bir sonuç değil, geleceğin becerileri çerçevelerinin öngörüsüdür. Bu alanların diğer yetkinliklerle ortak süreçleri ve ilişkileri A3'te sentezlenmektedir.</w:t>
      </w:r>
    </w:p>
    <w:p>
      <w:pPr>
        <w:pStyle w:val="Heading3"/>
      </w:pPr>
      <w:r>
        <w:t xml:space="preserve">Ön Evidence Score: araştırmacı kodlaması</w:t>
      </w:r>
    </w:p>
    <w:p>
      <w:pPr/>
      <w:r>
        <w:t xml:space="preserve">Aşağıdaki puanlar araştırmacının ön kanıt değerlendirmesidir; meta-analitik etki büyüklükleri veya doğrulanmış yetkinlik ölçümleri değildir. İletişim/iş birliği ve empati/SEL bu ön kodlamada çok güçlü adaylar olarak değerlendirilmektedir.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891"/>
        <w:gridCol w:w="1157"/>
        <w:gridCol w:w="5590"/>
      </w:tblGrid>
      <w:tr>
        <w:trPr>
          <w:cantSplit/>
          <w:tblHeader/>
        </w:trPr>
        <w:tc>
          <w:tcPr>
            <w:tcW w:w="2891" w:type="dxa"/>
            <w:vAlign w:val="top"/>
            <w:shd w:fill="E9EEF3" w:val="clear"/>
          </w:tcPr>
          <w:p>
            <w:pPr>
              <w:spacing w:before="0" w:after="35" w:line="240" w:lineRule="auto"/>
            </w:pPr>
            <w:r>
              <w:rPr>
                <w:b/>
                <w:sz w:val="19"/>
              </w:rPr>
              <w:t xml:space="preserve">Ölçüt — Communication / Collaboration</w:t>
            </w:r>
          </w:p>
        </w:tc>
        <w:tc>
          <w:tcPr>
            <w:tcW w:w="1157" w:type="dxa"/>
            <w:vAlign w:val="top"/>
            <w:shd w:fill="E9EEF3" w:val="clear"/>
          </w:tcPr>
          <w:p>
            <w:pPr>
              <w:spacing w:before="0" w:after="35" w:line="240" w:lineRule="auto"/>
            </w:pPr>
            <w:r>
              <w:rPr>
                <w:b/>
                <w:sz w:val="19"/>
              </w:rPr>
              <w:t xml:space="preserve">Puan</w:t>
            </w:r>
          </w:p>
        </w:tc>
        <w:tc>
          <w:tcPr>
            <w:tcW w:w="5590" w:type="dxa"/>
            <w:vAlign w:val="top"/>
            <w:shd w:fill="E9EEF3" w:val="clear"/>
          </w:tcPr>
          <w:p>
            <w:pPr>
              <w:spacing w:before="0" w:after="35" w:line="240" w:lineRule="auto"/>
            </w:pPr>
            <w:r>
              <w:rPr>
                <w:b/>
                <w:sz w:val="19"/>
              </w:rPr>
              <w:t xml:space="preserve">Kısa gerekçe</w:t>
            </w:r>
          </w:p>
        </w:tc>
      </w:tr>
      <w:tr>
        <w:trPr>
          <w:cantSplit/>
        </w:trPr>
        <w:tc>
          <w:tcPr>
            <w:tcW w:w="2891" w:type="dxa"/>
            <w:vAlign w:val="top"/>
          </w:tcPr>
          <w:p>
            <w:pPr>
              <w:spacing w:before="0" w:after="35" w:line="240" w:lineRule="auto"/>
            </w:pPr>
            <w:r>
              <w:rPr>
                <w:sz w:val="19"/>
              </w:rPr>
              <w:t xml:space="preserve">Future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Gelecek becerileri çerçevelerinde güçlü yer</w:t>
            </w:r>
          </w:p>
        </w:tc>
      </w:tr>
      <w:tr>
        <w:trPr>
          <w:cantSplit/>
        </w:trPr>
        <w:tc>
          <w:tcPr>
            <w:tcW w:w="2891" w:type="dxa"/>
            <w:vAlign w:val="top"/>
          </w:tcPr>
          <w:p>
            <w:pPr>
              <w:spacing w:before="0" w:after="35" w:line="240" w:lineRule="auto"/>
            </w:pPr>
            <w:r>
              <w:rPr>
                <w:sz w:val="19"/>
              </w:rPr>
              <w:t xml:space="preserve">Overall evidence strength</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İş birlikli öğrenme, SEL ve OECD ölçme birikimi</w:t>
            </w:r>
          </w:p>
        </w:tc>
      </w:tr>
      <w:tr>
        <w:trPr>
          <w:cantSplit/>
        </w:trPr>
        <w:tc>
          <w:tcPr>
            <w:tcW w:w="2891" w:type="dxa"/>
            <w:vAlign w:val="top"/>
          </w:tcPr>
          <w:p>
            <w:pPr>
              <w:spacing w:before="0" w:after="35" w:line="240" w:lineRule="auto"/>
            </w:pPr>
            <w:r>
              <w:rPr>
                <w:sz w:val="19"/>
              </w:rPr>
              <w:t xml:space="preserve">Teachability</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Okul müdahaleleri ve iş birlikli öğrenmede olumlu kanıt</w:t>
            </w:r>
          </w:p>
        </w:tc>
      </w:tr>
      <w:tr>
        <w:trPr>
          <w:cantSplit/>
        </w:trPr>
        <w:tc>
          <w:tcPr>
            <w:tcW w:w="2891" w:type="dxa"/>
            <w:vAlign w:val="top"/>
          </w:tcPr>
          <w:p>
            <w:pPr>
              <w:spacing w:before="0" w:after="35" w:line="240" w:lineRule="auto"/>
            </w:pPr>
            <w:r>
              <w:rPr>
                <w:sz w:val="19"/>
              </w:rPr>
              <w:t xml:space="preserve">Young-child evidence</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4–7 yaş iş birliği araştırmaları</w:t>
            </w:r>
          </w:p>
        </w:tc>
      </w:tr>
      <w:tr>
        <w:trPr>
          <w:cantSplit/>
        </w:trPr>
        <w:tc>
          <w:tcPr>
            <w:tcW w:w="2891" w:type="dxa"/>
            <w:vAlign w:val="top"/>
          </w:tcPr>
          <w:p>
            <w:pPr>
              <w:spacing w:before="0" w:after="35" w:line="240" w:lineRule="auto"/>
            </w:pPr>
            <w:r>
              <w:rPr>
                <w:sz w:val="19"/>
              </w:rPr>
              <w:t xml:space="preserve">Developmental clarity</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Çok bileşenli ve heterojen yapı</w:t>
            </w:r>
          </w:p>
        </w:tc>
      </w:tr>
      <w:tr>
        <w:trPr>
          <w:cantSplit/>
        </w:trPr>
        <w:tc>
          <w:tcPr>
            <w:tcW w:w="2891" w:type="dxa"/>
            <w:vAlign w:val="top"/>
          </w:tcPr>
          <w:p>
            <w:pPr>
              <w:spacing w:before="0" w:after="35" w:line="240" w:lineRule="auto"/>
            </w:pPr>
            <w:r>
              <w:rPr>
                <w:sz w:val="19"/>
              </w:rPr>
              <w:t xml:space="preserve">Measurability</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PISA CPS gibi modeller; gerçek grupları ölçmede güçlük</w:t>
            </w:r>
          </w:p>
        </w:tc>
      </w:tr>
      <w:tr>
        <w:trPr>
          <w:cantSplit/>
        </w:trPr>
        <w:tc>
          <w:tcPr>
            <w:tcW w:w="2891" w:type="dxa"/>
            <w:vAlign w:val="top"/>
          </w:tcPr>
          <w:p>
            <w:pPr>
              <w:spacing w:before="0" w:after="35" w:line="240" w:lineRule="auto"/>
            </w:pPr>
            <w:r>
              <w:rPr>
                <w:sz w:val="19"/>
              </w:rPr>
              <w:t xml:space="preserve">Real-world transfer</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Bağlam, partner ve görev etkileri</w:t>
            </w:r>
          </w:p>
        </w:tc>
      </w:tr>
      <w:tr>
        <w:trPr>
          <w:cantSplit/>
        </w:trPr>
        <w:tc>
          <w:tcPr>
            <w:tcW w:w="2891" w:type="dxa"/>
            <w:vAlign w:val="top"/>
          </w:tcPr>
          <w:p>
            <w:pPr>
              <w:spacing w:before="0" w:after="35" w:line="240" w:lineRule="auto"/>
            </w:pPr>
            <w:r>
              <w:rPr>
                <w:sz w:val="19"/>
              </w:rPr>
              <w:t xml:space="preserve">Digital suitability</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Ajan ve çok oyunculu ortamlara uygunluk</w:t>
            </w:r>
          </w:p>
        </w:tc>
      </w:tr>
      <w:tr>
        <w:trPr>
          <w:cantSplit/>
        </w:trPr>
        <w:tc>
          <w:tcPr>
            <w:tcW w:w="2891" w:type="dxa"/>
            <w:vAlign w:val="top"/>
          </w:tcPr>
          <w:p>
            <w:pPr>
              <w:spacing w:before="0" w:after="35" w:line="240" w:lineRule="auto"/>
            </w:pPr>
            <w:r>
              <w:rPr>
                <w:sz w:val="19"/>
              </w:rPr>
              <w:t xml:space="preserve">Game suitability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Ortak hedefler ve karşılıklı bağımlılığa uygunluk</w:t>
            </w:r>
          </w:p>
        </w:tc>
      </w:tr>
      <w:tr>
        <w:trPr>
          <w:cantSplit/>
        </w:trPr>
        <w:tc>
          <w:tcPr>
            <w:tcW w:w="2891" w:type="dxa"/>
            <w:vAlign w:val="top"/>
          </w:tcPr>
          <w:p>
            <w:pPr>
              <w:spacing w:before="0" w:after="35" w:line="240" w:lineRule="auto"/>
            </w:pPr>
            <w:r>
              <w:rPr>
                <w:sz w:val="19"/>
              </w:rPr>
              <w:t xml:space="preserve">Research opportunity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Etkileşim süreç verileri ve yapay zekâ/takım iş birliği</w:t>
            </w:r>
          </w:p>
        </w:tc>
      </w:tr>
    </w:tbl>
    <w:p>
      <w:pPr>
        <w:spacing w:after="50"/>
      </w:pP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891"/>
        <w:gridCol w:w="1157"/>
        <w:gridCol w:w="5590"/>
      </w:tblGrid>
      <w:tr>
        <w:trPr>
          <w:cantSplit/>
          <w:tblHeader/>
        </w:trPr>
        <w:tc>
          <w:tcPr>
            <w:tcW w:w="2891" w:type="dxa"/>
            <w:vAlign w:val="top"/>
            <w:shd w:fill="E9EEF3" w:val="clear"/>
          </w:tcPr>
          <w:p>
            <w:pPr>
              <w:spacing w:before="0" w:after="35" w:line="240" w:lineRule="auto"/>
            </w:pPr>
            <w:r>
              <w:rPr>
                <w:b/>
                <w:sz w:val="19"/>
              </w:rPr>
              <w:t xml:space="preserve">Ölçüt — Empathy / Social-Emotional Competencies</w:t>
            </w:r>
          </w:p>
        </w:tc>
        <w:tc>
          <w:tcPr>
            <w:tcW w:w="1157" w:type="dxa"/>
            <w:vAlign w:val="top"/>
            <w:shd w:fill="E9EEF3" w:val="clear"/>
          </w:tcPr>
          <w:p>
            <w:pPr>
              <w:spacing w:before="0" w:after="35" w:line="240" w:lineRule="auto"/>
            </w:pPr>
            <w:r>
              <w:rPr>
                <w:b/>
                <w:sz w:val="19"/>
              </w:rPr>
              <w:t xml:space="preserve">Puan</w:t>
            </w:r>
          </w:p>
        </w:tc>
        <w:tc>
          <w:tcPr>
            <w:tcW w:w="5590" w:type="dxa"/>
            <w:vAlign w:val="top"/>
            <w:shd w:fill="E9EEF3" w:val="clear"/>
          </w:tcPr>
          <w:p>
            <w:pPr>
              <w:spacing w:before="0" w:after="35" w:line="240" w:lineRule="auto"/>
            </w:pPr>
            <w:r>
              <w:rPr>
                <w:b/>
                <w:sz w:val="19"/>
              </w:rPr>
              <w:t xml:space="preserve">Kısa gerekçe</w:t>
            </w:r>
          </w:p>
        </w:tc>
      </w:tr>
      <w:tr>
        <w:trPr>
          <w:cantSplit/>
        </w:trPr>
        <w:tc>
          <w:tcPr>
            <w:tcW w:w="2891" w:type="dxa"/>
            <w:vAlign w:val="top"/>
          </w:tcPr>
          <w:p>
            <w:pPr>
              <w:spacing w:before="0" w:after="35" w:line="240" w:lineRule="auto"/>
            </w:pPr>
            <w:r>
              <w:rPr>
                <w:sz w:val="19"/>
              </w:rPr>
              <w:t xml:space="preserve">Future relevance</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Gelecek becerileri ve SEL çerçevelerinde güçlü yer</w:t>
            </w:r>
          </w:p>
        </w:tc>
      </w:tr>
      <w:tr>
        <w:trPr>
          <w:cantSplit/>
        </w:trPr>
        <w:tc>
          <w:tcPr>
            <w:tcW w:w="2891" w:type="dxa"/>
            <w:vAlign w:val="top"/>
          </w:tcPr>
          <w:p>
            <w:pPr>
              <w:spacing w:before="0" w:after="35" w:line="240" w:lineRule="auto"/>
            </w:pPr>
            <w:r>
              <w:rPr>
                <w:sz w:val="19"/>
              </w:rPr>
              <w:t xml:space="preserve">Overall evidence strength</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SEL için geniş meta-analitik kanıt</w:t>
            </w:r>
          </w:p>
        </w:tc>
      </w:tr>
      <w:tr>
        <w:trPr>
          <w:cantSplit/>
        </w:trPr>
        <w:tc>
          <w:tcPr>
            <w:tcW w:w="2891" w:type="dxa"/>
            <w:vAlign w:val="top"/>
          </w:tcPr>
          <w:p>
            <w:pPr>
              <w:spacing w:before="0" w:after="35" w:line="240" w:lineRule="auto"/>
            </w:pPr>
            <w:r>
              <w:rPr>
                <w:sz w:val="19"/>
              </w:rPr>
              <w:t xml:space="preserve">Empathy-specific evidence</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Araştırma birikimi mevcut; yapı çok boyutlu</w:t>
            </w:r>
          </w:p>
        </w:tc>
      </w:tr>
      <w:tr>
        <w:trPr>
          <w:cantSplit/>
        </w:trPr>
        <w:tc>
          <w:tcPr>
            <w:tcW w:w="2891" w:type="dxa"/>
            <w:vAlign w:val="top"/>
          </w:tcPr>
          <w:p>
            <w:pPr>
              <w:spacing w:before="0" w:after="35" w:line="240" w:lineRule="auto"/>
            </w:pPr>
            <w:r>
              <w:rPr>
                <w:sz w:val="19"/>
              </w:rPr>
              <w:t xml:space="preserve">Teachability</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Okul temelli müdahalelerde olumlu kanıt</w:t>
            </w:r>
          </w:p>
        </w:tc>
      </w:tr>
      <w:tr>
        <w:trPr>
          <w:cantSplit/>
        </w:trPr>
        <w:tc>
          <w:tcPr>
            <w:tcW w:w="2891" w:type="dxa"/>
            <w:vAlign w:val="top"/>
          </w:tcPr>
          <w:p>
            <w:pPr>
              <w:spacing w:before="0" w:after="35" w:line="240" w:lineRule="auto"/>
            </w:pPr>
            <w:r>
              <w:rPr>
                <w:sz w:val="19"/>
              </w:rPr>
              <w:t xml:space="preserve">Young-child evidence</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Empati öncüllerinin erken gelişimi</w:t>
            </w:r>
          </w:p>
        </w:tc>
      </w:tr>
      <w:tr>
        <w:trPr>
          <w:cantSplit/>
        </w:trPr>
        <w:tc>
          <w:tcPr>
            <w:tcW w:w="2891" w:type="dxa"/>
            <w:vAlign w:val="top"/>
          </w:tcPr>
          <w:p>
            <w:pPr>
              <w:spacing w:before="0" w:after="35" w:line="240" w:lineRule="auto"/>
            </w:pPr>
            <w:r>
              <w:rPr>
                <w:sz w:val="19"/>
              </w:rPr>
              <w:t xml:space="preserve">Developmental clarity</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Bileşenlerin farklı gelişim yolları</w:t>
            </w:r>
          </w:p>
        </w:tc>
      </w:tr>
      <w:tr>
        <w:trPr>
          <w:cantSplit/>
        </w:trPr>
        <w:tc>
          <w:tcPr>
            <w:tcW w:w="2891" w:type="dxa"/>
            <w:vAlign w:val="top"/>
          </w:tcPr>
          <w:p>
            <w:pPr>
              <w:spacing w:before="0" w:after="35" w:line="240" w:lineRule="auto"/>
            </w:pPr>
            <w:r>
              <w:rPr>
                <w:sz w:val="19"/>
              </w:rPr>
              <w:t xml:space="preserve">Measurability</w:t>
            </w:r>
          </w:p>
        </w:tc>
        <w:tc>
          <w:tcPr>
            <w:tcW w:w="1157" w:type="dxa"/>
            <w:vAlign w:val="top"/>
          </w:tcPr>
          <w:p>
            <w:pPr>
              <w:spacing w:before="0" w:after="35" w:line="240" w:lineRule="auto"/>
            </w:pPr>
            <w:r>
              <w:rPr>
                <w:sz w:val="19"/>
              </w:rPr>
              <w:t xml:space="preserve">3.5/5</w:t>
            </w:r>
          </w:p>
        </w:tc>
        <w:tc>
          <w:tcPr>
            <w:tcW w:w="5590" w:type="dxa"/>
            <w:vAlign w:val="top"/>
          </w:tcPr>
          <w:p>
            <w:pPr>
              <w:spacing w:before="0" w:after="35" w:line="240" w:lineRule="auto"/>
            </w:pPr>
            <w:r>
              <w:rPr>
                <w:sz w:val="19"/>
              </w:rPr>
              <w:t xml:space="preserve">Yöntem çeşitliliği ve yapı heterojenliği</w:t>
            </w:r>
          </w:p>
        </w:tc>
      </w:tr>
      <w:tr>
        <w:trPr>
          <w:cantSplit/>
        </w:trPr>
        <w:tc>
          <w:tcPr>
            <w:tcW w:w="2891" w:type="dxa"/>
            <w:vAlign w:val="top"/>
          </w:tcPr>
          <w:p>
            <w:pPr>
              <w:spacing w:before="0" w:after="35" w:line="240" w:lineRule="auto"/>
            </w:pPr>
            <w:r>
              <w:rPr>
                <w:sz w:val="19"/>
              </w:rPr>
              <w:t xml:space="preserve">Digital suitability</w:t>
            </w:r>
          </w:p>
        </w:tc>
        <w:tc>
          <w:tcPr>
            <w:tcW w:w="1157" w:type="dxa"/>
            <w:vAlign w:val="top"/>
          </w:tcPr>
          <w:p>
            <w:pPr>
              <w:spacing w:before="0" w:after="35" w:line="240" w:lineRule="auto"/>
            </w:pPr>
            <w:r>
              <w:rPr>
                <w:sz w:val="19"/>
              </w:rPr>
              <w:t xml:space="preserve">4/5</w:t>
            </w:r>
          </w:p>
        </w:tc>
        <w:tc>
          <w:tcPr>
            <w:tcW w:w="5590" w:type="dxa"/>
            <w:vAlign w:val="top"/>
          </w:tcPr>
          <w:p>
            <w:pPr>
              <w:spacing w:before="0" w:after="35" w:line="240" w:lineRule="auto"/>
            </w:pPr>
            <w:r>
              <w:rPr>
                <w:sz w:val="19"/>
              </w:rPr>
              <w:t xml:space="preserve">Senaryo/rol oynama olanağı; gerçek yaşama transfer sorunu</w:t>
            </w:r>
          </w:p>
        </w:tc>
      </w:tr>
      <w:tr>
        <w:trPr>
          <w:cantSplit/>
        </w:trPr>
        <w:tc>
          <w:tcPr>
            <w:tcW w:w="2891" w:type="dxa"/>
            <w:vAlign w:val="top"/>
          </w:tcPr>
          <w:p>
            <w:pPr>
              <w:spacing w:before="0" w:after="35" w:line="240" w:lineRule="auto"/>
            </w:pPr>
            <w:r>
              <w:rPr>
                <w:sz w:val="19"/>
              </w:rPr>
              <w:t xml:space="preserve">Game suitability</w:t>
            </w:r>
          </w:p>
        </w:tc>
        <w:tc>
          <w:tcPr>
            <w:tcW w:w="1157" w:type="dxa"/>
            <w:vAlign w:val="top"/>
          </w:tcPr>
          <w:p>
            <w:pPr>
              <w:spacing w:before="0" w:after="35" w:line="240" w:lineRule="auto"/>
            </w:pPr>
            <w:r>
              <w:rPr>
                <w:sz w:val="19"/>
              </w:rPr>
              <w:t xml:space="preserve">4.5/5</w:t>
            </w:r>
          </w:p>
        </w:tc>
        <w:tc>
          <w:tcPr>
            <w:tcW w:w="5590" w:type="dxa"/>
            <w:vAlign w:val="top"/>
          </w:tcPr>
          <w:p>
            <w:pPr>
              <w:spacing w:before="0" w:after="35" w:line="240" w:lineRule="auto"/>
            </w:pPr>
            <w:r>
              <w:rPr>
                <w:sz w:val="19"/>
              </w:rPr>
              <w:t xml:space="preserve">Karakter, hikâye ve rol değiştirmeye uygunluk</w:t>
            </w:r>
          </w:p>
        </w:tc>
      </w:tr>
      <w:tr>
        <w:trPr>
          <w:cantSplit/>
        </w:trPr>
        <w:tc>
          <w:tcPr>
            <w:tcW w:w="2891" w:type="dxa"/>
            <w:vAlign w:val="top"/>
          </w:tcPr>
          <w:p>
            <w:pPr>
              <w:spacing w:before="0" w:after="35" w:line="240" w:lineRule="auto"/>
            </w:pPr>
            <w:r>
              <w:rPr>
                <w:sz w:val="19"/>
              </w:rPr>
              <w:t xml:space="preserve">Real-world transfer</w:t>
            </w:r>
          </w:p>
        </w:tc>
        <w:tc>
          <w:tcPr>
            <w:tcW w:w="1157" w:type="dxa"/>
            <w:vAlign w:val="top"/>
          </w:tcPr>
          <w:p>
            <w:pPr>
              <w:spacing w:before="0" w:after="35" w:line="240" w:lineRule="auto"/>
            </w:pPr>
            <w:r>
              <w:rPr>
                <w:sz w:val="19"/>
              </w:rPr>
              <w:t xml:space="preserve">3/5</w:t>
            </w:r>
          </w:p>
        </w:tc>
        <w:tc>
          <w:tcPr>
            <w:tcW w:w="5590" w:type="dxa"/>
            <w:vAlign w:val="top"/>
          </w:tcPr>
          <w:p>
            <w:pPr>
              <w:spacing w:before="0" w:after="35" w:line="240" w:lineRule="auto"/>
            </w:pPr>
            <w:r>
              <w:rPr>
                <w:sz w:val="19"/>
              </w:rPr>
              <w:t xml:space="preserve">Dijital becerinin gerçek davranışa aktarımı belirsiz</w:t>
            </w:r>
          </w:p>
        </w:tc>
      </w:tr>
      <w:tr>
        <w:trPr>
          <w:cantSplit/>
        </w:trPr>
        <w:tc>
          <w:tcPr>
            <w:tcW w:w="2891" w:type="dxa"/>
            <w:vAlign w:val="top"/>
          </w:tcPr>
          <w:p>
            <w:pPr>
              <w:spacing w:before="0" w:after="35" w:line="240" w:lineRule="auto"/>
            </w:pPr>
            <w:r>
              <w:rPr>
                <w:sz w:val="19"/>
              </w:rPr>
              <w:t xml:space="preserve">Research opportunity</w:t>
            </w:r>
          </w:p>
        </w:tc>
        <w:tc>
          <w:tcPr>
            <w:tcW w:w="1157" w:type="dxa"/>
            <w:vAlign w:val="top"/>
          </w:tcPr>
          <w:p>
            <w:pPr>
              <w:spacing w:before="0" w:after="35" w:line="240" w:lineRule="auto"/>
            </w:pPr>
            <w:r>
              <w:rPr>
                <w:sz w:val="19"/>
              </w:rPr>
              <w:t xml:space="preserve">5/5</w:t>
            </w:r>
          </w:p>
        </w:tc>
        <w:tc>
          <w:tcPr>
            <w:tcW w:w="5590" w:type="dxa"/>
            <w:vAlign w:val="top"/>
          </w:tcPr>
          <w:p>
            <w:pPr>
              <w:spacing w:before="0" w:after="35" w:line="240" w:lineRule="auto"/>
            </w:pPr>
            <w:r>
              <w:rPr>
                <w:sz w:val="19"/>
              </w:rPr>
              <w:t xml:space="preserve">Dijital empati, gerçek etkileşime transfer ve davranışsal ölçme</w:t>
            </w:r>
          </w:p>
        </w:tc>
      </w:tr>
    </w:tbl>
    <w:p>
      <w:pPr>
        <w:spacing w:after="50"/>
      </w:pPr>
    </w:p>
    <w:p>
      <w:pPr>
        <w:pStyle w:val="Heading2"/>
        <w:pageBreakBefore/>
      </w:pPr>
      <w:bookmarkStart w:id="11" w:name="A2_9"/>
      <w:r>
        <w:t xml:space="preserve">A2.9. Uyarlanabilirlik, Bilişsel Esneklik, Psikolojik Sağlamlık, Çabayı Sürdürme ve Öğrenci Eyleyiciliği</w:t>
      </w:r>
      <w:bookmarkEnd w:id="11"/>
    </w:p>
    <w:p>
      <w:pPr>
        <w:pStyle w:val="Heading3"/>
      </w:pPr>
      <w:r>
        <w:t xml:space="preserve">Kavramsal ayrımlar ve çerçeveler</w:t>
      </w:r>
    </w:p>
    <w:p>
      <w:pPr/>
      <w:r>
        <w:t xml:space="preserve">Bilişsel esneklik (cognitive flexibility), uyarlanabilirlik (adaptability), çabayı sürdürme (persistence), psikolojik sağlamlık (resilience) ve eyleyicilik (agency) birbiriyle ilişkili, ancak farklı yapılardır. Bu ayrımlar hem gelişimsel bulguların yorumlanmasında hem de ölçme araçlarının seçiminde korunmalıdır.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Kavram</w:t>
            </w:r>
          </w:p>
        </w:tc>
        <w:tc>
          <w:tcPr>
            <w:tcW w:w="6939" w:type="dxa"/>
            <w:vAlign w:val="top"/>
            <w:shd w:fill="E9EEF3" w:val="clear"/>
          </w:tcPr>
          <w:p>
            <w:pPr>
              <w:spacing w:before="0" w:after="35" w:line="240" w:lineRule="auto"/>
            </w:pPr>
            <w:r>
              <w:rPr>
                <w:b/>
                <w:sz w:val="19"/>
              </w:rPr>
              <w:t xml:space="preserve">Ayırt edici kapsam</w:t>
            </w:r>
          </w:p>
        </w:tc>
      </w:tr>
      <w:tr>
        <w:trPr>
          <w:cantSplit/>
        </w:trPr>
        <w:tc>
          <w:tcPr>
            <w:tcW w:w="2699" w:type="dxa"/>
            <w:vAlign w:val="top"/>
          </w:tcPr>
          <w:p>
            <w:pPr>
              <w:spacing w:before="0" w:after="35" w:line="240" w:lineRule="auto"/>
            </w:pPr>
            <w:r>
              <w:rPr>
                <w:sz w:val="19"/>
              </w:rPr>
              <w:t xml:space="preserve">Bilişsel esneklik</w:t>
            </w:r>
          </w:p>
        </w:tc>
        <w:tc>
          <w:tcPr>
            <w:tcW w:w="6939" w:type="dxa"/>
            <w:vAlign w:val="top"/>
          </w:tcPr>
          <w:p>
            <w:pPr>
              <w:spacing w:before="0" w:after="35" w:line="240" w:lineRule="auto"/>
            </w:pPr>
            <w:r>
              <w:rPr>
                <w:sz w:val="19"/>
              </w:rPr>
              <w:t xml:space="preserve">Yaklaşım, kural veya strateji değiştirme; geniş problem bağlamlarında inancı gözden geçirme, alternatif üretme, hata ayıklama ve bakış açısı değiştirme.</w:t>
            </w:r>
          </w:p>
        </w:tc>
      </w:tr>
      <w:tr>
        <w:trPr>
          <w:cantSplit/>
        </w:trPr>
        <w:tc>
          <w:tcPr>
            <w:tcW w:w="2699" w:type="dxa"/>
            <w:vAlign w:val="top"/>
          </w:tcPr>
          <w:p>
            <w:pPr>
              <w:spacing w:before="0" w:after="35" w:line="240" w:lineRule="auto"/>
            </w:pPr>
            <w:r>
              <w:rPr>
                <w:sz w:val="19"/>
              </w:rPr>
              <w:t xml:space="preserve">Uyarlanabilirlik</w:t>
            </w:r>
          </w:p>
        </w:tc>
        <w:tc>
          <w:tcPr>
            <w:tcW w:w="6939" w:type="dxa"/>
            <w:vAlign w:val="top"/>
          </w:tcPr>
          <w:p>
            <w:pPr>
              <w:spacing w:before="0" w:after="35" w:line="240" w:lineRule="auto"/>
            </w:pPr>
            <w:r>
              <w:rPr>
                <w:sz w:val="19"/>
              </w:rPr>
              <w:t xml:space="preserve">Değişen veya belirsiz koşullara uyum sağlama; tek bir bilişsel esneklik görevindeki performanstan daha geniş kapsam.</w:t>
            </w:r>
          </w:p>
        </w:tc>
      </w:tr>
      <w:tr>
        <w:trPr>
          <w:cantSplit/>
        </w:trPr>
        <w:tc>
          <w:tcPr>
            <w:tcW w:w="2699" w:type="dxa"/>
            <w:vAlign w:val="top"/>
          </w:tcPr>
          <w:p>
            <w:pPr>
              <w:spacing w:before="0" w:after="35" w:line="240" w:lineRule="auto"/>
            </w:pPr>
            <w:r>
              <w:rPr>
                <w:sz w:val="19"/>
              </w:rPr>
              <w:t xml:space="preserve">Çabayı sürdürme</w:t>
            </w:r>
          </w:p>
        </w:tc>
        <w:tc>
          <w:tcPr>
            <w:tcW w:w="6939" w:type="dxa"/>
            <w:vAlign w:val="top"/>
          </w:tcPr>
          <w:p>
            <w:pPr>
              <w:spacing w:before="0" w:after="35" w:line="240" w:lineRule="auto"/>
            </w:pPr>
            <w:r>
              <w:rPr>
                <w:sz w:val="19"/>
              </w:rPr>
              <w:t xml:space="preserve">Güçlük sırasında çabayı devam ettirme; üretken biçimi strateji değiştirme, geri bildirimden yararlanma ve uygun yardım aramayla birlikte değerlendirilir.</w:t>
            </w:r>
          </w:p>
        </w:tc>
      </w:tr>
      <w:tr>
        <w:trPr>
          <w:cantSplit/>
        </w:trPr>
        <w:tc>
          <w:tcPr>
            <w:tcW w:w="2699" w:type="dxa"/>
            <w:vAlign w:val="top"/>
          </w:tcPr>
          <w:p>
            <w:pPr>
              <w:spacing w:before="0" w:after="35" w:line="240" w:lineRule="auto"/>
            </w:pPr>
            <w:r>
              <w:rPr>
                <w:sz w:val="19"/>
              </w:rPr>
              <w:t xml:space="preserve">Psikolojik sağlamlık</w:t>
            </w:r>
          </w:p>
        </w:tc>
        <w:tc>
          <w:tcPr>
            <w:tcW w:w="6939" w:type="dxa"/>
            <w:vAlign w:val="top"/>
          </w:tcPr>
          <w:p>
            <w:pPr>
              <w:spacing w:before="0" w:after="35" w:line="240" w:lineRule="auto"/>
            </w:pPr>
            <w:r>
              <w:rPr>
                <w:sz w:val="19"/>
              </w:rPr>
              <w:t xml:space="preserve">Bir olumsuzluk veya başarısızlık sonrasında toparlanma ve uyum sağlama; yalnızca güçlük sırasında devam etmekten farklıdır.</w:t>
            </w:r>
          </w:p>
        </w:tc>
      </w:tr>
      <w:tr>
        <w:trPr>
          <w:cantSplit/>
        </w:trPr>
        <w:tc>
          <w:tcPr>
            <w:tcW w:w="2699" w:type="dxa"/>
            <w:vAlign w:val="top"/>
          </w:tcPr>
          <w:p>
            <w:pPr>
              <w:spacing w:before="0" w:after="35" w:line="240" w:lineRule="auto"/>
            </w:pPr>
            <w:r>
              <w:rPr>
                <w:sz w:val="19"/>
              </w:rPr>
              <w:t xml:space="preserve">Öğrenci eyleyiciliği</w:t>
            </w:r>
          </w:p>
        </w:tc>
        <w:tc>
          <w:tcPr>
            <w:tcW w:w="6939" w:type="dxa"/>
            <w:vAlign w:val="top"/>
          </w:tcPr>
          <w:p>
            <w:pPr>
              <w:spacing w:before="0" w:after="35" w:line="240" w:lineRule="auto"/>
            </w:pPr>
            <w:r>
              <w:rPr>
                <w:sz w:val="19"/>
              </w:rPr>
              <w:t xml:space="preserve">Öğrencinin kendi amaçları doğrultusunda niyet oluşturması, karar vermesi, eyleme geçmesi ve sonuçlar üzerinde düşünmesi.</w:t>
            </w:r>
          </w:p>
        </w:tc>
      </w:tr>
    </w:tbl>
    <w:p>
      <w:pPr>
        <w:spacing w:after="50"/>
      </w:pPr>
    </w:p>
    <w:p>
      <w:pPr/>
      <w:r>
        <w:t xml:space="preserve">Bir çocuğun kural değiştirme görevinde başarılı olması; yeni okul, değişen çalışma grubu, beklenmedik problem, yeni araç veya bilinmeyen görev karşısındaki uyarlanabilirliğini tek başına göstermez. LifeComp, esnekliği belirsizlik, geçişler ve güçlüklerle ilişkilendirir (</w:t>
      </w:r>
      <w:hyperlink r:id="rIdLink23">
        <w:r>
          <w:rPr>
            <w:rStyle w:val="Hyperlink"/>
          </w:rPr>
          <w:t xml:space="preserve">LifeComp</w:t>
        </w:r>
      </w:hyperlink>
      <w:r>
        <w:t xml:space="preserve">). Türkiye Yüzyılı Maarif Modeli'nin sosyal-duygusal yapısında uyum, esneklik ve sorumlu karar verme birleşik beceriler olarak yer alır (</w:t>
      </w:r>
      <w:hyperlink r:id="rIdLink24">
        <w:r>
          <w:rPr>
            <w:rStyle w:val="Hyperlink"/>
          </w:rPr>
          <w:t xml:space="preserve">programlar arası bileşenler</w:t>
        </w:r>
      </w:hyperlink>
      <w:r>
        <w:t xml:space="preserve">). Esneklik tanımı; farklı çözümler ve bakış açıları geliştirmeyi, alternatifleri fark etmeyi, ek bilgi aramayı ve katı düşünceden kaçınmayı içerir (</w:t>
      </w:r>
      <w:hyperlink r:id="rIdLink25">
        <w:r>
          <w:rPr>
            <w:rStyle w:val="Hyperlink"/>
          </w:rPr>
          <w:t xml:space="preserve">beceri kılavuzu</w:t>
        </w:r>
      </w:hyperlink>
      <w:r>
        <w:t xml:space="preserve">). Öğrencinin yalnızca değişime uyum sağlaması değil, çevresini etkin biçimde geliştirmesi ve şekillendirmesi de vurgulanır (</w:t>
      </w:r>
      <w:hyperlink r:id="rIdLink26">
        <w:r>
          <w:rPr>
            <w:rStyle w:val="Hyperlink"/>
          </w:rPr>
          <w:t xml:space="preserve">temel yaklaşım</w:t>
        </w:r>
      </w:hyperlink>
      <w:r>
        <w:t xml:space="preserve">). Bu çerçeveler, A2.1–A2.5'teki düşünme süreçleriyle ve öğrenci eyleyiciliğiyle kavramsal kesişimler taşır.</w:t>
      </w:r>
    </w:p>
    <w:p>
      <w:pPr>
        <w:pStyle w:val="Heading3"/>
      </w:pPr>
      <w:r>
        <w:t xml:space="preserve">Bilişsel esnekliğin gelişimi ve öğretilebilirliği</w:t>
      </w:r>
    </w:p>
    <w:p>
      <w:pPr/>
      <w:r>
        <w:t xml:space="preserve">Yürütücü işlevlerin bir bileşeni olan bilişsel esneklik, Boyut Değiştirerek Kart Eşleme Görevi (Dimensional Change Card Sort, DCCS) gibi araçlarla incelenir. DCCS meta-analizi 69 rapor ve 426 deneysel koşulu kapsamaktadır. Bulgular, üç yaşındaki çocukların önceki kurala bağlı kalma eğilimi gösterdiğini, beş yaşındaki çocukların ise yeni kurala daha esnek geçebildiğini ortaya koymaktadır. Bu, 3–5 yaş arasında belirgin bir gelişimsel değişime işaret eder; bütün gerçek yaşam uyum davranışları için bir norm oluşturmaz (</w:t>
      </w:r>
      <w:hyperlink r:id="rIdLink27">
        <w:r>
          <w:rPr>
            <w:rStyle w:val="Hyperlink"/>
          </w:rPr>
          <w:t xml:space="preserve">DCCS meta-analizi</w:t>
        </w:r>
      </w:hyperlink>
      <w:r>
        <w:t xml:space="preserve">).</w:t>
      </w:r>
    </w:p>
    <w:p>
      <w:pPr/>
      <w:r>
        <w:t xml:space="preserve">Erken ve orta çocukluk dönemindeki bilişsel esnekliği inceleyen derlemede, 3–4 yaşta DCCS eğitimi, 8–10 yaşta görev değiştirme eğitimi ve çocukluğun farklı dönemlerindeki diğer müdahaleler sonrasında geçiş performansında gelişmeler bildirilmiştir. Bazı araştırmalarda eğitilmemiş geçiş görevlerine, çalışma belleğine veya ketlemeye aktarım görülürken, diğerlerinde aktarım sınırlı kalmıştır. Bu nedenle yakın aktarım kanıtı uzak aktarımdan daha güçlüdür. Çocuğun görev üzerinde düşünmesini ve stratejisini açıklamasını sağlayan üstbilişsel yönlendirmeler de esneklik performansını geliştirebilmektedir (</w:t>
      </w:r>
      <w:hyperlink r:id="rIdLink28">
        <w:r>
          <w:rPr>
            <w:rStyle w:val="Hyperlink"/>
          </w:rPr>
          <w:t xml:space="preserve">gelişim ve müdahale derlemesi</w:t>
        </w:r>
      </w:hyperlink>
      <w:r>
        <w:t xml:space="preserve">). A2.4 ile bağlantılı olarak, alternatif stratejiye sahip olmak ile ne zaman strateji değiştirmek gerektiğini fark etmek ayrılmalıdır.</w:t>
      </w:r>
    </w:p>
    <w:p>
      <w:pPr/>
      <w:r>
        <w:t xml:space="preserve">Aşağıdaki yaş haritası pedagojik bir araştırmacı yorumudur; doğrulanmış gelişimsel eşikler veya yaş normları değildir. Özellikle geniş anlamdaki uyarlanabilirlik için bilişsel esneklik kadar belirgin gelişimsel normlar bulunmamaktadır.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Yaş aralığı</w:t>
            </w:r>
          </w:p>
        </w:tc>
        <w:tc>
          <w:tcPr>
            <w:tcW w:w="6939" w:type="dxa"/>
            <w:vAlign w:val="top"/>
            <w:shd w:fill="E9EEF3" w:val="clear"/>
          </w:tcPr>
          <w:p>
            <w:pPr>
              <w:spacing w:before="0" w:after="35" w:line="240" w:lineRule="auto"/>
            </w:pPr>
            <w:r>
              <w:rPr>
                <w:b/>
                <w:sz w:val="19"/>
              </w:rPr>
              <w:t xml:space="preserve">İncelenebilecek süreçler</w:t>
            </w:r>
          </w:p>
        </w:tc>
      </w:tr>
      <w:tr>
        <w:trPr>
          <w:cantSplit/>
        </w:trPr>
        <w:tc>
          <w:tcPr>
            <w:tcW w:w="2699" w:type="dxa"/>
            <w:vAlign w:val="top"/>
          </w:tcPr>
          <w:p>
            <w:pPr>
              <w:spacing w:before="0" w:after="35" w:line="240" w:lineRule="auto"/>
            </w:pPr>
            <w:r>
              <w:rPr>
                <w:sz w:val="19"/>
              </w:rPr>
              <w:t xml:space="preserve">3–5 yaş</w:t>
            </w:r>
          </w:p>
        </w:tc>
        <w:tc>
          <w:tcPr>
            <w:tcW w:w="6939" w:type="dxa"/>
            <w:vAlign w:val="top"/>
          </w:tcPr>
          <w:p>
            <w:pPr>
              <w:spacing w:before="0" w:after="35" w:line="240" w:lineRule="auto"/>
            </w:pPr>
            <w:r>
              <w:rPr>
                <w:sz w:val="19"/>
              </w:rPr>
              <w:t xml:space="preserve">Basit kural değiştirme, alternatif sınıflandırma, başka çözüm arama ve hata sonrasında yeni yöntem deneme.</w:t>
            </w:r>
          </w:p>
        </w:tc>
      </w:tr>
      <w:tr>
        <w:trPr>
          <w:cantSplit/>
        </w:trPr>
        <w:tc>
          <w:tcPr>
            <w:tcW w:w="2699" w:type="dxa"/>
            <w:vAlign w:val="top"/>
          </w:tcPr>
          <w:p>
            <w:pPr>
              <w:spacing w:before="0" w:after="35" w:line="240" w:lineRule="auto"/>
            </w:pPr>
            <w:r>
              <w:rPr>
                <w:sz w:val="19"/>
              </w:rPr>
              <w:t xml:space="preserve">5–7 yaş</w:t>
            </w:r>
          </w:p>
        </w:tc>
        <w:tc>
          <w:tcPr>
            <w:tcW w:w="6939" w:type="dxa"/>
            <w:vAlign w:val="top"/>
          </w:tcPr>
          <w:p>
            <w:pPr>
              <w:spacing w:before="0" w:after="35" w:line="240" w:lineRule="auto"/>
            </w:pPr>
            <w:r>
              <w:rPr>
                <w:sz w:val="19"/>
              </w:rPr>
              <w:t xml:space="preserve">Birden fazla kuralı dikkate alma, strateji değiştirme, yeni bilgiyle kararı gözden geçirme ve basit yardım arama.</w:t>
            </w:r>
          </w:p>
        </w:tc>
      </w:tr>
      <w:tr>
        <w:trPr>
          <w:cantSplit/>
        </w:trPr>
        <w:tc>
          <w:tcPr>
            <w:tcW w:w="2699" w:type="dxa"/>
            <w:vAlign w:val="top"/>
          </w:tcPr>
          <w:p>
            <w:pPr>
              <w:spacing w:before="0" w:after="35" w:line="240" w:lineRule="auto"/>
            </w:pPr>
            <w:r>
              <w:rPr>
                <w:sz w:val="19"/>
              </w:rPr>
              <w:t xml:space="preserve">7–9 yaş</w:t>
            </w:r>
          </w:p>
        </w:tc>
        <w:tc>
          <w:tcPr>
            <w:tcW w:w="6939" w:type="dxa"/>
            <w:vAlign w:val="top"/>
          </w:tcPr>
          <w:p>
            <w:pPr>
              <w:spacing w:before="0" w:after="35" w:line="240" w:lineRule="auto"/>
            </w:pPr>
            <w:r>
              <w:rPr>
                <w:sz w:val="19"/>
              </w:rPr>
              <w:t xml:space="preserve">Farklı çözüm yolları üretme, problem kısıtları değiştiğinde planı yenileme, bakış açısı değiştirme ve geri bildirimle stratejiyi uyarlama.</w:t>
            </w:r>
          </w:p>
        </w:tc>
      </w:tr>
      <w:tr>
        <w:trPr>
          <w:cantSplit/>
        </w:trPr>
        <w:tc>
          <w:tcPr>
            <w:tcW w:w="2699" w:type="dxa"/>
            <w:vAlign w:val="top"/>
          </w:tcPr>
          <w:p>
            <w:pPr>
              <w:spacing w:before="0" w:after="35" w:line="240" w:lineRule="auto"/>
            </w:pPr>
            <w:r>
              <w:rPr>
                <w:sz w:val="19"/>
              </w:rPr>
              <w:t xml:space="preserve">9–12 yaş</w:t>
            </w:r>
          </w:p>
        </w:tc>
        <w:tc>
          <w:tcPr>
            <w:tcW w:w="6939" w:type="dxa"/>
            <w:vAlign w:val="top"/>
          </w:tcPr>
          <w:p>
            <w:pPr>
              <w:spacing w:before="0" w:after="35" w:line="240" w:lineRule="auto"/>
            </w:pPr>
            <w:r>
              <w:rPr>
                <w:sz w:val="19"/>
              </w:rPr>
              <w:t xml:space="preserve">Belirsiz problemler ve birden fazla kısıtla çalışma, uzun vadeli hedefleri gözden geçirme, stratejik çaba ve kendi hedefleri arasında seçim yapma.</w:t>
            </w:r>
          </w:p>
        </w:tc>
      </w:tr>
    </w:tbl>
    <w:p>
      <w:pPr>
        <w:spacing w:after="50"/>
      </w:pPr>
    </w:p>
    <w:p>
      <w:pPr/>
      <w:r>
        <w:t xml:space="preserve">Uyarlanabilir uzmanlık (adaptive expertise), bilinen problemleri verimli çözme ile yeni problemler karşısında öğrenme, yenilik üretme ve bilgiyi yeniden düzenleme arasındaki dengeyi ifade eder. Bir kapsam belirleme derlemesinde çeşitli vaka ve problem deneyimleri, çözüm üretme özgürlüğü, yansıtma, geri bildirim ve bilgi bütünleştirme destekleyici unsurlar olarak belirlenmiştir; ölçme araçları ise sınırlıdır. Bu araştırmaların büyük bölümü yetişkin ve profesyonel eğitim bağlamındadır; sonuçları doğrudan çocuk yetkinliği kanıtı olarak kullanılamaz (</w:t>
      </w:r>
      <w:hyperlink r:id="rIdLink29">
        <w:r>
          <w:rPr>
            <w:rStyle w:val="Hyperlink"/>
          </w:rPr>
          <w:t xml:space="preserve">uyarlanabilir uzmanlık derlemesi</w:t>
        </w:r>
      </w:hyperlink>
      <w:r>
        <w:t xml:space="preserve">).</w:t>
      </w:r>
    </w:p>
    <w:p>
      <w:pPr>
        <w:pStyle w:val="Heading3"/>
      </w:pPr>
      <w:r>
        <w:t xml:space="preserve">Çabayı sürdürme ve psikolojik sağlamlık: bulgular ve sınırlar</w:t>
      </w:r>
    </w:p>
    <w:p>
      <w:pPr/>
      <w:r>
        <w:t xml:space="preserve">Üretken çabayı sürdürme (productive persistence), sonuç vermeyen bir stratejiyi tekrarlamakla eşdeğer değildir. İlerleme olmaksızın aynı döngüde kalma (wheel-spinning), uzun görev süresine veya çok sayıda denemeye rağmen öğrenmenin sınırlı kalabileceğini düşündürür. Strateji değiştirme, geri bildirimi kullanma, yardım isteme ve gerektiğinde hedefi yeniden düzenleme, devam etme kararının niteliğini değerlendirmede önemlidir. Bu nedenle görevde geçirilen süre veya deneme sayısı tek başına yeterli gösterge değildir. Gelişimsel açıdan erken yaşta tekrar deneme davranışının, daha ileri yaşlarda ise devam etme, yöntem değiştirme veya yardım alma kararlarının stratejik niteliğinin incelenmesi önerilebilir. Bu araştırmacı yorumu, gelişimi yalnızca daha uzun süre dayanmakla değil, çabanın düzenlenmesiyle ilişkilendirir.</w:t>
      </w:r>
    </w:p>
    <w:p>
      <w:pPr/>
      <w:r>
        <w:t xml:space="preserve">Gelişime açık zihniyet (growth mindset), yeteneklerin geliştirilebileceğine ilişkin inançtır; çabayı sürdürme davranışıyla veya akademik başarıyla eşitlenmemelidir. Macnamara ve Burgoyne'nin çalışmaları dâhil meta-analitik değerlendirmelerde aktarılan d = .05–.14 düzeyindeki küçük etkiler, gelişime açık zihniyet müdahalelerinin otomatik olarak akademik başarı getirdiği yorumunu desteklememektedir.</w:t>
      </w:r>
    </w:p>
    <w:p>
      <w:pPr/>
      <w:r>
        <w:t xml:space="preserve">2025 tarihli K–12 sistematik derlemesi, psikolojik sağlamlığı güçlük sonrasında uyumsal toparlanma süreci olarak ele almakta ve sosyal-kültürel bağlamın rolünü vurgulamaktadır. Psikolojik sağlamlık, hiçbir şeyden etkilenmeme veya bütün güçlükleri tek başına karşılama anlamına gelmez. Destek, uygun güçlük düzeyi ve güvenli öğrenme ortamı değerlendirmeye dâhil edilmelidir (</w:t>
      </w:r>
      <w:hyperlink r:id="rIdLink30">
        <w:r>
          <w:rPr>
            <w:rStyle w:val="Hyperlink"/>
          </w:rPr>
          <w:t xml:space="preserve">K–12 ölçme derlemesi</w:t>
        </w:r>
      </w:hyperlink>
      <w:r>
        <w:t xml:space="preserve">). Çabayı sürdürme güçlük sırasında devam etmeye, psikolojik sağlamlık ise olumsuzluk sonrasında toparlanma ve yeniden uyuma odaklanır.</w:t>
      </w:r>
    </w:p>
    <w:p>
      <w:pPr/>
      <w:r>
        <w:t xml:space="preserve">2025 tarihli okul temelli psikolojik sağlamlık meta-analizi, 15.730 çocuk ve ergeni kapsayan 38 randomize kontrollü çalışmayı içermekte; bunların 21'i nicel meta-analize alınmaktadır. Birleşik etki SMD = 0.17, %95 güven aralığı [0.06, 0.29] olarak bildirilmiştir. Etki istatistiksel olarak anlamlı, ancak küçüktür (</w:t>
      </w:r>
      <w:hyperlink r:id="rIdLink31">
        <w:r>
          <w:rPr>
            <w:rStyle w:val="Hyperlink"/>
          </w:rPr>
          <w:t xml:space="preserve">meta-analiz kaydı</w:t>
        </w:r>
      </w:hyperlink>
      <w:r>
        <w:t xml:space="preserve">). Çalışmaların yalnızca %5.2'si düşük yanlılık riski kategorisindedir; önemli bölümünde yöntemsel kaygılar bulunmaktadır (</w:t>
      </w:r>
      <w:hyperlink r:id="rIdLink32">
        <w:r>
          <w:rPr>
            <w:rStyle w:val="Hyperlink"/>
          </w:rPr>
          <w:t xml:space="preserve">tam metin ve yanlılık değerlendirmesi</w:t>
        </w:r>
      </w:hyperlink>
      <w:r>
        <w:t xml:space="preserve">). Bulgular gelişimin mümkün olduğuna işaret etse de güçlü ve bağlamdan bağımsız müdahale etkisi iddiasını desteklemez.</w:t>
      </w:r>
    </w:p>
    <w:p>
      <w:pPr>
        <w:pStyle w:val="Heading3"/>
      </w:pPr>
      <w:r>
        <w:t xml:space="preserve">Eyleyicilik, özerklik desteği ve birlikte eyleme</w:t>
      </w:r>
    </w:p>
    <w:p>
      <w:pPr/>
      <w:r>
        <w:t xml:space="preserve">OECD Learning Compass, öğrenci eyleyiciliğini öğrencinin yalnızca başkalarınca belirlenen yönde hareket etmesi yerine kendi yaşamını ve çevresini etkileyen bir aktör olmasıyla ilişkilendirir. Seçim yapma ve görüş bildirme bu yapının parçalarıdır; niyet, sorumluluk, eylem ve yansıtma da gereklidir (</w:t>
      </w:r>
      <w:hyperlink r:id="rIdLink33">
        <w:r>
          <w:rPr>
            <w:rStyle w:val="Hyperlink"/>
          </w:rPr>
          <w:t xml:space="preserve">OECD Learning Compass 2030</w:t>
        </w:r>
      </w:hyperlink>
      <w:r>
        <w:t xml:space="preserve">). Eyleyicilik, özerklik veya öz-düzenlemeyle eşanlamlı kabul edilmemeli; bu yapılardan birine ilişkin bulgu diğerinin doğrudan kanıtı olarak kullanılmamalıdır.</w:t>
      </w:r>
    </w:p>
    <w:p>
      <w:pPr/>
      <w:r>
        <w:t xml:space="preserve">2025 tarihli sistematik derleme, secondary education bağlamında eyleyiciliği destekleyen öğretim programlarını 86 ampirik çalışma üzerinden incelemiştir. Derleme, aşırı öğretmen kontrolünün eyleyiciliği sınırlayabileceğini, rehberlikten yoksun özerkliğin de öğrenmeyi olumsuz etkileyebileceğini belirterek rehberlik ile özgürlük arasındaki dengeyi vurgular. Öğrenme için eyleyicilik, öğrencinin öğrenme deneyimini ihtiyaç ve ilgilerine göre bilinçli biçimde yapılandırmasıyla ilişkilendirilir; seçim ve görüş bildirme, amaçlı eylem ve sorumluluğun yerine geçmez (</w:t>
      </w:r>
      <w:hyperlink r:id="rIdLink34">
        <w:r>
          <w:rPr>
            <w:rStyle w:val="Hyperlink"/>
          </w:rPr>
          <w:t xml:space="preserve">agency-supportive curriculum derlemesi</w:t>
        </w:r>
      </w:hyperlink>
      <w:r>
        <w:t xml:space="preserve">). Bu kanıt secondary düzeye aittir ve erken çocukluk veya ilkokulun ilk yıllarına doğrudan genellenmemelidir.</w:t>
      </w:r>
    </w:p>
    <w:p>
      <w:pPr/>
      <w:r>
        <w:t xml:space="preserve">2023 tarihli özerklik desteği meta-analizi; 153 çalışma, 179 bağımsız örneklem, 213.612 öğrenci ve 378 etki büyüklüğü üzerinden öğretmen ve ebeveyn özerklik desteğiyle öğrenci sonuçları arasındaki ilişkileri incelemiştir. Özerk motivasyon, katılım, ustalık hedefleri, öz-düzenlemeli öğrenme ve benlik inançlarıyla; ayrıca akademik performansla olumlu ilişkiler bildirilmiştir. Bu bulgular ilişkisel kanıttır; tamamı müdahalelerin nedensel etkisi olarak yorumlanamaz ve belirli bir çocuk yaş grubuna özgü sonuç olarak ele alınmamalıdır (</w:t>
      </w:r>
      <w:hyperlink r:id="rIdLink35">
        <w:r>
          <w:rPr>
            <w:rStyle w:val="Hyperlink"/>
          </w:rPr>
          <w:t xml:space="preserve">özerklik desteği meta-analizi</w:t>
        </w:r>
      </w:hyperlink>
      <w:r>
        <w:t xml:space="preserve">).</w:t>
      </w:r>
    </w:p>
    <w:p>
      <w:pPr/>
      <w:r>
        <w:t xml:space="preserve">OECD'nin birlikte eyleyicilik (co-agency) yaklaşımı, öğrencinin öğretmen, aile, akranlar ve toplumla birlikte hedef oluşturmasını ve değişime katılmasını kapsar. Dolayısıyla eyleyicilik her şeyi tek başına yapmak değildir; A2.8'deki iş birliğiyle bağlantılıdır (</w:t>
      </w:r>
      <w:hyperlink r:id="rIdLink36">
        <w:r>
          <w:rPr>
            <w:rStyle w:val="Hyperlink"/>
          </w:rPr>
          <w:t xml:space="preserve">OECD araştırma sentezi</w:t>
        </w:r>
      </w:hyperlink>
      <w:r>
        <w:t xml:space="preserve">).</w:t>
      </w:r>
    </w:p>
    <w:p>
      <w:pPr/>
      <w:r>
        <w:t xml:space="preserve">“Rehberlikle desteklenen eyleyicilik” (guided agency), öğrencinin anlamlı yollar arasında seçim yapabildiği ve sonuçları değerlendirebildiği bir destek dengesi önerisi olarak kullanılabilir. “Uyarlanabilir eyleyicilik” (adaptive agency) ise devam etme, strateji değiştirme, yardım arama ve hedefi yeniden tanımlama kararlarını birlikte ele alan bir sentez hipotezidir. Her ikisi de burada araştırmacı yorumu olarak tutulmaktadır; standartlaştırılmış veya doğrulanmış yeni yapılar olarak sunulmamaktadır.</w:t>
      </w:r>
    </w:p>
    <w:p>
      <w:pPr>
        <w:pStyle w:val="Heading3"/>
      </w:pPr>
      <w:r>
        <w:t xml:space="preserve">Ölçme sorunları ve araştırılabilir süreçler</w:t>
      </w:r>
    </w:p>
    <w:p>
      <w:pPr/>
      <w:r>
        <w:t xml:space="preserve">2025 K–12 ölçme derlemesindeki 74 çalışmada farklı tanımlar, ölçekler, zaman aralıkları ve davranış göstergeleri kullanılmıştır; çabayı sürdürme ve psikolojik sağlamlık için ortak bir altın standart tanım veya ölçüm bulunmamaktadır. Öz-bildirim, öğretmen veya diğer kişilerin bildirimleri, davranışsal ölçümler, görev tamamlama, tekrarlanan denemeler ve görev süresi kullanılan yöntemler arasındadır. Davranışsal değerlendirme özellikle psikolojik sağlamlıkta daha az yaygındır (</w:t>
      </w:r>
      <w:hyperlink r:id="rIdLink30">
        <w:r>
          <w:rPr>
            <w:rStyle w:val="Hyperlink"/>
          </w:rPr>
          <w:t xml:space="preserve">74 çalışmalık derleme</w:t>
        </w:r>
      </w:hyperlink>
      <w:r>
        <w:t xml:space="preserve">).</w:t>
      </w:r>
    </w:p>
    <w:p>
      <w:pPr/>
      <w:r>
        <w:t xml:space="preserve">Aşağıdaki süreç göstergeleri olası davranış yorumlarıdır; doğrulanmış ölçek maddeleri veya tek başına yapı kanıtları değildir.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120"/>
        <w:gridCol w:w="3759"/>
        <w:gridCol w:w="3759"/>
      </w:tblGrid>
      <w:tr>
        <w:trPr>
          <w:cantSplit/>
          <w:tblHeader/>
        </w:trPr>
        <w:tc>
          <w:tcPr>
            <w:tcW w:w="2120" w:type="dxa"/>
            <w:vAlign w:val="top"/>
            <w:shd w:fill="E9EEF3" w:val="clear"/>
          </w:tcPr>
          <w:p>
            <w:pPr>
              <w:spacing w:before="0" w:after="35" w:line="240" w:lineRule="auto"/>
            </w:pPr>
            <w:r>
              <w:rPr>
                <w:b/>
                <w:sz w:val="19"/>
              </w:rPr>
              <w:t xml:space="preserve">Alan</w:t>
            </w:r>
          </w:p>
        </w:tc>
        <w:tc>
          <w:tcPr>
            <w:tcW w:w="3759" w:type="dxa"/>
            <w:vAlign w:val="top"/>
            <w:shd w:fill="E9EEF3" w:val="clear"/>
          </w:tcPr>
          <w:p>
            <w:pPr>
              <w:spacing w:before="0" w:after="35" w:line="240" w:lineRule="auto"/>
            </w:pPr>
            <w:r>
              <w:rPr>
                <w:b/>
                <w:sz w:val="19"/>
              </w:rPr>
              <w:t xml:space="preserve">Gözlenebilecek davranış</w:t>
            </w:r>
          </w:p>
        </w:tc>
        <w:tc>
          <w:tcPr>
            <w:tcW w:w="3759" w:type="dxa"/>
            <w:vAlign w:val="top"/>
            <w:shd w:fill="E9EEF3" w:val="clear"/>
          </w:tcPr>
          <w:p>
            <w:pPr>
              <w:spacing w:before="0" w:after="35" w:line="240" w:lineRule="auto"/>
            </w:pPr>
            <w:r>
              <w:rPr>
                <w:b/>
                <w:sz w:val="19"/>
              </w:rPr>
              <w:t xml:space="preserve">Olası yorum</w:t>
            </w:r>
          </w:p>
        </w:tc>
      </w:tr>
      <w:tr>
        <w:trPr>
          <w:cantSplit/>
        </w:trPr>
        <w:tc>
          <w:tcPr>
            <w:tcW w:w="2120" w:type="dxa"/>
            <w:vAlign w:val="top"/>
          </w:tcPr>
          <w:p>
            <w:pPr>
              <w:spacing w:before="0" w:after="35" w:line="240" w:lineRule="auto"/>
            </w:pPr>
            <w:r>
              <w:rPr>
                <w:sz w:val="19"/>
              </w:rPr>
              <w:t xml:space="preserve">Çabayı sürdürme</w:t>
            </w:r>
          </w:p>
        </w:tc>
        <w:tc>
          <w:tcPr>
            <w:tcW w:w="3759" w:type="dxa"/>
            <w:vAlign w:val="top"/>
          </w:tcPr>
          <w:p>
            <w:pPr>
              <w:spacing w:before="0" w:after="35" w:line="240" w:lineRule="auto"/>
            </w:pPr>
            <w:r>
              <w:rPr>
                <w:sz w:val="19"/>
              </w:rPr>
              <w:t xml:space="preserve">Başarısızlık sonrasında yeniden deneme</w:t>
            </w:r>
          </w:p>
        </w:tc>
        <w:tc>
          <w:tcPr>
            <w:tcW w:w="3759" w:type="dxa"/>
            <w:vAlign w:val="top"/>
          </w:tcPr>
          <w:p>
            <w:pPr>
              <w:spacing w:before="0" w:after="35" w:line="240" w:lineRule="auto"/>
            </w:pPr>
            <w:r>
              <w:rPr>
                <w:sz w:val="19"/>
              </w:rPr>
              <w:t xml:space="preserve">Çabayı sürdürme.</w:t>
            </w:r>
          </w:p>
        </w:tc>
      </w:tr>
      <w:tr>
        <w:trPr>
          <w:cantSplit/>
        </w:trPr>
        <w:tc>
          <w:tcPr>
            <w:tcW w:w="2120" w:type="dxa"/>
            <w:vAlign w:val="top"/>
          </w:tcPr>
          <w:p>
            <w:pPr>
              <w:spacing w:before="0" w:after="35" w:line="240" w:lineRule="auto"/>
            </w:pPr>
            <w:r>
              <w:rPr>
                <w:sz w:val="19"/>
              </w:rPr>
              <w:t xml:space="preserve">Çabayı sürdürme</w:t>
            </w:r>
          </w:p>
        </w:tc>
        <w:tc>
          <w:tcPr>
            <w:tcW w:w="3759" w:type="dxa"/>
            <w:vAlign w:val="top"/>
          </w:tcPr>
          <w:p>
            <w:pPr>
              <w:spacing w:before="0" w:after="35" w:line="240" w:lineRule="auto"/>
            </w:pPr>
            <w:r>
              <w:rPr>
                <w:sz w:val="19"/>
              </w:rPr>
              <w:t xml:space="preserve">Strateji değiştirerek yeniden deneme</w:t>
            </w:r>
          </w:p>
        </w:tc>
        <w:tc>
          <w:tcPr>
            <w:tcW w:w="3759" w:type="dxa"/>
            <w:vAlign w:val="top"/>
          </w:tcPr>
          <w:p>
            <w:pPr>
              <w:spacing w:before="0" w:after="35" w:line="240" w:lineRule="auto"/>
            </w:pPr>
            <w:r>
              <w:rPr>
                <w:sz w:val="19"/>
              </w:rPr>
              <w:t xml:space="preserve">Üretken çabayı sürdürme.</w:t>
            </w:r>
          </w:p>
        </w:tc>
      </w:tr>
      <w:tr>
        <w:trPr>
          <w:cantSplit/>
        </w:trPr>
        <w:tc>
          <w:tcPr>
            <w:tcW w:w="2120" w:type="dxa"/>
            <w:vAlign w:val="top"/>
          </w:tcPr>
          <w:p>
            <w:pPr>
              <w:spacing w:before="0" w:after="35" w:line="240" w:lineRule="auto"/>
            </w:pPr>
            <w:r>
              <w:rPr>
                <w:sz w:val="19"/>
              </w:rPr>
              <w:t xml:space="preserve">Çabayı sürdürme</w:t>
            </w:r>
          </w:p>
        </w:tc>
        <w:tc>
          <w:tcPr>
            <w:tcW w:w="3759" w:type="dxa"/>
            <w:vAlign w:val="top"/>
          </w:tcPr>
          <w:p>
            <w:pPr>
              <w:spacing w:before="0" w:after="35" w:line="240" w:lineRule="auto"/>
            </w:pPr>
            <w:r>
              <w:rPr>
                <w:sz w:val="19"/>
              </w:rPr>
              <w:t xml:space="preserve">Aynı hatayı sürekli tekrarlama</w:t>
            </w:r>
          </w:p>
        </w:tc>
        <w:tc>
          <w:tcPr>
            <w:tcW w:w="3759" w:type="dxa"/>
            <w:vAlign w:val="top"/>
          </w:tcPr>
          <w:p>
            <w:pPr>
              <w:spacing w:before="0" w:after="35" w:line="240" w:lineRule="auto"/>
            </w:pPr>
            <w:r>
              <w:rPr>
                <w:sz w:val="19"/>
              </w:rPr>
              <w:t xml:space="preserve">Olası ilerlemesiz tekrar döngüsü.</w:t>
            </w:r>
          </w:p>
        </w:tc>
      </w:tr>
      <w:tr>
        <w:trPr>
          <w:cantSplit/>
        </w:trPr>
        <w:tc>
          <w:tcPr>
            <w:tcW w:w="2120" w:type="dxa"/>
            <w:vAlign w:val="top"/>
          </w:tcPr>
          <w:p>
            <w:pPr>
              <w:spacing w:before="0" w:after="35" w:line="240" w:lineRule="auto"/>
            </w:pPr>
            <w:r>
              <w:rPr>
                <w:sz w:val="19"/>
              </w:rPr>
              <w:t xml:space="preserve">Çabayı sürdürme</w:t>
            </w:r>
          </w:p>
        </w:tc>
        <w:tc>
          <w:tcPr>
            <w:tcW w:w="3759" w:type="dxa"/>
            <w:vAlign w:val="top"/>
          </w:tcPr>
          <w:p>
            <w:pPr>
              <w:spacing w:before="0" w:after="35" w:line="240" w:lineRule="auto"/>
            </w:pPr>
            <w:r>
              <w:rPr>
                <w:sz w:val="19"/>
              </w:rPr>
              <w:t xml:space="preserve">Uygun zamanda ipucu isteme</w:t>
            </w:r>
          </w:p>
        </w:tc>
        <w:tc>
          <w:tcPr>
            <w:tcW w:w="3759" w:type="dxa"/>
            <w:vAlign w:val="top"/>
          </w:tcPr>
          <w:p>
            <w:pPr>
              <w:spacing w:before="0" w:after="35" w:line="240" w:lineRule="auto"/>
            </w:pPr>
            <w:r>
              <w:rPr>
                <w:sz w:val="19"/>
              </w:rPr>
              <w:t xml:space="preserve">Uyumsal yardım arama.</w:t>
            </w:r>
          </w:p>
        </w:tc>
      </w:tr>
      <w:tr>
        <w:trPr>
          <w:cantSplit/>
        </w:trPr>
        <w:tc>
          <w:tcPr>
            <w:tcW w:w="2120" w:type="dxa"/>
            <w:vAlign w:val="top"/>
          </w:tcPr>
          <w:p>
            <w:pPr>
              <w:spacing w:before="0" w:after="35" w:line="240" w:lineRule="auto"/>
            </w:pPr>
            <w:r>
              <w:rPr>
                <w:sz w:val="19"/>
              </w:rPr>
              <w:t xml:space="preserve">Çabayı sürdürme</w:t>
            </w:r>
          </w:p>
        </w:tc>
        <w:tc>
          <w:tcPr>
            <w:tcW w:w="3759" w:type="dxa"/>
            <w:vAlign w:val="top"/>
          </w:tcPr>
          <w:p>
            <w:pPr>
              <w:spacing w:before="0" w:after="35" w:line="240" w:lineRule="auto"/>
            </w:pPr>
            <w:r>
              <w:rPr>
                <w:sz w:val="19"/>
              </w:rPr>
              <w:t xml:space="preserve">Geri bildirimi kullanma</w:t>
            </w:r>
          </w:p>
        </w:tc>
        <w:tc>
          <w:tcPr>
            <w:tcW w:w="3759" w:type="dxa"/>
            <w:vAlign w:val="top"/>
          </w:tcPr>
          <w:p>
            <w:pPr>
              <w:spacing w:before="0" w:after="35" w:line="240" w:lineRule="auto"/>
            </w:pPr>
            <w:r>
              <w:rPr>
                <w:sz w:val="19"/>
              </w:rPr>
              <w:t xml:space="preserve">Uyumsal çabayı sürdürme.</w:t>
            </w:r>
          </w:p>
        </w:tc>
      </w:tr>
      <w:tr>
        <w:trPr>
          <w:cantSplit/>
        </w:trPr>
        <w:tc>
          <w:tcPr>
            <w:tcW w:w="2120" w:type="dxa"/>
            <w:vAlign w:val="top"/>
          </w:tcPr>
          <w:p>
            <w:pPr>
              <w:spacing w:before="0" w:after="35" w:line="240" w:lineRule="auto"/>
            </w:pPr>
            <w:r>
              <w:rPr>
                <w:sz w:val="19"/>
              </w:rPr>
              <w:t xml:space="preserve">Çabayı sürdürme</w:t>
            </w:r>
          </w:p>
        </w:tc>
        <w:tc>
          <w:tcPr>
            <w:tcW w:w="3759" w:type="dxa"/>
            <w:vAlign w:val="top"/>
          </w:tcPr>
          <w:p>
            <w:pPr>
              <w:spacing w:before="0" w:after="35" w:line="240" w:lineRule="auto"/>
            </w:pPr>
            <w:r>
              <w:rPr>
                <w:sz w:val="19"/>
              </w:rPr>
              <w:t xml:space="preserve">Güçlük artınca hemen bırakma</w:t>
            </w:r>
          </w:p>
        </w:tc>
        <w:tc>
          <w:tcPr>
            <w:tcW w:w="3759" w:type="dxa"/>
            <w:vAlign w:val="top"/>
          </w:tcPr>
          <w:p>
            <w:pPr>
              <w:spacing w:before="0" w:after="35" w:line="240" w:lineRule="auto"/>
            </w:pPr>
            <w:r>
              <w:rPr>
                <w:sz w:val="19"/>
              </w:rPr>
              <w:t xml:space="preserve">Olası görevden kopma.</w:t>
            </w:r>
          </w:p>
        </w:tc>
      </w:tr>
      <w:tr>
        <w:trPr>
          <w:cantSplit/>
        </w:trPr>
        <w:tc>
          <w:tcPr>
            <w:tcW w:w="2120" w:type="dxa"/>
            <w:vAlign w:val="top"/>
          </w:tcPr>
          <w:p>
            <w:pPr>
              <w:spacing w:before="0" w:after="35" w:line="240" w:lineRule="auto"/>
            </w:pPr>
            <w:r>
              <w:rPr>
                <w:sz w:val="19"/>
              </w:rPr>
              <w:t xml:space="preserve">Çabayı sürdürme</w:t>
            </w:r>
          </w:p>
        </w:tc>
        <w:tc>
          <w:tcPr>
            <w:tcW w:w="3759" w:type="dxa"/>
            <w:vAlign w:val="top"/>
          </w:tcPr>
          <w:p>
            <w:pPr>
              <w:spacing w:before="0" w:after="35" w:line="240" w:lineRule="auto"/>
            </w:pPr>
            <w:r>
              <w:rPr>
                <w:sz w:val="19"/>
              </w:rPr>
              <w:t xml:space="preserve">Çok uzun süre ilerlemeden devam etme</w:t>
            </w:r>
          </w:p>
        </w:tc>
        <w:tc>
          <w:tcPr>
            <w:tcW w:w="3759" w:type="dxa"/>
            <w:vAlign w:val="top"/>
          </w:tcPr>
          <w:p>
            <w:pPr>
              <w:spacing w:before="0" w:after="35" w:line="240" w:lineRule="auto"/>
            </w:pPr>
            <w:r>
              <w:rPr>
                <w:sz w:val="19"/>
              </w:rPr>
              <w:t xml:space="preserve">Olası üretken olmayan çaba.</w:t>
            </w:r>
          </w:p>
        </w:tc>
      </w:tr>
      <w:tr>
        <w:trPr>
          <w:cantSplit/>
        </w:trPr>
        <w:tc>
          <w:tcPr>
            <w:tcW w:w="2120" w:type="dxa"/>
            <w:vAlign w:val="top"/>
          </w:tcPr>
          <w:p>
            <w:pPr>
              <w:spacing w:before="0" w:after="35" w:line="240" w:lineRule="auto"/>
            </w:pPr>
            <w:r>
              <w:rPr>
                <w:sz w:val="19"/>
              </w:rPr>
              <w:t xml:space="preserve">Çabayı sürdürme</w:t>
            </w:r>
          </w:p>
        </w:tc>
        <w:tc>
          <w:tcPr>
            <w:tcW w:w="3759" w:type="dxa"/>
            <w:vAlign w:val="top"/>
          </w:tcPr>
          <w:p>
            <w:pPr>
              <w:spacing w:before="0" w:after="35" w:line="240" w:lineRule="auto"/>
            </w:pPr>
            <w:r>
              <w:rPr>
                <w:sz w:val="19"/>
              </w:rPr>
              <w:t xml:space="preserve">Ara verip geri dönme</w:t>
            </w:r>
          </w:p>
        </w:tc>
        <w:tc>
          <w:tcPr>
            <w:tcW w:w="3759" w:type="dxa"/>
            <w:vAlign w:val="top"/>
          </w:tcPr>
          <w:p>
            <w:pPr>
              <w:spacing w:before="0" w:after="35" w:line="240" w:lineRule="auto"/>
            </w:pPr>
            <w:r>
              <w:rPr>
                <w:sz w:val="19"/>
              </w:rPr>
              <w:t xml:space="preserve">Toparlanma veya çabanın yeniden sürdürülmesi.</w:t>
            </w:r>
          </w:p>
        </w:tc>
      </w:tr>
      <w:tr>
        <w:trPr>
          <w:cantSplit/>
        </w:trPr>
        <w:tc>
          <w:tcPr>
            <w:tcW w:w="2120" w:type="dxa"/>
            <w:vAlign w:val="top"/>
          </w:tcPr>
          <w:p>
            <w:pPr>
              <w:spacing w:before="0" w:after="35" w:line="240" w:lineRule="auto"/>
            </w:pPr>
            <w:r>
              <w:rPr>
                <w:sz w:val="19"/>
              </w:rPr>
              <w:t xml:space="preserve">Çabayı sürdürme</w:t>
            </w:r>
          </w:p>
        </w:tc>
        <w:tc>
          <w:tcPr>
            <w:tcW w:w="3759" w:type="dxa"/>
            <w:vAlign w:val="top"/>
          </w:tcPr>
          <w:p>
            <w:pPr>
              <w:spacing w:before="0" w:after="35" w:line="240" w:lineRule="auto"/>
            </w:pPr>
            <w:r>
              <w:rPr>
                <w:sz w:val="19"/>
              </w:rPr>
              <w:t xml:space="preserve">Başarısızlıktan sonra yeni plan oluşturma</w:t>
            </w:r>
          </w:p>
        </w:tc>
        <w:tc>
          <w:tcPr>
            <w:tcW w:w="3759" w:type="dxa"/>
            <w:vAlign w:val="top"/>
          </w:tcPr>
          <w:p>
            <w:pPr>
              <w:spacing w:before="0" w:after="35" w:line="240" w:lineRule="auto"/>
            </w:pPr>
            <w:r>
              <w:rPr>
                <w:sz w:val="19"/>
              </w:rPr>
              <w:t xml:space="preserve">Toparlanmayı destekleyen düzenleme.</w:t>
            </w:r>
          </w:p>
        </w:tc>
      </w:tr>
      <w:tr>
        <w:trPr>
          <w:cantSplit/>
        </w:trPr>
        <w:tc>
          <w:tcPr>
            <w:tcW w:w="2120" w:type="dxa"/>
            <w:vAlign w:val="top"/>
          </w:tcPr>
          <w:p>
            <w:pPr>
              <w:spacing w:before="0" w:after="35" w:line="240" w:lineRule="auto"/>
            </w:pPr>
            <w:r>
              <w:rPr>
                <w:sz w:val="19"/>
              </w:rPr>
              <w:t xml:space="preserve">Psikolojik sağlamlık</w:t>
            </w:r>
          </w:p>
        </w:tc>
        <w:tc>
          <w:tcPr>
            <w:tcW w:w="3759" w:type="dxa"/>
            <w:vAlign w:val="top"/>
          </w:tcPr>
          <w:p>
            <w:pPr>
              <w:spacing w:before="0" w:after="35" w:line="240" w:lineRule="auto"/>
            </w:pPr>
            <w:r>
              <w:rPr>
                <w:sz w:val="19"/>
              </w:rPr>
              <w:t xml:space="preserve">Olumsuzluk sonrasında göreve geri dönme</w:t>
            </w:r>
          </w:p>
        </w:tc>
        <w:tc>
          <w:tcPr>
            <w:tcW w:w="3759" w:type="dxa"/>
            <w:vAlign w:val="top"/>
          </w:tcPr>
          <w:p>
            <w:pPr>
              <w:spacing w:before="0" w:after="35" w:line="240" w:lineRule="auto"/>
            </w:pPr>
            <w:r>
              <w:rPr>
                <w:sz w:val="19"/>
              </w:rPr>
              <w:t xml:space="preserve">Toparlanma.</w:t>
            </w:r>
          </w:p>
        </w:tc>
      </w:tr>
      <w:tr>
        <w:trPr>
          <w:cantSplit/>
        </w:trPr>
        <w:tc>
          <w:tcPr>
            <w:tcW w:w="2120" w:type="dxa"/>
            <w:vAlign w:val="top"/>
          </w:tcPr>
          <w:p>
            <w:pPr>
              <w:spacing w:before="0" w:after="35" w:line="240" w:lineRule="auto"/>
            </w:pPr>
            <w:r>
              <w:rPr>
                <w:sz w:val="19"/>
              </w:rPr>
              <w:t xml:space="preserve">Psikolojik sağlamlık</w:t>
            </w:r>
          </w:p>
        </w:tc>
        <w:tc>
          <w:tcPr>
            <w:tcW w:w="3759" w:type="dxa"/>
            <w:vAlign w:val="top"/>
          </w:tcPr>
          <w:p>
            <w:pPr>
              <w:spacing w:before="0" w:after="35" w:line="240" w:lineRule="auto"/>
            </w:pPr>
            <w:r>
              <w:rPr>
                <w:sz w:val="19"/>
              </w:rPr>
              <w:t xml:space="preserve">Yeni strateji geliştirme</w:t>
            </w:r>
          </w:p>
        </w:tc>
        <w:tc>
          <w:tcPr>
            <w:tcW w:w="3759" w:type="dxa"/>
            <w:vAlign w:val="top"/>
          </w:tcPr>
          <w:p>
            <w:pPr>
              <w:spacing w:before="0" w:after="35" w:line="240" w:lineRule="auto"/>
            </w:pPr>
            <w:r>
              <w:rPr>
                <w:sz w:val="19"/>
              </w:rPr>
              <w:t xml:space="preserve">Uyumsal toparlanma.</w:t>
            </w:r>
          </w:p>
        </w:tc>
      </w:tr>
      <w:tr>
        <w:trPr>
          <w:cantSplit/>
        </w:trPr>
        <w:tc>
          <w:tcPr>
            <w:tcW w:w="2120" w:type="dxa"/>
            <w:vAlign w:val="top"/>
          </w:tcPr>
          <w:p>
            <w:pPr>
              <w:spacing w:before="0" w:after="35" w:line="240" w:lineRule="auto"/>
            </w:pPr>
            <w:r>
              <w:rPr>
                <w:sz w:val="19"/>
              </w:rPr>
              <w:t xml:space="preserve">Psikolojik sağlamlık</w:t>
            </w:r>
          </w:p>
        </w:tc>
        <w:tc>
          <w:tcPr>
            <w:tcW w:w="3759" w:type="dxa"/>
            <w:vAlign w:val="top"/>
          </w:tcPr>
          <w:p>
            <w:pPr>
              <w:spacing w:before="0" w:after="35" w:line="240" w:lineRule="auto"/>
            </w:pPr>
            <w:r>
              <w:rPr>
                <w:sz w:val="19"/>
              </w:rPr>
              <w:t xml:space="preserve">Geri bildirimden yararlanma</w:t>
            </w:r>
          </w:p>
        </w:tc>
        <w:tc>
          <w:tcPr>
            <w:tcW w:w="3759" w:type="dxa"/>
            <w:vAlign w:val="top"/>
          </w:tcPr>
          <w:p>
            <w:pPr>
              <w:spacing w:before="0" w:after="35" w:line="240" w:lineRule="auto"/>
            </w:pPr>
            <w:r>
              <w:rPr>
                <w:sz w:val="19"/>
              </w:rPr>
              <w:t xml:space="preserve">Olumsuz deneyimden öğrenme.</w:t>
            </w:r>
          </w:p>
        </w:tc>
      </w:tr>
      <w:tr>
        <w:trPr>
          <w:cantSplit/>
        </w:trPr>
        <w:tc>
          <w:tcPr>
            <w:tcW w:w="2120" w:type="dxa"/>
            <w:vAlign w:val="top"/>
          </w:tcPr>
          <w:p>
            <w:pPr>
              <w:spacing w:before="0" w:after="35" w:line="240" w:lineRule="auto"/>
            </w:pPr>
            <w:r>
              <w:rPr>
                <w:sz w:val="19"/>
              </w:rPr>
              <w:t xml:space="preserve">Psikolojik sağlamlık</w:t>
            </w:r>
          </w:p>
        </w:tc>
        <w:tc>
          <w:tcPr>
            <w:tcW w:w="3759" w:type="dxa"/>
            <w:vAlign w:val="top"/>
          </w:tcPr>
          <w:p>
            <w:pPr>
              <w:spacing w:before="0" w:after="35" w:line="240" w:lineRule="auto"/>
            </w:pPr>
            <w:r>
              <w:rPr>
                <w:sz w:val="19"/>
              </w:rPr>
              <w:t xml:space="preserve">Yardım arama</w:t>
            </w:r>
          </w:p>
        </w:tc>
        <w:tc>
          <w:tcPr>
            <w:tcW w:w="3759" w:type="dxa"/>
            <w:vAlign w:val="top"/>
          </w:tcPr>
          <w:p>
            <w:pPr>
              <w:spacing w:before="0" w:after="35" w:line="240" w:lineRule="auto"/>
            </w:pPr>
            <w:r>
              <w:rPr>
                <w:sz w:val="19"/>
              </w:rPr>
              <w:t xml:space="preserve">Uyumsal başa çıkma.</w:t>
            </w:r>
          </w:p>
        </w:tc>
      </w:tr>
      <w:tr>
        <w:trPr>
          <w:cantSplit/>
        </w:trPr>
        <w:tc>
          <w:tcPr>
            <w:tcW w:w="2120" w:type="dxa"/>
            <w:vAlign w:val="top"/>
          </w:tcPr>
          <w:p>
            <w:pPr>
              <w:spacing w:before="0" w:after="35" w:line="240" w:lineRule="auto"/>
            </w:pPr>
            <w:r>
              <w:rPr>
                <w:sz w:val="19"/>
              </w:rPr>
              <w:t xml:space="preserve">Psikolojik sağlamlık</w:t>
            </w:r>
          </w:p>
        </w:tc>
        <w:tc>
          <w:tcPr>
            <w:tcW w:w="3759" w:type="dxa"/>
            <w:vAlign w:val="top"/>
          </w:tcPr>
          <w:p>
            <w:pPr>
              <w:spacing w:before="0" w:after="35" w:line="240" w:lineRule="auto"/>
            </w:pPr>
            <w:r>
              <w:rPr>
                <w:sz w:val="19"/>
              </w:rPr>
              <w:t xml:space="preserve">Hedefi bırakma veya yeniden yapılandırma</w:t>
            </w:r>
          </w:p>
        </w:tc>
        <w:tc>
          <w:tcPr>
            <w:tcW w:w="3759" w:type="dxa"/>
            <w:vAlign w:val="top"/>
          </w:tcPr>
          <w:p>
            <w:pPr>
              <w:spacing w:before="0" w:after="35" w:line="240" w:lineRule="auto"/>
            </w:pPr>
            <w:r>
              <w:rPr>
                <w:sz w:val="19"/>
              </w:rPr>
              <w:t xml:space="preserve">Hedef uyarlamasının değerlendirilmesi.</w:t>
            </w:r>
          </w:p>
        </w:tc>
      </w:tr>
      <w:tr>
        <w:trPr>
          <w:cantSplit/>
        </w:trPr>
        <w:tc>
          <w:tcPr>
            <w:tcW w:w="2120" w:type="dxa"/>
            <w:vAlign w:val="top"/>
          </w:tcPr>
          <w:p>
            <w:pPr>
              <w:spacing w:before="0" w:after="35" w:line="240" w:lineRule="auto"/>
            </w:pPr>
            <w:r>
              <w:rPr>
                <w:sz w:val="19"/>
              </w:rPr>
              <w:t xml:space="preserve">Psikolojik sağlamlık</w:t>
            </w:r>
          </w:p>
        </w:tc>
        <w:tc>
          <w:tcPr>
            <w:tcW w:w="3759" w:type="dxa"/>
            <w:vAlign w:val="top"/>
          </w:tcPr>
          <w:p>
            <w:pPr>
              <w:spacing w:before="0" w:after="35" w:line="240" w:lineRule="auto"/>
            </w:pPr>
            <w:r>
              <w:rPr>
                <w:sz w:val="19"/>
              </w:rPr>
              <w:t xml:space="preserve">Başarısızlığın etkisini sonraki göreve taşıma</w:t>
            </w:r>
          </w:p>
        </w:tc>
        <w:tc>
          <w:tcPr>
            <w:tcW w:w="3759" w:type="dxa"/>
            <w:vAlign w:val="top"/>
          </w:tcPr>
          <w:p>
            <w:pPr>
              <w:spacing w:before="0" w:after="35" w:line="240" w:lineRule="auto"/>
            </w:pPr>
            <w:r>
              <w:rPr>
                <w:sz w:val="19"/>
              </w:rPr>
              <w:t xml:space="preserve">Olumsuzluk sonrası düzenlemenin değerlendirilmesi.</w:t>
            </w:r>
          </w:p>
        </w:tc>
      </w:tr>
      <w:tr>
        <w:trPr>
          <w:cantSplit/>
        </w:trPr>
        <w:tc>
          <w:tcPr>
            <w:tcW w:w="2120" w:type="dxa"/>
            <w:vAlign w:val="top"/>
          </w:tcPr>
          <w:p>
            <w:pPr>
              <w:spacing w:before="0" w:after="35" w:line="240" w:lineRule="auto"/>
            </w:pPr>
            <w:r>
              <w:rPr>
                <w:sz w:val="19"/>
              </w:rPr>
              <w:t xml:space="preserve">Eyleyicilik</w:t>
            </w:r>
          </w:p>
        </w:tc>
        <w:tc>
          <w:tcPr>
            <w:tcW w:w="3759" w:type="dxa"/>
            <w:vAlign w:val="top"/>
          </w:tcPr>
          <w:p>
            <w:pPr>
              <w:spacing w:before="0" w:after="35" w:line="240" w:lineRule="auto"/>
            </w:pPr>
            <w:r>
              <w:rPr>
                <w:sz w:val="19"/>
              </w:rPr>
              <w:t xml:space="preserve">Kendi hedefini seçme</w:t>
            </w:r>
          </w:p>
        </w:tc>
        <w:tc>
          <w:tcPr>
            <w:tcW w:w="3759" w:type="dxa"/>
            <w:vAlign w:val="top"/>
          </w:tcPr>
          <w:p>
            <w:pPr>
              <w:spacing w:before="0" w:after="35" w:line="240" w:lineRule="auto"/>
            </w:pPr>
            <w:r>
              <w:rPr>
                <w:sz w:val="19"/>
              </w:rPr>
              <w:t xml:space="preserve">Niyetlilik.</w:t>
            </w:r>
          </w:p>
        </w:tc>
      </w:tr>
      <w:tr>
        <w:trPr>
          <w:cantSplit/>
        </w:trPr>
        <w:tc>
          <w:tcPr>
            <w:tcW w:w="2120" w:type="dxa"/>
            <w:vAlign w:val="top"/>
          </w:tcPr>
          <w:p>
            <w:pPr>
              <w:spacing w:before="0" w:after="35" w:line="240" w:lineRule="auto"/>
            </w:pPr>
            <w:r>
              <w:rPr>
                <w:sz w:val="19"/>
              </w:rPr>
              <w:t xml:space="preserve">Eyleyicilik</w:t>
            </w:r>
          </w:p>
        </w:tc>
        <w:tc>
          <w:tcPr>
            <w:tcW w:w="3759" w:type="dxa"/>
            <w:vAlign w:val="top"/>
          </w:tcPr>
          <w:p>
            <w:pPr>
              <w:spacing w:before="0" w:after="35" w:line="240" w:lineRule="auto"/>
            </w:pPr>
            <w:r>
              <w:rPr>
                <w:sz w:val="19"/>
              </w:rPr>
              <w:t xml:space="preserve">Stratejiler arasında bilinçli seçim</w:t>
            </w:r>
          </w:p>
        </w:tc>
        <w:tc>
          <w:tcPr>
            <w:tcW w:w="3759" w:type="dxa"/>
            <w:vAlign w:val="top"/>
          </w:tcPr>
          <w:p>
            <w:pPr>
              <w:spacing w:before="0" w:after="35" w:line="240" w:lineRule="auto"/>
            </w:pPr>
            <w:r>
              <w:rPr>
                <w:sz w:val="19"/>
              </w:rPr>
              <w:t xml:space="preserve">Karar sürecinde eyleyicilik.</w:t>
            </w:r>
          </w:p>
        </w:tc>
      </w:tr>
      <w:tr>
        <w:trPr>
          <w:cantSplit/>
        </w:trPr>
        <w:tc>
          <w:tcPr>
            <w:tcW w:w="2120" w:type="dxa"/>
            <w:vAlign w:val="top"/>
          </w:tcPr>
          <w:p>
            <w:pPr>
              <w:spacing w:before="0" w:after="35" w:line="240" w:lineRule="auto"/>
            </w:pPr>
            <w:r>
              <w:rPr>
                <w:sz w:val="19"/>
              </w:rPr>
              <w:t xml:space="preserve">Eyleyicilik</w:t>
            </w:r>
          </w:p>
        </w:tc>
        <w:tc>
          <w:tcPr>
            <w:tcW w:w="3759" w:type="dxa"/>
            <w:vAlign w:val="top"/>
          </w:tcPr>
          <w:p>
            <w:pPr>
              <w:spacing w:before="0" w:after="35" w:line="240" w:lineRule="auto"/>
            </w:pPr>
            <w:r>
              <w:rPr>
                <w:sz w:val="19"/>
              </w:rPr>
              <w:t xml:space="preserve">Gerekçe üretme</w:t>
            </w:r>
          </w:p>
        </w:tc>
        <w:tc>
          <w:tcPr>
            <w:tcW w:w="3759" w:type="dxa"/>
            <w:vAlign w:val="top"/>
          </w:tcPr>
          <w:p>
            <w:pPr>
              <w:spacing w:before="0" w:after="35" w:line="240" w:lineRule="auto"/>
            </w:pPr>
            <w:r>
              <w:rPr>
                <w:sz w:val="19"/>
              </w:rPr>
              <w:t xml:space="preserve">Yansıtıcı eyleyicilik.</w:t>
            </w:r>
          </w:p>
        </w:tc>
      </w:tr>
      <w:tr>
        <w:trPr>
          <w:cantSplit/>
        </w:trPr>
        <w:tc>
          <w:tcPr>
            <w:tcW w:w="2120" w:type="dxa"/>
            <w:vAlign w:val="top"/>
          </w:tcPr>
          <w:p>
            <w:pPr>
              <w:spacing w:before="0" w:after="35" w:line="240" w:lineRule="auto"/>
            </w:pPr>
            <w:r>
              <w:rPr>
                <w:sz w:val="19"/>
              </w:rPr>
              <w:t xml:space="preserve">Eyleyicilik</w:t>
            </w:r>
          </w:p>
        </w:tc>
        <w:tc>
          <w:tcPr>
            <w:tcW w:w="3759" w:type="dxa"/>
            <w:vAlign w:val="top"/>
          </w:tcPr>
          <w:p>
            <w:pPr>
              <w:spacing w:before="0" w:after="35" w:line="240" w:lineRule="auto"/>
            </w:pPr>
            <w:r>
              <w:rPr>
                <w:sz w:val="19"/>
              </w:rPr>
              <w:t xml:space="preserve">Yardımı kabul veya reddetme</w:t>
            </w:r>
          </w:p>
        </w:tc>
        <w:tc>
          <w:tcPr>
            <w:tcW w:w="3759" w:type="dxa"/>
            <w:vAlign w:val="top"/>
          </w:tcPr>
          <w:p>
            <w:pPr>
              <w:spacing w:before="0" w:after="35" w:line="240" w:lineRule="auto"/>
            </w:pPr>
            <w:r>
              <w:rPr>
                <w:sz w:val="19"/>
              </w:rPr>
              <w:t xml:space="preserve">Özerklikle ilişkili karar; tek başına eyleyicilik ölçümü değildir.</w:t>
            </w:r>
          </w:p>
        </w:tc>
      </w:tr>
      <w:tr>
        <w:trPr>
          <w:cantSplit/>
        </w:trPr>
        <w:tc>
          <w:tcPr>
            <w:tcW w:w="2120" w:type="dxa"/>
            <w:vAlign w:val="top"/>
          </w:tcPr>
          <w:p>
            <w:pPr>
              <w:spacing w:before="0" w:after="35" w:line="240" w:lineRule="auto"/>
            </w:pPr>
            <w:r>
              <w:rPr>
                <w:sz w:val="19"/>
              </w:rPr>
              <w:t xml:space="preserve">Eyleyicilik</w:t>
            </w:r>
          </w:p>
        </w:tc>
        <w:tc>
          <w:tcPr>
            <w:tcW w:w="3759" w:type="dxa"/>
            <w:vAlign w:val="top"/>
          </w:tcPr>
          <w:p>
            <w:pPr>
              <w:spacing w:before="0" w:after="35" w:line="240" w:lineRule="auto"/>
            </w:pPr>
            <w:r>
              <w:rPr>
                <w:sz w:val="19"/>
              </w:rPr>
              <w:t xml:space="preserve">Kendi sorusunu üretme</w:t>
            </w:r>
          </w:p>
        </w:tc>
        <w:tc>
          <w:tcPr>
            <w:tcW w:w="3759" w:type="dxa"/>
            <w:vAlign w:val="top"/>
          </w:tcPr>
          <w:p>
            <w:pPr>
              <w:spacing w:before="0" w:after="35" w:line="240" w:lineRule="auto"/>
            </w:pPr>
            <w:r>
              <w:rPr>
                <w:sz w:val="19"/>
              </w:rPr>
              <w:t xml:space="preserve">Sorgulamada eyleyicilik.</w:t>
            </w:r>
          </w:p>
        </w:tc>
      </w:tr>
      <w:tr>
        <w:trPr>
          <w:cantSplit/>
        </w:trPr>
        <w:tc>
          <w:tcPr>
            <w:tcW w:w="2120" w:type="dxa"/>
            <w:vAlign w:val="top"/>
          </w:tcPr>
          <w:p>
            <w:pPr>
              <w:spacing w:before="0" w:after="35" w:line="240" w:lineRule="auto"/>
            </w:pPr>
            <w:r>
              <w:rPr>
                <w:sz w:val="19"/>
              </w:rPr>
              <w:t xml:space="preserve">Eyleyicilik</w:t>
            </w:r>
          </w:p>
        </w:tc>
        <w:tc>
          <w:tcPr>
            <w:tcW w:w="3759" w:type="dxa"/>
            <w:vAlign w:val="top"/>
          </w:tcPr>
          <w:p>
            <w:pPr>
              <w:spacing w:before="0" w:after="35" w:line="240" w:lineRule="auto"/>
            </w:pPr>
            <w:r>
              <w:rPr>
                <w:sz w:val="19"/>
              </w:rPr>
              <w:t xml:space="preserve">Sistem önerisini geçersiz kılarak başka karar verme</w:t>
            </w:r>
          </w:p>
        </w:tc>
        <w:tc>
          <w:tcPr>
            <w:tcW w:w="3759" w:type="dxa"/>
            <w:vAlign w:val="top"/>
          </w:tcPr>
          <w:p>
            <w:pPr>
              <w:spacing w:before="0" w:after="35" w:line="240" w:lineRule="auto"/>
            </w:pPr>
            <w:r>
              <w:rPr>
                <w:sz w:val="19"/>
              </w:rPr>
              <w:t xml:space="preserve">İnsan eyleyiciliğinin olası göstergesi.</w:t>
            </w:r>
          </w:p>
        </w:tc>
      </w:tr>
      <w:tr>
        <w:trPr>
          <w:cantSplit/>
        </w:trPr>
        <w:tc>
          <w:tcPr>
            <w:tcW w:w="2120" w:type="dxa"/>
            <w:vAlign w:val="top"/>
          </w:tcPr>
          <w:p>
            <w:pPr>
              <w:spacing w:before="0" w:after="35" w:line="240" w:lineRule="auto"/>
            </w:pPr>
            <w:r>
              <w:rPr>
                <w:sz w:val="19"/>
              </w:rPr>
              <w:t xml:space="preserve">Eyleyicilik</w:t>
            </w:r>
          </w:p>
        </w:tc>
        <w:tc>
          <w:tcPr>
            <w:tcW w:w="3759" w:type="dxa"/>
            <w:vAlign w:val="top"/>
          </w:tcPr>
          <w:p>
            <w:pPr>
              <w:spacing w:before="0" w:after="35" w:line="240" w:lineRule="auto"/>
            </w:pPr>
            <w:r>
              <w:rPr>
                <w:sz w:val="19"/>
              </w:rPr>
              <w:t xml:space="preserve">Sonuç sonrasında hedefini değiştirme</w:t>
            </w:r>
          </w:p>
        </w:tc>
        <w:tc>
          <w:tcPr>
            <w:tcW w:w="3759" w:type="dxa"/>
            <w:vAlign w:val="top"/>
          </w:tcPr>
          <w:p>
            <w:pPr>
              <w:spacing w:before="0" w:after="35" w:line="240" w:lineRule="auto"/>
            </w:pPr>
            <w:r>
              <w:rPr>
                <w:sz w:val="19"/>
              </w:rPr>
              <w:t xml:space="preserve">Eyleyiciliğin uyarlanması; araştırmacı yorumu.</w:t>
            </w:r>
          </w:p>
        </w:tc>
      </w:tr>
      <w:tr>
        <w:trPr>
          <w:cantSplit/>
        </w:trPr>
        <w:tc>
          <w:tcPr>
            <w:tcW w:w="2120" w:type="dxa"/>
            <w:vAlign w:val="top"/>
          </w:tcPr>
          <w:p>
            <w:pPr>
              <w:spacing w:before="0" w:after="35" w:line="240" w:lineRule="auto"/>
            </w:pPr>
            <w:r>
              <w:rPr>
                <w:sz w:val="19"/>
              </w:rPr>
              <w:t xml:space="preserve">Eyleyicilik</w:t>
            </w:r>
          </w:p>
        </w:tc>
        <w:tc>
          <w:tcPr>
            <w:tcW w:w="3759" w:type="dxa"/>
            <w:vAlign w:val="top"/>
          </w:tcPr>
          <w:p>
            <w:pPr>
              <w:spacing w:before="0" w:after="35" w:line="240" w:lineRule="auto"/>
            </w:pPr>
            <w:r>
              <w:rPr>
                <w:sz w:val="19"/>
              </w:rPr>
              <w:t xml:space="preserve">Kendi öğrenme yolunu planlama</w:t>
            </w:r>
          </w:p>
        </w:tc>
        <w:tc>
          <w:tcPr>
            <w:tcW w:w="3759" w:type="dxa"/>
            <w:vAlign w:val="top"/>
          </w:tcPr>
          <w:p>
            <w:pPr>
              <w:spacing w:before="0" w:after="35" w:line="240" w:lineRule="auto"/>
            </w:pPr>
            <w:r>
              <w:rPr>
                <w:sz w:val="19"/>
              </w:rPr>
              <w:t xml:space="preserve">Öğrenmede eyleyicilik.</w:t>
            </w:r>
          </w:p>
        </w:tc>
      </w:tr>
      <w:tr>
        <w:trPr>
          <w:cantSplit/>
        </w:trPr>
        <w:tc>
          <w:tcPr>
            <w:tcW w:w="2120" w:type="dxa"/>
            <w:vAlign w:val="top"/>
          </w:tcPr>
          <w:p>
            <w:pPr>
              <w:spacing w:before="0" w:after="35" w:line="240" w:lineRule="auto"/>
            </w:pPr>
            <w:r>
              <w:rPr>
                <w:sz w:val="19"/>
              </w:rPr>
              <w:t xml:space="preserve">Eyleyicilik</w:t>
            </w:r>
          </w:p>
        </w:tc>
        <w:tc>
          <w:tcPr>
            <w:tcW w:w="3759" w:type="dxa"/>
            <w:vAlign w:val="top"/>
          </w:tcPr>
          <w:p>
            <w:pPr>
              <w:spacing w:before="0" w:after="35" w:line="240" w:lineRule="auto"/>
            </w:pPr>
            <w:r>
              <w:rPr>
                <w:sz w:val="19"/>
              </w:rPr>
              <w:t xml:space="preserve">Ortak karara katılma</w:t>
            </w:r>
          </w:p>
        </w:tc>
        <w:tc>
          <w:tcPr>
            <w:tcW w:w="3759" w:type="dxa"/>
            <w:vAlign w:val="top"/>
          </w:tcPr>
          <w:p>
            <w:pPr>
              <w:spacing w:before="0" w:after="35" w:line="240" w:lineRule="auto"/>
            </w:pPr>
            <w:r>
              <w:rPr>
                <w:sz w:val="19"/>
              </w:rPr>
              <w:t xml:space="preserve">Birlikte eyleyicilik.</w:t>
            </w:r>
          </w:p>
        </w:tc>
      </w:tr>
    </w:tbl>
    <w:p>
      <w:pPr>
        <w:spacing w:after="50"/>
      </w:pPr>
    </w:p>
    <w:p>
      <w:pPr/>
      <w:r>
        <w:t xml:space="preserve">Eyleyicilikte seçim sıklığından çok seçimlerin öğrenme açısından anlamı ve sonuçları önemlidir. Benzer biçimde, psikolojik sağlamlık puanı oluşturmak için yalnızca yeniden deneme sayısı yeterli değildir; olumsuzluk sonrasındaki süreçlerin ayrıca geçerlenmesi gerekir. Uyarlanabilirlik değerlendirmesi de aynı rutindeki hız veya başarıyla sınırlandırılmamalıdır. Kural değişimi, yeni kısıt, beklenmedik olay, eksik kaynak, çelişen kanıt, çalışma arkadaşının değişmesi veya gecikmeli sonuç gibi koşullarda stratejinin uygunluğunu yeniden değerlendirmeyi incelemek, araştırmacı önerisi olarak öne çıkmaktadır.</w:t>
      </w:r>
    </w:p>
    <w:p>
      <w:pPr/>
      <w:r>
        <w:t xml:space="preserve">Üç araştırma sorusu belirginleşmektedir: Deneme dizileri, hata örüntüleri, strateji değişimleri, yardım arama ve ilerleme verileri üretken çabayı ilerlemesiz tekrardan ayırabilir mi? Öğrenme desteği öğrencinin yerine karar vermeden onun karar niteliğini geliştirebilir mi? Davranışsal veriler, erişilebilir fakat çaba gerektiren güçlük düzeyini belirlemede kullanılabilir mi? Bu sorular öğrenme analitiği, uyarlanabilir öğrenme ve öz-düzenlemeyle ilişkilidir; kanıtlanmış uygulama sonuçları değildir. Güçlüğün çok düşük veya ilerlemeyi engelleyecek kadar yüksek olması yerine üretken çabaya olanak sağlaması ve öğrencinin ipucu, görevi parçalara ayırma veya başka strateji deneme seçeneklerine katılması, sınanması gereken destek ilkeleridir.</w:t>
      </w:r>
    </w:p>
    <w:p>
      <w:pPr/>
      <w:r>
        <w:t xml:space="preserve">Yapay zekânın hedefi, çözümü veya kanıtı öğrenci adına seçmesi ile öğrenciyi kendi varsayımlarını incelemeye yönlendirmesi arasındaki ayrım, A2.4 ve A2.6 ile bağlantılıdır. İkinci yaklaşımın üstbiliş, eyleyicilik ve problem çözmeyi daha iyi destekleyebileceği bir hipotezdir; çocuklara özgü deneysel doğrulama gerektirir. Benzer biçimde hatanın bilgi ve geri bildirim kaynağı olarak kullanılması; nedenleri inceleme, varsayımları gözden geçirme ve alternatif deneme süreçleriyle ilişkilendirilir. Bu yorum başarısızlığı kendi başına ödüllendirmeyi veya her durumda devam etmeyi önermez; problem çözme, hata ayıklama, üstbiliş, bilişsel esneklik ve psikolojik sağlamlığın kesişimine odaklanır.</w:t>
      </w:r>
    </w:p>
    <w:p>
      <w:pPr>
        <w:pStyle w:val="Heading3"/>
      </w:pPr>
      <w:r>
        <w:t xml:space="preserve">Kanıt puanları ve bölüm sentezi</w:t>
      </w:r>
    </w:p>
    <w:p>
      <w:pPr/>
      <w:r>
        <w:t xml:space="preserve">Aşağıdaki Evidence Score tabloları araştırmacı kodlamalarıdır. Boyut adları ve sayısal değerler korunmuştur; puanlar standart ölçme aracı veya meta-analitik etki büyüklüğü değildir.</w:t>
      </w:r>
    </w:p>
    <w:p>
      <w:pPr/>
      <w:r>
        <w:t xml:space="preserve">Bilişsel esneklik ve uyarlanabilirlik:</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Ölçüt</w:t>
            </w:r>
          </w:p>
        </w:tc>
        <w:tc>
          <w:tcPr>
            <w:tcW w:w="6939" w:type="dxa"/>
            <w:vAlign w:val="top"/>
            <w:shd w:fill="E9EEF3" w:val="clear"/>
          </w:tcPr>
          <w:p>
            <w:pPr>
              <w:spacing w:before="0" w:after="35" w:line="240" w:lineRule="auto"/>
            </w:pPr>
            <w:r>
              <w:rPr>
                <w:b/>
                <w:sz w:val="19"/>
              </w:rPr>
              <w:t xml:space="preserve">Puan</w:t>
            </w:r>
          </w:p>
        </w:tc>
      </w:tr>
      <w:tr>
        <w:trPr>
          <w:cantSplit/>
        </w:trPr>
        <w:tc>
          <w:tcPr>
            <w:tcW w:w="2699" w:type="dxa"/>
            <w:vAlign w:val="top"/>
          </w:tcPr>
          <w:p>
            <w:pPr>
              <w:spacing w:before="0" w:after="35" w:line="240" w:lineRule="auto"/>
            </w:pPr>
            <w:r>
              <w:rPr>
                <w:sz w:val="19"/>
              </w:rPr>
              <w:t xml:space="preserve">Future relevance</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Policy/framework relevance</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Developmental evidence</w:t>
            </w:r>
          </w:p>
        </w:tc>
        <w:tc>
          <w:tcPr>
            <w:tcW w:w="6939" w:type="dxa"/>
            <w:vAlign w:val="top"/>
          </w:tcPr>
          <w:p>
            <w:pPr>
              <w:spacing w:before="0" w:after="35" w:line="240" w:lineRule="auto"/>
            </w:pPr>
            <w:r>
              <w:rPr>
                <w:sz w:val="19"/>
              </w:rPr>
              <w:t xml:space="preserve">4.5/5</w:t>
            </w:r>
          </w:p>
        </w:tc>
      </w:tr>
      <w:tr>
        <w:trPr>
          <w:cantSplit/>
        </w:trPr>
        <w:tc>
          <w:tcPr>
            <w:tcW w:w="2699" w:type="dxa"/>
            <w:vAlign w:val="top"/>
          </w:tcPr>
          <w:p>
            <w:pPr>
              <w:spacing w:before="0" w:after="35" w:line="240" w:lineRule="auto"/>
            </w:pPr>
            <w:r>
              <w:rPr>
                <w:sz w:val="19"/>
              </w:rPr>
              <w:t xml:space="preserve">Teachability</w:t>
            </w:r>
          </w:p>
        </w:tc>
        <w:tc>
          <w:tcPr>
            <w:tcW w:w="6939" w:type="dxa"/>
            <w:vAlign w:val="top"/>
          </w:tcPr>
          <w:p>
            <w:pPr>
              <w:spacing w:before="0" w:after="35" w:line="240" w:lineRule="auto"/>
            </w:pPr>
            <w:r>
              <w:rPr>
                <w:sz w:val="19"/>
              </w:rPr>
              <w:t xml:space="preserve">4/5</w:t>
            </w:r>
          </w:p>
        </w:tc>
      </w:tr>
      <w:tr>
        <w:trPr>
          <w:cantSplit/>
        </w:trPr>
        <w:tc>
          <w:tcPr>
            <w:tcW w:w="2699" w:type="dxa"/>
            <w:vAlign w:val="top"/>
          </w:tcPr>
          <w:p>
            <w:pPr>
              <w:spacing w:before="0" w:after="35" w:line="240" w:lineRule="auto"/>
            </w:pPr>
            <w:r>
              <w:rPr>
                <w:sz w:val="19"/>
              </w:rPr>
              <w:t xml:space="preserve">Young-child evidence</w:t>
            </w:r>
          </w:p>
        </w:tc>
        <w:tc>
          <w:tcPr>
            <w:tcW w:w="6939" w:type="dxa"/>
            <w:vAlign w:val="top"/>
          </w:tcPr>
          <w:p>
            <w:pPr>
              <w:spacing w:before="0" w:after="35" w:line="240" w:lineRule="auto"/>
            </w:pPr>
            <w:r>
              <w:rPr>
                <w:sz w:val="19"/>
              </w:rPr>
              <w:t xml:space="preserve">4.5/5</w:t>
            </w:r>
          </w:p>
        </w:tc>
      </w:tr>
      <w:tr>
        <w:trPr>
          <w:cantSplit/>
        </w:trPr>
        <w:tc>
          <w:tcPr>
            <w:tcW w:w="2699" w:type="dxa"/>
            <w:vAlign w:val="top"/>
          </w:tcPr>
          <w:p>
            <w:pPr>
              <w:spacing w:before="0" w:after="35" w:line="240" w:lineRule="auto"/>
            </w:pPr>
            <w:r>
              <w:rPr>
                <w:sz w:val="19"/>
              </w:rPr>
              <w:t xml:space="preserve">Broader adaptability evidence</w:t>
            </w:r>
          </w:p>
        </w:tc>
        <w:tc>
          <w:tcPr>
            <w:tcW w:w="6939" w:type="dxa"/>
            <w:vAlign w:val="top"/>
          </w:tcPr>
          <w:p>
            <w:pPr>
              <w:spacing w:before="0" w:after="35" w:line="240" w:lineRule="auto"/>
            </w:pPr>
            <w:r>
              <w:rPr>
                <w:sz w:val="19"/>
              </w:rPr>
              <w:t xml:space="preserve">3.5/5</w:t>
            </w:r>
          </w:p>
        </w:tc>
      </w:tr>
      <w:tr>
        <w:trPr>
          <w:cantSplit/>
        </w:trPr>
        <w:tc>
          <w:tcPr>
            <w:tcW w:w="2699" w:type="dxa"/>
            <w:vAlign w:val="top"/>
          </w:tcPr>
          <w:p>
            <w:pPr>
              <w:spacing w:before="0" w:after="35" w:line="240" w:lineRule="auto"/>
            </w:pPr>
            <w:r>
              <w:rPr>
                <w:sz w:val="19"/>
              </w:rPr>
              <w:t xml:space="preserve">Measurability</w:t>
            </w:r>
          </w:p>
        </w:tc>
        <w:tc>
          <w:tcPr>
            <w:tcW w:w="6939" w:type="dxa"/>
            <w:vAlign w:val="top"/>
          </w:tcPr>
          <w:p>
            <w:pPr>
              <w:spacing w:before="0" w:after="35" w:line="240" w:lineRule="auto"/>
            </w:pPr>
            <w:r>
              <w:rPr>
                <w:sz w:val="19"/>
              </w:rPr>
              <w:t xml:space="preserve">Bilişsel esneklik için 4/5; geniş uyarlanabilirlik için 3/5</w:t>
            </w:r>
          </w:p>
        </w:tc>
      </w:tr>
      <w:tr>
        <w:trPr>
          <w:cantSplit/>
        </w:trPr>
        <w:tc>
          <w:tcPr>
            <w:tcW w:w="2699" w:type="dxa"/>
            <w:vAlign w:val="top"/>
          </w:tcPr>
          <w:p>
            <w:pPr>
              <w:spacing w:before="0" w:after="35" w:line="240" w:lineRule="auto"/>
            </w:pPr>
            <w:r>
              <w:rPr>
                <w:sz w:val="19"/>
              </w:rPr>
              <w:t xml:space="preserve">Far transfer</w:t>
            </w:r>
          </w:p>
        </w:tc>
        <w:tc>
          <w:tcPr>
            <w:tcW w:w="6939" w:type="dxa"/>
            <w:vAlign w:val="top"/>
          </w:tcPr>
          <w:p>
            <w:pPr>
              <w:spacing w:before="0" w:after="35" w:line="240" w:lineRule="auto"/>
            </w:pPr>
            <w:r>
              <w:rPr>
                <w:sz w:val="19"/>
              </w:rPr>
              <w:t xml:space="preserve">3/5</w:t>
            </w:r>
          </w:p>
        </w:tc>
      </w:tr>
      <w:tr>
        <w:trPr>
          <w:cantSplit/>
        </w:trPr>
        <w:tc>
          <w:tcPr>
            <w:tcW w:w="2699" w:type="dxa"/>
            <w:vAlign w:val="top"/>
          </w:tcPr>
          <w:p>
            <w:pPr>
              <w:spacing w:before="0" w:after="35" w:line="240" w:lineRule="auto"/>
            </w:pPr>
            <w:r>
              <w:rPr>
                <w:sz w:val="19"/>
              </w:rPr>
              <w:t xml:space="preserve">Digital/game suitability</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Research opportunity</w:t>
            </w:r>
          </w:p>
        </w:tc>
        <w:tc>
          <w:tcPr>
            <w:tcW w:w="6939" w:type="dxa"/>
            <w:vAlign w:val="top"/>
          </w:tcPr>
          <w:p>
            <w:pPr>
              <w:spacing w:before="0" w:after="35" w:line="240" w:lineRule="auto"/>
            </w:pPr>
            <w:r>
              <w:rPr>
                <w:sz w:val="19"/>
              </w:rPr>
              <w:t xml:space="preserve">5/5</w:t>
            </w:r>
          </w:p>
        </w:tc>
      </w:tr>
    </w:tbl>
    <w:p>
      <w:pPr>
        <w:spacing w:after="50"/>
      </w:pPr>
    </w:p>
    <w:p>
      <w:pPr/>
      <w:r>
        <w:t xml:space="preserve">Araştırmacı sınıflandırması, bilişsel esneklik ve uyarlanabilirliği “çok güçlü aday” olarak değerlendirmektedir. Bilişsel esnekliğin gelişim ve ölçme kanıtı, daha geniş uyarlanabilirlik yapısının kanıtından ayrılmaktadır.</w:t>
      </w:r>
    </w:p>
    <w:p>
      <w:pPr/>
      <w:r>
        <w:t xml:space="preserve">Çabayı sürdürme ve psikolojik sağlamlık:</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120"/>
        <w:gridCol w:w="3759"/>
        <w:gridCol w:w="3759"/>
      </w:tblGrid>
      <w:tr>
        <w:trPr>
          <w:cantSplit/>
          <w:tblHeader/>
        </w:trPr>
        <w:tc>
          <w:tcPr>
            <w:tcW w:w="2120" w:type="dxa"/>
            <w:vAlign w:val="top"/>
            <w:shd w:fill="E9EEF3" w:val="clear"/>
          </w:tcPr>
          <w:p>
            <w:pPr>
              <w:spacing w:before="0" w:after="35" w:line="240" w:lineRule="auto"/>
            </w:pPr>
            <w:r>
              <w:rPr>
                <w:b/>
                <w:sz w:val="19"/>
              </w:rPr>
              <w:t xml:space="preserve">Ölçüt</w:t>
            </w:r>
          </w:p>
        </w:tc>
        <w:tc>
          <w:tcPr>
            <w:tcW w:w="3759" w:type="dxa"/>
            <w:vAlign w:val="top"/>
            <w:shd w:fill="E9EEF3" w:val="clear"/>
          </w:tcPr>
          <w:p>
            <w:pPr>
              <w:spacing w:before="0" w:after="35" w:line="240" w:lineRule="auto"/>
            </w:pPr>
            <w:r>
              <w:rPr>
                <w:b/>
                <w:sz w:val="19"/>
              </w:rPr>
              <w:t xml:space="preserve">Persistence</w:t>
            </w:r>
          </w:p>
        </w:tc>
        <w:tc>
          <w:tcPr>
            <w:tcW w:w="3759" w:type="dxa"/>
            <w:vAlign w:val="top"/>
            <w:shd w:fill="E9EEF3" w:val="clear"/>
          </w:tcPr>
          <w:p>
            <w:pPr>
              <w:spacing w:before="0" w:after="35" w:line="240" w:lineRule="auto"/>
            </w:pPr>
            <w:r>
              <w:rPr>
                <w:b/>
                <w:sz w:val="19"/>
              </w:rPr>
              <w:t xml:space="preserve">Resilience</w:t>
            </w:r>
          </w:p>
        </w:tc>
      </w:tr>
      <w:tr>
        <w:trPr>
          <w:cantSplit/>
        </w:trPr>
        <w:tc>
          <w:tcPr>
            <w:tcW w:w="2120" w:type="dxa"/>
            <w:vAlign w:val="top"/>
          </w:tcPr>
          <w:p>
            <w:pPr>
              <w:spacing w:before="0" w:after="35" w:line="240" w:lineRule="auto"/>
            </w:pPr>
            <w:r>
              <w:rPr>
                <w:sz w:val="19"/>
              </w:rPr>
              <w:t xml:space="preserve">Future relevance</w:t>
            </w:r>
          </w:p>
        </w:tc>
        <w:tc>
          <w:tcPr>
            <w:tcW w:w="3759" w:type="dxa"/>
            <w:vAlign w:val="top"/>
          </w:tcPr>
          <w:p>
            <w:pPr>
              <w:spacing w:before="0" w:after="35" w:line="240" w:lineRule="auto"/>
            </w:pPr>
            <w:r>
              <w:rPr>
                <w:sz w:val="19"/>
              </w:rPr>
              <w:t xml:space="preserve">5/5</w:t>
            </w:r>
          </w:p>
        </w:tc>
        <w:tc>
          <w:tcPr>
            <w:tcW w:w="3759" w:type="dxa"/>
            <w:vAlign w:val="top"/>
          </w:tcPr>
          <w:p>
            <w:pPr>
              <w:spacing w:before="0" w:after="35" w:line="240" w:lineRule="auto"/>
            </w:pPr>
            <w:r>
              <w:rPr>
                <w:sz w:val="19"/>
              </w:rPr>
              <w:t xml:space="preserve">5/5</w:t>
            </w:r>
          </w:p>
        </w:tc>
      </w:tr>
      <w:tr>
        <w:trPr>
          <w:cantSplit/>
        </w:trPr>
        <w:tc>
          <w:tcPr>
            <w:tcW w:w="2120" w:type="dxa"/>
            <w:vAlign w:val="top"/>
          </w:tcPr>
          <w:p>
            <w:pPr>
              <w:spacing w:before="0" w:after="35" w:line="240" w:lineRule="auto"/>
            </w:pPr>
            <w:r>
              <w:rPr>
                <w:sz w:val="19"/>
              </w:rPr>
              <w:t xml:space="preserve">Overall evidence</w:t>
            </w:r>
          </w:p>
        </w:tc>
        <w:tc>
          <w:tcPr>
            <w:tcW w:w="3759" w:type="dxa"/>
            <w:vAlign w:val="top"/>
          </w:tcPr>
          <w:p>
            <w:pPr>
              <w:spacing w:before="0" w:after="35" w:line="240" w:lineRule="auto"/>
            </w:pPr>
            <w:r>
              <w:rPr>
                <w:sz w:val="19"/>
              </w:rPr>
              <w:t xml:space="preserve">4/5</w:t>
            </w:r>
          </w:p>
        </w:tc>
        <w:tc>
          <w:tcPr>
            <w:tcW w:w="3759" w:type="dxa"/>
            <w:vAlign w:val="top"/>
          </w:tcPr>
          <w:p>
            <w:pPr>
              <w:spacing w:before="0" w:after="35" w:line="240" w:lineRule="auto"/>
            </w:pPr>
            <w:r>
              <w:rPr>
                <w:sz w:val="19"/>
              </w:rPr>
              <w:t xml:space="preserve">4/5</w:t>
            </w:r>
          </w:p>
        </w:tc>
      </w:tr>
      <w:tr>
        <w:trPr>
          <w:cantSplit/>
        </w:trPr>
        <w:tc>
          <w:tcPr>
            <w:tcW w:w="2120" w:type="dxa"/>
            <w:vAlign w:val="top"/>
          </w:tcPr>
          <w:p>
            <w:pPr>
              <w:spacing w:before="0" w:after="35" w:line="240" w:lineRule="auto"/>
            </w:pPr>
            <w:r>
              <w:rPr>
                <w:sz w:val="19"/>
              </w:rPr>
              <w:t xml:space="preserve">Teachability</w:t>
            </w:r>
          </w:p>
        </w:tc>
        <w:tc>
          <w:tcPr>
            <w:tcW w:w="3759" w:type="dxa"/>
            <w:vAlign w:val="top"/>
          </w:tcPr>
          <w:p>
            <w:pPr>
              <w:spacing w:before="0" w:after="35" w:line="240" w:lineRule="auto"/>
            </w:pPr>
            <w:r>
              <w:rPr>
                <w:sz w:val="19"/>
              </w:rPr>
              <w:t xml:space="preserve">4/5</w:t>
            </w:r>
          </w:p>
        </w:tc>
        <w:tc>
          <w:tcPr>
            <w:tcW w:w="3759" w:type="dxa"/>
            <w:vAlign w:val="top"/>
          </w:tcPr>
          <w:p>
            <w:pPr>
              <w:spacing w:before="0" w:after="35" w:line="240" w:lineRule="auto"/>
            </w:pPr>
            <w:r>
              <w:rPr>
                <w:sz w:val="19"/>
              </w:rPr>
              <w:t xml:space="preserve">3.5/5</w:t>
            </w:r>
          </w:p>
        </w:tc>
      </w:tr>
      <w:tr>
        <w:trPr>
          <w:cantSplit/>
        </w:trPr>
        <w:tc>
          <w:tcPr>
            <w:tcW w:w="2120" w:type="dxa"/>
            <w:vAlign w:val="top"/>
          </w:tcPr>
          <w:p>
            <w:pPr>
              <w:spacing w:before="0" w:after="35" w:line="240" w:lineRule="auto"/>
            </w:pPr>
            <w:r>
              <w:rPr>
                <w:sz w:val="19"/>
              </w:rPr>
              <w:t xml:space="preserve">Young-child evidence</w:t>
            </w:r>
          </w:p>
        </w:tc>
        <w:tc>
          <w:tcPr>
            <w:tcW w:w="3759" w:type="dxa"/>
            <w:vAlign w:val="top"/>
          </w:tcPr>
          <w:p>
            <w:pPr>
              <w:spacing w:before="0" w:after="35" w:line="240" w:lineRule="auto"/>
            </w:pPr>
            <w:r>
              <w:rPr>
                <w:sz w:val="19"/>
              </w:rPr>
              <w:t xml:space="preserve">3.5/5</w:t>
            </w:r>
          </w:p>
        </w:tc>
        <w:tc>
          <w:tcPr>
            <w:tcW w:w="3759" w:type="dxa"/>
            <w:vAlign w:val="top"/>
          </w:tcPr>
          <w:p>
            <w:pPr>
              <w:spacing w:before="0" w:after="35" w:line="240" w:lineRule="auto"/>
            </w:pPr>
            <w:r>
              <w:rPr>
                <w:sz w:val="19"/>
              </w:rPr>
              <w:t xml:space="preserve">3.5/5</w:t>
            </w:r>
          </w:p>
        </w:tc>
      </w:tr>
      <w:tr>
        <w:trPr>
          <w:cantSplit/>
        </w:trPr>
        <w:tc>
          <w:tcPr>
            <w:tcW w:w="2120" w:type="dxa"/>
            <w:vAlign w:val="top"/>
          </w:tcPr>
          <w:p>
            <w:pPr>
              <w:spacing w:before="0" w:after="35" w:line="240" w:lineRule="auto"/>
            </w:pPr>
            <w:r>
              <w:rPr>
                <w:sz w:val="19"/>
              </w:rPr>
              <w:t xml:space="preserve">Measurement maturity</w:t>
            </w:r>
          </w:p>
        </w:tc>
        <w:tc>
          <w:tcPr>
            <w:tcW w:w="3759" w:type="dxa"/>
            <w:vAlign w:val="top"/>
          </w:tcPr>
          <w:p>
            <w:pPr>
              <w:spacing w:before="0" w:after="35" w:line="240" w:lineRule="auto"/>
            </w:pPr>
            <w:r>
              <w:rPr>
                <w:sz w:val="19"/>
              </w:rPr>
              <w:t xml:space="preserve">3.5/5</w:t>
            </w:r>
          </w:p>
        </w:tc>
        <w:tc>
          <w:tcPr>
            <w:tcW w:w="3759" w:type="dxa"/>
            <w:vAlign w:val="top"/>
          </w:tcPr>
          <w:p>
            <w:pPr>
              <w:spacing w:before="0" w:after="35" w:line="240" w:lineRule="auto"/>
            </w:pPr>
            <w:r>
              <w:rPr>
                <w:sz w:val="19"/>
              </w:rPr>
              <w:t xml:space="preserve">3/5</w:t>
            </w:r>
          </w:p>
        </w:tc>
      </w:tr>
      <w:tr>
        <w:trPr>
          <w:cantSplit/>
        </w:trPr>
        <w:tc>
          <w:tcPr>
            <w:tcW w:w="2120" w:type="dxa"/>
            <w:vAlign w:val="top"/>
          </w:tcPr>
          <w:p>
            <w:pPr>
              <w:spacing w:before="0" w:after="35" w:line="240" w:lineRule="auto"/>
            </w:pPr>
            <w:r>
              <w:rPr>
                <w:sz w:val="19"/>
              </w:rPr>
              <w:t xml:space="preserve">Behavioural measurement</w:t>
            </w:r>
          </w:p>
        </w:tc>
        <w:tc>
          <w:tcPr>
            <w:tcW w:w="3759" w:type="dxa"/>
            <w:vAlign w:val="top"/>
          </w:tcPr>
          <w:p>
            <w:pPr>
              <w:spacing w:before="0" w:after="35" w:line="240" w:lineRule="auto"/>
            </w:pPr>
            <w:r>
              <w:rPr>
                <w:sz w:val="19"/>
              </w:rPr>
              <w:t xml:space="preserve">4/5 potansiyel</w:t>
            </w:r>
          </w:p>
        </w:tc>
        <w:tc>
          <w:tcPr>
            <w:tcW w:w="3759" w:type="dxa"/>
            <w:vAlign w:val="top"/>
          </w:tcPr>
          <w:p>
            <w:pPr>
              <w:spacing w:before="0" w:after="35" w:line="240" w:lineRule="auto"/>
            </w:pPr>
            <w:r>
              <w:rPr>
                <w:sz w:val="19"/>
              </w:rPr>
              <w:t xml:space="preserve">3/5</w:t>
            </w:r>
          </w:p>
        </w:tc>
      </w:tr>
      <w:tr>
        <w:trPr>
          <w:cantSplit/>
        </w:trPr>
        <w:tc>
          <w:tcPr>
            <w:tcW w:w="2120" w:type="dxa"/>
            <w:vAlign w:val="top"/>
          </w:tcPr>
          <w:p>
            <w:pPr>
              <w:spacing w:before="0" w:after="35" w:line="240" w:lineRule="auto"/>
            </w:pPr>
            <w:r>
              <w:rPr>
                <w:sz w:val="19"/>
              </w:rPr>
              <w:t xml:space="preserve">Digital suitability</w:t>
            </w:r>
          </w:p>
        </w:tc>
        <w:tc>
          <w:tcPr>
            <w:tcW w:w="3759" w:type="dxa"/>
            <w:vAlign w:val="top"/>
          </w:tcPr>
          <w:p>
            <w:pPr>
              <w:spacing w:before="0" w:after="35" w:line="240" w:lineRule="auto"/>
            </w:pPr>
            <w:r>
              <w:rPr>
                <w:sz w:val="19"/>
              </w:rPr>
              <w:t xml:space="preserve">5/5</w:t>
            </w:r>
          </w:p>
        </w:tc>
        <w:tc>
          <w:tcPr>
            <w:tcW w:w="3759" w:type="dxa"/>
            <w:vAlign w:val="top"/>
          </w:tcPr>
          <w:p>
            <w:pPr>
              <w:spacing w:before="0" w:after="35" w:line="240" w:lineRule="auto"/>
            </w:pPr>
            <w:r>
              <w:rPr>
                <w:sz w:val="19"/>
              </w:rPr>
              <w:t xml:space="preserve">4/5</w:t>
            </w:r>
          </w:p>
        </w:tc>
      </w:tr>
      <w:tr>
        <w:trPr>
          <w:cantSplit/>
        </w:trPr>
        <w:tc>
          <w:tcPr>
            <w:tcW w:w="2120" w:type="dxa"/>
            <w:vAlign w:val="top"/>
          </w:tcPr>
          <w:p>
            <w:pPr>
              <w:spacing w:before="0" w:after="35" w:line="240" w:lineRule="auto"/>
            </w:pPr>
            <w:r>
              <w:rPr>
                <w:sz w:val="19"/>
              </w:rPr>
              <w:t xml:space="preserve">Game suitability</w:t>
            </w:r>
          </w:p>
        </w:tc>
        <w:tc>
          <w:tcPr>
            <w:tcW w:w="3759" w:type="dxa"/>
            <w:vAlign w:val="top"/>
          </w:tcPr>
          <w:p>
            <w:pPr>
              <w:spacing w:before="0" w:after="35" w:line="240" w:lineRule="auto"/>
            </w:pPr>
            <w:r>
              <w:rPr>
                <w:sz w:val="19"/>
              </w:rPr>
              <w:t xml:space="preserve">5/5</w:t>
            </w:r>
          </w:p>
        </w:tc>
        <w:tc>
          <w:tcPr>
            <w:tcW w:w="3759" w:type="dxa"/>
            <w:vAlign w:val="top"/>
          </w:tcPr>
          <w:p>
            <w:pPr>
              <w:spacing w:before="0" w:after="35" w:line="240" w:lineRule="auto"/>
            </w:pPr>
            <w:r>
              <w:rPr>
                <w:sz w:val="19"/>
              </w:rPr>
              <w:t xml:space="preserve">4.5/5</w:t>
            </w:r>
          </w:p>
        </w:tc>
      </w:tr>
      <w:tr>
        <w:trPr>
          <w:cantSplit/>
        </w:trPr>
        <w:tc>
          <w:tcPr>
            <w:tcW w:w="2120" w:type="dxa"/>
            <w:vAlign w:val="top"/>
          </w:tcPr>
          <w:p>
            <w:pPr>
              <w:spacing w:before="0" w:after="35" w:line="240" w:lineRule="auto"/>
            </w:pPr>
            <w:r>
              <w:rPr>
                <w:sz w:val="19"/>
              </w:rPr>
              <w:t xml:space="preserve">Research opportunity</w:t>
            </w:r>
          </w:p>
        </w:tc>
        <w:tc>
          <w:tcPr>
            <w:tcW w:w="3759" w:type="dxa"/>
            <w:vAlign w:val="top"/>
          </w:tcPr>
          <w:p>
            <w:pPr>
              <w:spacing w:before="0" w:after="35" w:line="240" w:lineRule="auto"/>
            </w:pPr>
            <w:r>
              <w:rPr>
                <w:sz w:val="19"/>
              </w:rPr>
              <w:t xml:space="preserve">5/5</w:t>
            </w:r>
          </w:p>
        </w:tc>
        <w:tc>
          <w:tcPr>
            <w:tcW w:w="3759" w:type="dxa"/>
            <w:vAlign w:val="top"/>
          </w:tcPr>
          <w:p>
            <w:pPr>
              <w:spacing w:before="0" w:after="35" w:line="240" w:lineRule="auto"/>
            </w:pPr>
            <w:r>
              <w:rPr>
                <w:sz w:val="19"/>
              </w:rPr>
              <w:t xml:space="preserve">4.5/5</w:t>
            </w:r>
          </w:p>
        </w:tc>
      </w:tr>
    </w:tbl>
    <w:p>
      <w:pPr>
        <w:spacing w:after="50"/>
      </w:pPr>
    </w:p>
    <w:p>
      <w:pPr/>
      <w:r>
        <w:t xml:space="preserve">Araştırmacı sınıflandırmasında çabayı sürdürme “güçlü aday”, psikolojik sağlamlık ise “güçlü fakat bağlama duyarlı aday”dır. Psikolojik sağlamlığın bazı boyutlarda daha düşük puanlanması, öneminin daha az olmasından değil, ölçümün ve müdahale etkisinin bağlama daha fazla bağımlı olmasından kaynaklanmaktadır.</w:t>
      </w:r>
    </w:p>
    <w:p>
      <w:pPr/>
      <w:r>
        <w:t xml:space="preserve">Öğrenci eyleyiciliği:</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Ölçüt</w:t>
            </w:r>
          </w:p>
        </w:tc>
        <w:tc>
          <w:tcPr>
            <w:tcW w:w="6939" w:type="dxa"/>
            <w:vAlign w:val="top"/>
            <w:shd w:fill="E9EEF3" w:val="clear"/>
          </w:tcPr>
          <w:p>
            <w:pPr>
              <w:spacing w:before="0" w:after="35" w:line="240" w:lineRule="auto"/>
            </w:pPr>
            <w:r>
              <w:rPr>
                <w:b/>
                <w:sz w:val="19"/>
              </w:rPr>
              <w:t xml:space="preserve">Puan</w:t>
            </w:r>
          </w:p>
        </w:tc>
      </w:tr>
      <w:tr>
        <w:trPr>
          <w:cantSplit/>
        </w:trPr>
        <w:tc>
          <w:tcPr>
            <w:tcW w:w="2699" w:type="dxa"/>
            <w:vAlign w:val="top"/>
          </w:tcPr>
          <w:p>
            <w:pPr>
              <w:spacing w:before="0" w:after="35" w:line="240" w:lineRule="auto"/>
            </w:pPr>
            <w:r>
              <w:rPr>
                <w:sz w:val="19"/>
              </w:rPr>
              <w:t xml:space="preserve">Future relevance</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Policy/framework relevance</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Theoretical strength</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K–12 empirical evidence</w:t>
            </w:r>
          </w:p>
        </w:tc>
        <w:tc>
          <w:tcPr>
            <w:tcW w:w="6939" w:type="dxa"/>
            <w:vAlign w:val="top"/>
          </w:tcPr>
          <w:p>
            <w:pPr>
              <w:spacing w:before="0" w:after="35" w:line="240" w:lineRule="auto"/>
            </w:pPr>
            <w:r>
              <w:rPr>
                <w:sz w:val="19"/>
              </w:rPr>
              <w:t xml:space="preserve">4/5</w:t>
            </w:r>
          </w:p>
        </w:tc>
      </w:tr>
      <w:tr>
        <w:trPr>
          <w:cantSplit/>
        </w:trPr>
        <w:tc>
          <w:tcPr>
            <w:tcW w:w="2699" w:type="dxa"/>
            <w:vAlign w:val="top"/>
          </w:tcPr>
          <w:p>
            <w:pPr>
              <w:spacing w:before="0" w:after="35" w:line="240" w:lineRule="auto"/>
            </w:pPr>
            <w:r>
              <w:rPr>
                <w:sz w:val="19"/>
              </w:rPr>
              <w:t xml:space="preserve">Lower-primary evidence</w:t>
            </w:r>
          </w:p>
        </w:tc>
        <w:tc>
          <w:tcPr>
            <w:tcW w:w="6939" w:type="dxa"/>
            <w:vAlign w:val="top"/>
          </w:tcPr>
          <w:p>
            <w:pPr>
              <w:spacing w:before="0" w:after="35" w:line="240" w:lineRule="auto"/>
            </w:pPr>
            <w:r>
              <w:rPr>
                <w:sz w:val="19"/>
              </w:rPr>
              <w:t xml:space="preserve">3/5</w:t>
            </w:r>
          </w:p>
        </w:tc>
      </w:tr>
      <w:tr>
        <w:trPr>
          <w:cantSplit/>
        </w:trPr>
        <w:tc>
          <w:tcPr>
            <w:tcW w:w="2699" w:type="dxa"/>
            <w:vAlign w:val="top"/>
          </w:tcPr>
          <w:p>
            <w:pPr>
              <w:spacing w:before="0" w:after="35" w:line="240" w:lineRule="auto"/>
            </w:pPr>
            <w:r>
              <w:rPr>
                <w:sz w:val="19"/>
              </w:rPr>
              <w:t xml:space="preserve">Teachability/designability</w:t>
            </w:r>
          </w:p>
        </w:tc>
        <w:tc>
          <w:tcPr>
            <w:tcW w:w="6939" w:type="dxa"/>
            <w:vAlign w:val="top"/>
          </w:tcPr>
          <w:p>
            <w:pPr>
              <w:spacing w:before="0" w:after="35" w:line="240" w:lineRule="auto"/>
            </w:pPr>
            <w:r>
              <w:rPr>
                <w:sz w:val="19"/>
              </w:rPr>
              <w:t xml:space="preserve">4/5</w:t>
            </w:r>
          </w:p>
        </w:tc>
      </w:tr>
      <w:tr>
        <w:trPr>
          <w:cantSplit/>
        </w:trPr>
        <w:tc>
          <w:tcPr>
            <w:tcW w:w="2699" w:type="dxa"/>
            <w:vAlign w:val="top"/>
          </w:tcPr>
          <w:p>
            <w:pPr>
              <w:spacing w:before="0" w:after="35" w:line="240" w:lineRule="auto"/>
            </w:pPr>
            <w:r>
              <w:rPr>
                <w:sz w:val="19"/>
              </w:rPr>
              <w:t xml:space="preserve">Measurability</w:t>
            </w:r>
          </w:p>
        </w:tc>
        <w:tc>
          <w:tcPr>
            <w:tcW w:w="6939" w:type="dxa"/>
            <w:vAlign w:val="top"/>
          </w:tcPr>
          <w:p>
            <w:pPr>
              <w:spacing w:before="0" w:after="35" w:line="240" w:lineRule="auto"/>
            </w:pPr>
            <w:r>
              <w:rPr>
                <w:sz w:val="19"/>
              </w:rPr>
              <w:t xml:space="preserve">3.5/5</w:t>
            </w:r>
          </w:p>
        </w:tc>
      </w:tr>
      <w:tr>
        <w:trPr>
          <w:cantSplit/>
        </w:trPr>
        <w:tc>
          <w:tcPr>
            <w:tcW w:w="2699" w:type="dxa"/>
            <w:vAlign w:val="top"/>
          </w:tcPr>
          <w:p>
            <w:pPr>
              <w:spacing w:before="0" w:after="35" w:line="240" w:lineRule="auto"/>
            </w:pPr>
            <w:r>
              <w:rPr>
                <w:sz w:val="19"/>
              </w:rPr>
              <w:t xml:space="preserve">Digital suitability</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AI-era relevance</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Research opportunity</w:t>
            </w:r>
          </w:p>
        </w:tc>
        <w:tc>
          <w:tcPr>
            <w:tcW w:w="6939" w:type="dxa"/>
            <w:vAlign w:val="top"/>
          </w:tcPr>
          <w:p>
            <w:pPr>
              <w:spacing w:before="0" w:after="35" w:line="240" w:lineRule="auto"/>
            </w:pPr>
            <w:r>
              <w:rPr>
                <w:sz w:val="19"/>
              </w:rPr>
              <w:t xml:space="preserve">5/5</w:t>
            </w:r>
          </w:p>
        </w:tc>
      </w:tr>
    </w:tbl>
    <w:p>
      <w:pPr>
        <w:spacing w:after="50"/>
      </w:pPr>
    </w:p>
    <w:p>
      <w:pPr/>
      <w:r>
        <w:t xml:space="preserve">Araştırmacı sınıflandırması öğrenci eyleyiciliğini “çok güçlü aday” olarak değerlendirmektedir. Eyleyiciliğin tekil bir beceriden çok diğer yetkinlikleri öğrencinin amaçları doğrultusunda kullanmasını sağlayan üst düzey bir yönelim veya mekanizma olarak ele alınması, bölümün kuramsal yorumudur. Tablodaki K–12 boyutu, 86 çalışmalık secondary derlemenin bütün K–12 yaşlarına genellenebileceği anlamına gelmez.</w:t>
      </w:r>
    </w:p>
    <w:p>
      <w:pPr/>
      <w:r>
        <w:t xml:space="preserve">Bölümün sentezi, devam etme, strateji değiştirme, yardım arama ve hedefi yeniden tanımlama kararlarının birlikte incelenmesidir. Bu kararların A2'nin diğer yetkinlikleriyle ilişkileri ve eyleyiciliğin süreç boyunca korunmasına ilişkin ortak süreçler, A3'teki sentezle bağlantılıdır.</w:t>
      </w:r>
    </w:p>
    <w:p>
      <w:pPr>
        <w:pStyle w:val="Heading2"/>
        <w:pageBreakBefore/>
      </w:pPr>
      <w:bookmarkStart w:id="12" w:name="A2_10"/>
      <w:r>
        <w:t xml:space="preserve">A2.10. Sürdürülebilirlik Okuryazarlığı ve Gelecek Düşünmesi</w:t>
      </w:r>
      <w:bookmarkEnd w:id="12"/>
    </w:p>
    <w:p>
      <w:pPr>
        <w:pStyle w:val="Heading3"/>
      </w:pPr>
      <w:r>
        <w:t xml:space="preserve">Kavramsal kapsam ve yetkinlikler</w:t>
      </w:r>
    </w:p>
    <w:p>
      <w:pPr/>
      <w:r>
        <w:t xml:space="preserve">Sürdürülebilirlik okuryazarlığı (sustainability literacy), çevre, toplum ve ekonomi arasındaki sistemik ilişkileri anlamayı kapsar. Gelecek düşünmesi (futures thinking) ise tek bir geleceği tahmin etmekten çok hangi geleceklerin mümkün, muhtemel veya tercih edilir olduğunu ve bugünkü kararların bu gelecekleri nasıl etkileyebileceğini incelemektir.</w:t>
      </w:r>
    </w:p>
    <w:p>
      <w:pPr/>
      <w:r>
        <w:t xml:space="preserve">Redman ve Wiek'in sistematik derlemesinde binlerce yayın taranmış, 272 temel yayın ayrıntılı olarak analiz edilmiştir. Sentez, sürdürülebilirlik yetkinliğini tekil bir beceri olarak değil, yedi temel yetkinlik ve bunların bütünleştirilmesi üzerinden ele almaktadır.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Yetkinlik veya bütünleştirme boyutu</w:t>
            </w:r>
          </w:p>
        </w:tc>
        <w:tc>
          <w:tcPr>
            <w:tcW w:w="6939" w:type="dxa"/>
            <w:vAlign w:val="top"/>
            <w:shd w:fill="E9EEF3" w:val="clear"/>
          </w:tcPr>
          <w:p>
            <w:pPr>
              <w:spacing w:before="0" w:after="35" w:line="240" w:lineRule="auto"/>
            </w:pPr>
            <w:r>
              <w:rPr>
                <w:b/>
                <w:sz w:val="19"/>
              </w:rPr>
              <w:t xml:space="preserve">Temel soru</w:t>
            </w:r>
          </w:p>
        </w:tc>
      </w:tr>
      <w:tr>
        <w:trPr>
          <w:cantSplit/>
        </w:trPr>
        <w:tc>
          <w:tcPr>
            <w:tcW w:w="2699" w:type="dxa"/>
            <w:vAlign w:val="top"/>
          </w:tcPr>
          <w:p>
            <w:pPr>
              <w:spacing w:before="0" w:after="35" w:line="240" w:lineRule="auto"/>
            </w:pPr>
            <w:r>
              <w:rPr>
                <w:sz w:val="19"/>
              </w:rPr>
              <w:t xml:space="preserve">Sistem düşüncesi</w:t>
            </w:r>
          </w:p>
        </w:tc>
        <w:tc>
          <w:tcPr>
            <w:tcW w:w="6939" w:type="dxa"/>
            <w:vAlign w:val="top"/>
          </w:tcPr>
          <w:p>
            <w:pPr>
              <w:spacing w:before="0" w:after="35" w:line="240" w:lineRule="auto"/>
            </w:pPr>
            <w:r>
              <w:rPr>
                <w:sz w:val="19"/>
              </w:rPr>
              <w:t xml:space="preserve">Sistem nasıl çalışır?</w:t>
            </w:r>
          </w:p>
        </w:tc>
      </w:tr>
      <w:tr>
        <w:trPr>
          <w:cantSplit/>
        </w:trPr>
        <w:tc>
          <w:tcPr>
            <w:tcW w:w="2699" w:type="dxa"/>
            <w:vAlign w:val="top"/>
          </w:tcPr>
          <w:p>
            <w:pPr>
              <w:spacing w:before="0" w:after="35" w:line="240" w:lineRule="auto"/>
            </w:pPr>
            <w:r>
              <w:rPr>
                <w:sz w:val="19"/>
              </w:rPr>
              <w:t xml:space="preserve">Gelecek düşünmesi / öngörüsel düşünme</w:t>
            </w:r>
          </w:p>
        </w:tc>
        <w:tc>
          <w:tcPr>
            <w:tcW w:w="6939" w:type="dxa"/>
            <w:vAlign w:val="top"/>
          </w:tcPr>
          <w:p>
            <w:pPr>
              <w:spacing w:before="0" w:after="35" w:line="240" w:lineRule="auto"/>
            </w:pPr>
            <w:r>
              <w:rPr>
                <w:sz w:val="19"/>
              </w:rPr>
              <w:t xml:space="preserve">Gelecekte neler olabilir?</w:t>
            </w:r>
          </w:p>
        </w:tc>
      </w:tr>
      <w:tr>
        <w:trPr>
          <w:cantSplit/>
        </w:trPr>
        <w:tc>
          <w:tcPr>
            <w:tcW w:w="2699" w:type="dxa"/>
            <w:vAlign w:val="top"/>
          </w:tcPr>
          <w:p>
            <w:pPr>
              <w:spacing w:before="0" w:after="35" w:line="240" w:lineRule="auto"/>
            </w:pPr>
            <w:r>
              <w:rPr>
                <w:sz w:val="19"/>
              </w:rPr>
              <w:t xml:space="preserve">Değerler üzerine düşünme</w:t>
            </w:r>
          </w:p>
        </w:tc>
        <w:tc>
          <w:tcPr>
            <w:tcW w:w="6939" w:type="dxa"/>
            <w:vAlign w:val="top"/>
          </w:tcPr>
          <w:p>
            <w:pPr>
              <w:spacing w:before="0" w:after="35" w:line="240" w:lineRule="auto"/>
            </w:pPr>
            <w:r>
              <w:rPr>
                <w:sz w:val="19"/>
              </w:rPr>
              <w:t xml:space="preserve">Ne arzu edilir, adil veya sürdürülebilirdir?</w:t>
            </w:r>
          </w:p>
        </w:tc>
      </w:tr>
      <w:tr>
        <w:trPr>
          <w:cantSplit/>
        </w:trPr>
        <w:tc>
          <w:tcPr>
            <w:tcW w:w="2699" w:type="dxa"/>
            <w:vAlign w:val="top"/>
          </w:tcPr>
          <w:p>
            <w:pPr>
              <w:spacing w:before="0" w:after="35" w:line="240" w:lineRule="auto"/>
            </w:pPr>
            <w:r>
              <w:rPr>
                <w:sz w:val="19"/>
              </w:rPr>
              <w:t xml:space="preserve">Stratejik düşünme</w:t>
            </w:r>
          </w:p>
        </w:tc>
        <w:tc>
          <w:tcPr>
            <w:tcW w:w="6939" w:type="dxa"/>
            <w:vAlign w:val="top"/>
          </w:tcPr>
          <w:p>
            <w:pPr>
              <w:spacing w:before="0" w:after="35" w:line="240" w:lineRule="auto"/>
            </w:pPr>
            <w:r>
              <w:rPr>
                <w:sz w:val="19"/>
              </w:rPr>
              <w:t xml:space="preserve">İstenen geleceğe nasıl ulaşılabilir?</w:t>
            </w:r>
          </w:p>
        </w:tc>
      </w:tr>
      <w:tr>
        <w:trPr>
          <w:cantSplit/>
        </w:trPr>
        <w:tc>
          <w:tcPr>
            <w:tcW w:w="2699" w:type="dxa"/>
            <w:vAlign w:val="top"/>
          </w:tcPr>
          <w:p>
            <w:pPr>
              <w:spacing w:before="0" w:after="35" w:line="240" w:lineRule="auto"/>
            </w:pPr>
            <w:r>
              <w:rPr>
                <w:sz w:val="19"/>
              </w:rPr>
              <w:t xml:space="preserve">Kişiler arası yetkinlik</w:t>
            </w:r>
          </w:p>
        </w:tc>
        <w:tc>
          <w:tcPr>
            <w:tcW w:w="6939" w:type="dxa"/>
            <w:vAlign w:val="top"/>
          </w:tcPr>
          <w:p>
            <w:pPr>
              <w:spacing w:before="0" w:after="35" w:line="240" w:lineRule="auto"/>
            </w:pPr>
            <w:r>
              <w:rPr>
                <w:sz w:val="19"/>
              </w:rPr>
              <w:t xml:space="preserve">Başkalarıyla nasıl birlikte hareket edilebilir?</w:t>
            </w:r>
          </w:p>
        </w:tc>
      </w:tr>
      <w:tr>
        <w:trPr>
          <w:cantSplit/>
        </w:trPr>
        <w:tc>
          <w:tcPr>
            <w:tcW w:w="2699" w:type="dxa"/>
            <w:vAlign w:val="top"/>
          </w:tcPr>
          <w:p>
            <w:pPr>
              <w:spacing w:before="0" w:after="35" w:line="240" w:lineRule="auto"/>
            </w:pPr>
            <w:r>
              <w:rPr>
                <w:sz w:val="19"/>
              </w:rPr>
              <w:t xml:space="preserve">Uygulama</w:t>
            </w:r>
          </w:p>
        </w:tc>
        <w:tc>
          <w:tcPr>
            <w:tcW w:w="6939" w:type="dxa"/>
            <w:vAlign w:val="top"/>
          </w:tcPr>
          <w:p>
            <w:pPr>
              <w:spacing w:before="0" w:after="35" w:line="240" w:lineRule="auto"/>
            </w:pPr>
            <w:r>
              <w:rPr>
                <w:sz w:val="19"/>
              </w:rPr>
              <w:t xml:space="preserve">Çözüm nasıl hayata geçirilebilir?</w:t>
            </w:r>
          </w:p>
        </w:tc>
      </w:tr>
      <w:tr>
        <w:trPr>
          <w:cantSplit/>
        </w:trPr>
        <w:tc>
          <w:tcPr>
            <w:tcW w:w="2699" w:type="dxa"/>
            <w:vAlign w:val="top"/>
          </w:tcPr>
          <w:p>
            <w:pPr>
              <w:spacing w:before="0" w:after="35" w:line="240" w:lineRule="auto"/>
            </w:pPr>
            <w:r>
              <w:rPr>
                <w:sz w:val="19"/>
              </w:rPr>
              <w:t xml:space="preserve">Kişi içi yetkinlik</w:t>
            </w:r>
          </w:p>
        </w:tc>
        <w:tc>
          <w:tcPr>
            <w:tcW w:w="6939" w:type="dxa"/>
            <w:vAlign w:val="top"/>
          </w:tcPr>
          <w:p>
            <w:pPr>
              <w:spacing w:before="0" w:after="35" w:line="240" w:lineRule="auto"/>
            </w:pPr>
            <w:r>
              <w:rPr>
                <w:sz w:val="19"/>
              </w:rPr>
              <w:t xml:space="preserve">Kişi kendi değerlerini, duygularını ve motivasyonunu nasıl yönetebilir?</w:t>
            </w:r>
          </w:p>
        </w:tc>
      </w:tr>
      <w:tr>
        <w:trPr>
          <w:cantSplit/>
        </w:trPr>
        <w:tc>
          <w:tcPr>
            <w:tcW w:w="2699" w:type="dxa"/>
            <w:vAlign w:val="top"/>
          </w:tcPr>
          <w:p>
            <w:pPr>
              <w:spacing w:before="0" w:after="35" w:line="240" w:lineRule="auto"/>
            </w:pPr>
            <w:r>
              <w:rPr>
                <w:sz w:val="19"/>
              </w:rPr>
              <w:t xml:space="preserve">Bütünleştirme</w:t>
            </w:r>
          </w:p>
        </w:tc>
        <w:tc>
          <w:tcPr>
            <w:tcW w:w="6939" w:type="dxa"/>
            <w:vAlign w:val="top"/>
          </w:tcPr>
          <w:p>
            <w:pPr>
              <w:spacing w:before="0" w:after="35" w:line="240" w:lineRule="auto"/>
            </w:pPr>
            <w:r>
              <w:rPr>
                <w:sz w:val="19"/>
              </w:rPr>
              <w:t xml:space="preserve">Bu yetkinlikler gerçek bir problemde nasıl birlikte kullanılabilir?</w:t>
            </w:r>
          </w:p>
        </w:tc>
      </w:tr>
    </w:tbl>
    <w:p>
      <w:pPr>
        <w:spacing w:after="50"/>
      </w:pPr>
    </w:p>
    <w:p>
      <w:pPr/>
      <w:r>
        <w:t xml:space="preserve">2025 tarihli sürdürülebilirlik ve çevre okuryazarlığı sistematik derlemesi, literatürün bilgiyle sınırlı kalmayıp beceri, değer, tutum, davranış ve yurttaşlık boyutlarını kapsayacak biçimde genişlediğini göstermektedir. Dolayısıyla çevreye ilişkin bir olguyu bilmek ile bir kararın sağlık, ekonomi, ulaşım, gıda güvenliği ve farklı toplumsal gruplar üzerindeki etkilerini birlikte değerlendirmek aynı değildir. Bu kapsam, sürdürülebilirlik okuryazarlığını A2.5'teki sistem düşüncesiyle; ayrıca problem çözme, iş birliği ve eyleyicilikle ilişkilendirir.</w:t>
      </w:r>
    </w:p>
    <w:p>
      <w:pPr/>
      <w:r>
        <w:t xml:space="preserve">Sürdürülebilirlik literatüründeki sentezlerde gelecek düşünmesi; birden fazla gelecek oluşturma, senaryo geliştirme, uzun dönemli sonuçları değerlendirme, belirsizliği hesaba katma, gelecek nesilleri dikkate alma ve bugünkü müdahalelerin gelecekteki sonuçlarını incelemeyle ilişkilendirilir. Eğitimsel çözümleme için mümkün gelecekler (“Ne olabilir?”), muhtemel gelecekler (“Ne olması daha olasıdır?”), tercih edilen gelecekler (“Ne olmasını isteriz?”) ve eylem (“Tercih edilen geleceğe yaklaşmak için bugün ne yapılabilir?”) ayrımı kullanılabilir.</w:t>
      </w:r>
    </w:p>
    <w:p>
      <w:pPr>
        <w:pStyle w:val="Heading3"/>
      </w:pPr>
      <w:r>
        <w:t xml:space="preserve">Çocuklara özgü bulgular ve gelişimsel sınırlar</w:t>
      </w:r>
    </w:p>
    <w:p>
      <w:pPr/>
      <w:r>
        <w:t xml:space="preserve">Vidergor'un 335 ilkokul ve ortaokul öğrencisini kapsayan yarı deneysel çalışmasında, gelecek düşünmesi temelli öğretim programına katılan öğrencilerin hem bireysel hem grup düzeyindeki gelecek düşünme göstergelerinde kontrol grubuna göre gelişme bulunmuştur. Bu bulgu, çocukların gelecek senaryoları kuramayacağı varsayımıyla bağdaşmamaktadır. Bununla birlikte, yarı deneysel tasarım ve kapsanan okul düzeyleri dikkate alınmalı; sonuç bütün çocuk yaşlarına eşit ölçüde genellenmemelidir. Yaşla birlikte senaryo karmaşıklığının artabileceği beklentisi de bu tek çalışmadan türetilmiş kesin bir gelişimsel norm olarak ele alınmamalıdır.</w:t>
      </w:r>
    </w:p>
    <w:p>
      <w:pPr/>
      <w:r>
        <w:t xml:space="preserve">İlkokul düzeyindeki sürdürülebilirlik yetkinliklerini inceleyen sistematik derlemede yalnızca 14 uygun çalışma bulunmuştur. Sistem düşüncesi ve iş birliği en fazla incelenen yetkinlikler arasındayken, gelecek düşünmesi en az incelenenlerden biridir. Bu durum, A1'de gelecek okuryazarlığının gelişmekte olan bir yetkinlik alanı olarak sınıflandırılmasıyla tutarlıdır.</w:t>
      </w:r>
    </w:p>
    <w:p>
      <w:pPr/>
      <w:r>
        <w:t xml:space="preserve">2024 tarihli ayrı bir araştırmada, 10–13 yaş aralığındaki 352 beşinci ve altıncı sınıf öğrencisinden yaşadıkları şehir veya kasabanın muhtemel ve tercih ettikleri geleceklerini anlatmaları istenmiştir. Anlatılarda çevre, kirlilik, iklim, şehirleşme, sosyal sorunlar ve insan davranışı temaları görülmüştür. Çok sayıda gelecek vizyonu kötümserdir; sürdürülebilir geleceğin ne kadar bütüncül düşünüldüğü bakımından belirgin bireysel farklılıklar bulunmaktadır. Bu araştırma, 335 öğrencilik yarı deneysel müdahale çalışmasından farklıdır; anlatı bulguları müdahale etkisi olarak yorumlanmamalıdır.</w:t>
      </w:r>
    </w:p>
    <w:p>
      <w:pPr/>
      <w:r>
        <w:t xml:space="preserve">352 öğrencilik çalışma, gelecek düşünmesinin karmaşıklığını değerlendirmek için araçlara ve pedagojik müdahalelere duyulan ihtiyacı da vurgulamaktadır. Çocukların gelecek hakkında düşünebilmesi, bu düşüncenin kendiliğinden umutlu, sistemik veya eylem odaklı olduğu anlamına gelmez. Gelecek düşünmesinin politika ve kuram açısından önemi ile çocuklarda öğretim ve ölçümüne ilişkin ampirik kanıtın olgunluğu ayrılmalıdır; mevcut çocuk literatürü eleştirel düşünme alanıyla aynı kanıt genişliğine sahip değildir.</w:t>
      </w:r>
    </w:p>
    <w:p>
      <w:pPr>
        <w:pStyle w:val="Heading3"/>
      </w:pPr>
      <w:r>
        <w:t xml:space="preserve">Pedagojik yaklaşımlar, gerçekçi umut ve eyleyicilik</w:t>
      </w:r>
    </w:p>
    <w:p>
      <w:pPr/>
      <w:r>
        <w:t xml:space="preserve">2019–2024 dönemindeki 28 makaleyi inceleyen sistematik derleme, problem temelli öğrenme, proje temelli öğrenme ve hizmet ederek öğrenme yaklaşımlarını öne çıkarmaktadır. UNESCO'nun güncel Sürdürülebilir Kalkınma için Eğitim (ESD) yaklaşımı da eğitimi yalnızca bilgi aktarımı değil; bilişsel, sosyal-duygusal ve davranışsal yetkinlikleri birlikte geliştiren dönüştürücü bir süreç olarak ele alır. Bu yönelim, sürdürülebilirlik hakkında soruları yanıtlamanın yanında sürdürülebilirlik problemlerinde karar verme ve eylemi incelemeyi gerektirir.</w:t>
      </w:r>
    </w:p>
    <w:p>
      <w:pPr/>
      <w:r>
        <w:t xml:space="preserve">Umut temelli iklim pedagojisi literatüründe umut, problemi küçümseme veya her şeyin kendiliğinden düzeleceğine inanma değildir. Sorunu dürüstçe kabul etme, duyguları işleme, olası çözüm yollarını görme ve eylem kapasitesiyle ilişkilendirilir. Bilişsel, duygusal ve eylemsel boyutları birlikte ele alan bu yaklaşım, gerçekçi olmayan iyimserlik ile çaresizlik arasında bir ayrım kurar.</w:t>
      </w:r>
    </w:p>
    <w:p>
      <w:pPr/>
      <w:r>
        <w:t xml:space="preserve">Çevre kaygısı ve iklim kaynaklı sıkıntı bağlamında, çocukların sorunların farkına varırken gerçekçi umut ve eyleyicilik geliştirebilmesi pedagojik bir amaç olarak değerlendirilebilir. Bu, belirli bir müdahalenin çocukların kaygısını azalttığına veya eyleyiciliğini artırdığına ilişkin kanıtlanmış bir sonuç değildir. Sürdürülebilirlik eğitiminin problem farkındalığıyla birlikte çaresizlik yerine gerçekçi umut ve eylem kapasitesini destekleyip desteklemediği, çocukların iyi oluşunu gözeten etik araştırmalarla incelenmelidir.</w:t>
      </w:r>
    </w:p>
    <w:p>
      <w:pPr>
        <w:pStyle w:val="Heading3"/>
      </w:pPr>
      <w:r>
        <w:t xml:space="preserve">Ölçme kanıtı ve senaryo temelli araştırma</w:t>
      </w:r>
    </w:p>
    <w:p>
      <w:pPr/>
      <w:r>
        <w:t xml:space="preserve">2025 tarihli, doğrudan ilkokul eğitimindeki sürdürülebilirlik değerlendirmelerini inceleyen sistematik derlemede 28 özgün çalışma bulunmuştur. Anketler, görüşmeler, performans gözlemleri ve çizimler kullanılan yöntemler arasındadır; anketler ve sonuç odaklı değerlendirme en yaygın yaklaşımlardır. Bu dağılım, yetkinliğin yalnızca anket puanıyla eşitlenmemesi gerektiğini göstermektedir.</w:t>
      </w:r>
    </w:p>
    <w:p>
      <w:pPr/>
      <w:r>
        <w:t xml:space="preserve">Daha geniş kapsamlı sürdürülebilirlik yetkinliği değerlendirme derlemesindeki araştırmaların yaklaşık %87'si yükseköğretim bağlamındadır. Bu ağırlık, yükseköğretimde kullanılan araçların veya bulguların çocuklara doğrudan aktarılmasını haklı kılmaz. İlkokul değerlendirme derlemesindeki 28 çalışma ile 2019–2024 dönemindeki pedagojileri inceleyen 28 makale de farklı derlemelere aittir. Çocukların sürdürülebilirlik yetkinliklerini özgün görevler ve süreç verileriyle değerlendirmek, gelişmekte olan bir araştırma alanıdır.</w:t>
      </w:r>
    </w:p>
    <w:p>
      <w:pPr/>
      <w:r>
        <w:t xml:space="preserve">Sürdürülebilirlik problemleri; farklı paydaşları, sınırlı kaynakları, uzun vadeli sonuçları, ödünleşimleri, belirsizliği, geri bildirimi ve değer çatışmalarını birlikte içerir. Senaryo ve simülasyonlar, gecikmeli veya istenmeyen sonuçları incelemek için bir araştırma yaklaşımı olarak düşünülebilir. Buradaki uygunluk değerlendirmesi, çocuklarda kanıtlanmış öğrenme veya aktarım etkisi değildir; A2.5'teki sistem düşüncesiyle kavramsal bağlantıdır.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Araştırılabilecek senaryo süreci</w:t>
            </w:r>
          </w:p>
        </w:tc>
        <w:tc>
          <w:tcPr>
            <w:tcW w:w="6939" w:type="dxa"/>
            <w:vAlign w:val="top"/>
            <w:shd w:fill="E9EEF3" w:val="clear"/>
          </w:tcPr>
          <w:p>
            <w:pPr>
              <w:spacing w:before="0" w:after="35" w:line="240" w:lineRule="auto"/>
            </w:pPr>
            <w:r>
              <w:rPr>
                <w:b/>
                <w:sz w:val="19"/>
              </w:rPr>
              <w:t xml:space="preserve">İncelenebilecek düşünme boyutu</w:t>
            </w:r>
          </w:p>
        </w:tc>
      </w:tr>
      <w:tr>
        <w:trPr>
          <w:cantSplit/>
        </w:trPr>
        <w:tc>
          <w:tcPr>
            <w:tcW w:w="2699" w:type="dxa"/>
            <w:vAlign w:val="top"/>
          </w:tcPr>
          <w:p>
            <w:pPr>
              <w:spacing w:before="0" w:after="35" w:line="240" w:lineRule="auto"/>
            </w:pPr>
            <w:r>
              <w:rPr>
                <w:sz w:val="19"/>
              </w:rPr>
              <w:t xml:space="preserve">Mevcut davranışın devam ettiği gelecek ile farklı müdahale senaryolarını karşılaştırma</w:t>
            </w:r>
          </w:p>
        </w:tc>
        <w:tc>
          <w:tcPr>
            <w:tcW w:w="6939" w:type="dxa"/>
            <w:vAlign w:val="top"/>
          </w:tcPr>
          <w:p>
            <w:pPr>
              <w:spacing w:before="0" w:after="35" w:line="240" w:lineRule="auto"/>
            </w:pPr>
            <w:r>
              <w:rPr>
                <w:sz w:val="19"/>
              </w:rPr>
              <w:t xml:space="preserve">Birden fazla mümkün ve muhtemel gelecek oluşturma.</w:t>
            </w:r>
          </w:p>
        </w:tc>
      </w:tr>
      <w:tr>
        <w:trPr>
          <w:cantSplit/>
        </w:trPr>
        <w:tc>
          <w:tcPr>
            <w:tcW w:w="2699" w:type="dxa"/>
            <w:vAlign w:val="top"/>
          </w:tcPr>
          <w:p>
            <w:pPr>
              <w:spacing w:before="0" w:after="35" w:line="240" w:lineRule="auto"/>
            </w:pPr>
            <w:r>
              <w:rPr>
                <w:sz w:val="19"/>
              </w:rPr>
              <w:t xml:space="preserve">Kısa ve uzun vadeli sonuçları karşılaştırma</w:t>
            </w:r>
          </w:p>
        </w:tc>
        <w:tc>
          <w:tcPr>
            <w:tcW w:w="6939" w:type="dxa"/>
            <w:vAlign w:val="top"/>
          </w:tcPr>
          <w:p>
            <w:pPr>
              <w:spacing w:before="0" w:after="35" w:line="240" w:lineRule="auto"/>
            </w:pPr>
            <w:r>
              <w:rPr>
                <w:sz w:val="19"/>
              </w:rPr>
              <w:t xml:space="preserve">Gecikmeli ve istenmeyen sonuçları değerlendirme.</w:t>
            </w:r>
          </w:p>
        </w:tc>
      </w:tr>
      <w:tr>
        <w:trPr>
          <w:cantSplit/>
        </w:trPr>
        <w:tc>
          <w:tcPr>
            <w:tcW w:w="2699" w:type="dxa"/>
            <w:vAlign w:val="top"/>
          </w:tcPr>
          <w:p>
            <w:pPr>
              <w:spacing w:before="0" w:after="35" w:line="240" w:lineRule="auto"/>
            </w:pPr>
            <w:r>
              <w:rPr>
                <w:sz w:val="19"/>
              </w:rPr>
              <w:t xml:space="preserve">Kimlerin yarar sağladığını, kimlerin zarar gördüğünü ve hangi yeni sorunların doğduğunu inceleme</w:t>
            </w:r>
          </w:p>
        </w:tc>
        <w:tc>
          <w:tcPr>
            <w:tcW w:w="6939" w:type="dxa"/>
            <w:vAlign w:val="top"/>
          </w:tcPr>
          <w:p>
            <w:pPr>
              <w:spacing w:before="0" w:after="35" w:line="240" w:lineRule="auto"/>
            </w:pPr>
            <w:r>
              <w:rPr>
                <w:sz w:val="19"/>
              </w:rPr>
              <w:t xml:space="preserve">Paydaşlar, ödünleşimler ve değerler üzerine düşünme.</w:t>
            </w:r>
          </w:p>
        </w:tc>
      </w:tr>
      <w:tr>
        <w:trPr>
          <w:cantSplit/>
        </w:trPr>
        <w:tc>
          <w:tcPr>
            <w:tcW w:w="2699" w:type="dxa"/>
            <w:vAlign w:val="top"/>
          </w:tcPr>
          <w:p>
            <w:pPr>
              <w:spacing w:before="0" w:after="35" w:line="240" w:lineRule="auto"/>
            </w:pPr>
            <w:r>
              <w:rPr>
                <w:sz w:val="19"/>
              </w:rPr>
              <w:t xml:space="preserve">Tercih edilen geleceği seçme ve gerekçelendirme</w:t>
            </w:r>
          </w:p>
        </w:tc>
        <w:tc>
          <w:tcPr>
            <w:tcW w:w="6939" w:type="dxa"/>
            <w:vAlign w:val="top"/>
          </w:tcPr>
          <w:p>
            <w:pPr>
              <w:spacing w:before="0" w:after="35" w:line="240" w:lineRule="auto"/>
            </w:pPr>
            <w:r>
              <w:rPr>
                <w:sz w:val="19"/>
              </w:rPr>
              <w:t xml:space="preserve">Gelecek düşünmesi, sistem düşüncesi, değer muhakemesi ve eleştirel düşünmeyi birlikte kullanma.</w:t>
            </w:r>
          </w:p>
        </w:tc>
      </w:tr>
      <w:tr>
        <w:trPr>
          <w:cantSplit/>
        </w:trPr>
        <w:tc>
          <w:tcPr>
            <w:tcW w:w="2699" w:type="dxa"/>
            <w:vAlign w:val="top"/>
          </w:tcPr>
          <w:p>
            <w:pPr>
              <w:spacing w:before="0" w:after="35" w:line="240" w:lineRule="auto"/>
            </w:pPr>
            <w:r>
              <w:rPr>
                <w:sz w:val="19"/>
              </w:rPr>
              <w:t xml:space="preserve">Tercih edilen geleceğe yönelik eylemlerin sonuçlarını karşılaştırma</w:t>
            </w:r>
          </w:p>
        </w:tc>
        <w:tc>
          <w:tcPr>
            <w:tcW w:w="6939" w:type="dxa"/>
            <w:vAlign w:val="top"/>
          </w:tcPr>
          <w:p>
            <w:pPr>
              <w:spacing w:before="0" w:after="35" w:line="240" w:lineRule="auto"/>
            </w:pPr>
            <w:r>
              <w:rPr>
                <w:sz w:val="19"/>
              </w:rPr>
              <w:t xml:space="preserve">Gelecek tasavvuru ile bugünkü kararlar arasında ilişki kurma.</w:t>
            </w:r>
          </w:p>
        </w:tc>
      </w:tr>
    </w:tbl>
    <w:p>
      <w:pPr>
        <w:spacing w:after="50"/>
      </w:pPr>
    </w:p>
    <w:p>
      <w:pPr>
        <w:pStyle w:val="Heading3"/>
      </w:pPr>
      <w:r>
        <w:t xml:space="preserve">Değerler, nesiller arası muhakeme ve ulusal çerçeve</w:t>
      </w:r>
    </w:p>
    <w:p>
      <w:pPr/>
      <w:r>
        <w:t xml:space="preserve">Sürdürülebilirlik problemlerinde tek bir doğru cevap bulunmayabilir. Çevresel koruma ile yerel toplulukların ekonomik ihtiyaçları arasındaki gerilimler, hangi değerlerin, kimlerin ihtiyaçlarının ve hangi zaman ölçeklerinin dikkate alındığını açıklaştırmayı gerektirir. Sürdürülebilirlik literatüründeki sentezlerde değerler üzerine düşünme; etik, adalet, hedefler, ödünleşimler ve farklı değerleri uzlaştırma ile ilişkilendirilir. Bu kapsam, A2.8'deki empati ve iş birliğiyle bağlantılıdır.</w:t>
      </w:r>
    </w:p>
    <w:p>
      <w:pPr/>
      <w:r>
        <w:t xml:space="preserve">Nesiller arası muhakeme, bugünkü kararların henüz doğmamış insanlara uzanan sonuçlarını dikkate almayı içerir. Türkiye Yüzyılı Maarif Modeli, sürdürülebilirlik okuryazarlığını sınırlı kaynakları koruma ve nesiller arası eşitliği gözetmeyle ilişkili bilgi, beceri ve tutumlarla tanımlar. Bu çerçevede anlık yarar ile uzun vadeli ortak sonuçların birlikte değerlendirilmesi önem taşır.</w:t>
      </w:r>
    </w:p>
    <w:p>
      <w:pPr/>
      <w:r>
        <w:t xml:space="preserve">Modelde OB8 — Sürdürülebilirlik Okuryazarlığı kapsamında sürdürülebilirliği, sürdürülebilir ve sürdürülemez sistemleri, sistem parçaları arasındaki sosyal-ekonomik-çevresel ilişkileri ve döngüleri anlama süreçleri yer alır. Daha ileri süreçler; sistem davranışını tahmin eden araçları kullanma, sürdürülebilirlik problemlerini çözme ve çözümü eyleme dönüştürmeyi kapsar. Bu yapı, sistemleri anlama, sonuçları öngörme, karar verme ve eylem arasındaki kavramsal bağlantıyı destekler.</w:t>
      </w:r>
    </w:p>
    <w:p>
      <w:pPr>
        <w:pStyle w:val="Heading3"/>
      </w:pPr>
      <w:r>
        <w:t xml:space="preserve">Kanıt puanları ve bölüm sentezi</w:t>
      </w:r>
    </w:p>
    <w:p>
      <w:pPr/>
      <w:r>
        <w:t xml:space="preserve">Aşağıdaki Evidence Score tabloları araştırmacı kodlamalarıdır. Boyut adları ve sayısal değerler korunmuştur; puanlar standart ölçme aracı veya meta-analitik etki büyüklüğü değildir.</w:t>
      </w:r>
    </w:p>
    <w:p>
      <w:pPr/>
      <w:r>
        <w:t xml:space="preserve">Sürdürülebilirlik okuryazarlığı:</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Ölçüt</w:t>
            </w:r>
          </w:p>
        </w:tc>
        <w:tc>
          <w:tcPr>
            <w:tcW w:w="6939" w:type="dxa"/>
            <w:vAlign w:val="top"/>
            <w:shd w:fill="E9EEF3" w:val="clear"/>
          </w:tcPr>
          <w:p>
            <w:pPr>
              <w:spacing w:before="0" w:after="35" w:line="240" w:lineRule="auto"/>
            </w:pPr>
            <w:r>
              <w:rPr>
                <w:b/>
                <w:sz w:val="19"/>
              </w:rPr>
              <w:t xml:space="preserve">Puan</w:t>
            </w:r>
          </w:p>
        </w:tc>
      </w:tr>
      <w:tr>
        <w:trPr>
          <w:cantSplit/>
        </w:trPr>
        <w:tc>
          <w:tcPr>
            <w:tcW w:w="2699" w:type="dxa"/>
            <w:vAlign w:val="top"/>
          </w:tcPr>
          <w:p>
            <w:pPr>
              <w:spacing w:before="0" w:after="35" w:line="240" w:lineRule="auto"/>
            </w:pPr>
            <w:r>
              <w:rPr>
                <w:sz w:val="19"/>
              </w:rPr>
              <w:t xml:space="preserve">Future relevance</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Policy/framework relevance</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Overall evidence</w:t>
            </w:r>
          </w:p>
        </w:tc>
        <w:tc>
          <w:tcPr>
            <w:tcW w:w="6939" w:type="dxa"/>
            <w:vAlign w:val="top"/>
          </w:tcPr>
          <w:p>
            <w:pPr>
              <w:spacing w:before="0" w:after="35" w:line="240" w:lineRule="auto"/>
            </w:pPr>
            <w:r>
              <w:rPr>
                <w:sz w:val="19"/>
              </w:rPr>
              <w:t xml:space="preserve">4/5</w:t>
            </w:r>
          </w:p>
        </w:tc>
      </w:tr>
      <w:tr>
        <w:trPr>
          <w:cantSplit/>
        </w:trPr>
        <w:tc>
          <w:tcPr>
            <w:tcW w:w="2699" w:type="dxa"/>
            <w:vAlign w:val="top"/>
          </w:tcPr>
          <w:p>
            <w:pPr>
              <w:spacing w:before="0" w:after="35" w:line="240" w:lineRule="auto"/>
            </w:pPr>
            <w:r>
              <w:rPr>
                <w:sz w:val="19"/>
              </w:rPr>
              <w:t xml:space="preserve">Primary-school evidence</w:t>
            </w:r>
          </w:p>
        </w:tc>
        <w:tc>
          <w:tcPr>
            <w:tcW w:w="6939" w:type="dxa"/>
            <w:vAlign w:val="top"/>
          </w:tcPr>
          <w:p>
            <w:pPr>
              <w:spacing w:before="0" w:after="35" w:line="240" w:lineRule="auto"/>
            </w:pPr>
            <w:r>
              <w:rPr>
                <w:sz w:val="19"/>
              </w:rPr>
              <w:t xml:space="preserve">3.5/5</w:t>
            </w:r>
          </w:p>
        </w:tc>
      </w:tr>
      <w:tr>
        <w:trPr>
          <w:cantSplit/>
        </w:trPr>
        <w:tc>
          <w:tcPr>
            <w:tcW w:w="2699" w:type="dxa"/>
            <w:vAlign w:val="top"/>
          </w:tcPr>
          <w:p>
            <w:pPr>
              <w:spacing w:before="0" w:after="35" w:line="240" w:lineRule="auto"/>
            </w:pPr>
            <w:r>
              <w:rPr>
                <w:sz w:val="19"/>
              </w:rPr>
              <w:t xml:space="preserve">Teachability</w:t>
            </w:r>
          </w:p>
        </w:tc>
        <w:tc>
          <w:tcPr>
            <w:tcW w:w="6939" w:type="dxa"/>
            <w:vAlign w:val="top"/>
          </w:tcPr>
          <w:p>
            <w:pPr>
              <w:spacing w:before="0" w:after="35" w:line="240" w:lineRule="auto"/>
            </w:pPr>
            <w:r>
              <w:rPr>
                <w:sz w:val="19"/>
              </w:rPr>
              <w:t xml:space="preserve">4/5</w:t>
            </w:r>
          </w:p>
        </w:tc>
      </w:tr>
      <w:tr>
        <w:trPr>
          <w:cantSplit/>
        </w:trPr>
        <w:tc>
          <w:tcPr>
            <w:tcW w:w="2699" w:type="dxa"/>
            <w:vAlign w:val="top"/>
          </w:tcPr>
          <w:p>
            <w:pPr>
              <w:spacing w:before="0" w:after="35" w:line="240" w:lineRule="auto"/>
            </w:pPr>
            <w:r>
              <w:rPr>
                <w:sz w:val="19"/>
              </w:rPr>
              <w:t xml:space="preserve">Developmental clarity</w:t>
            </w:r>
          </w:p>
        </w:tc>
        <w:tc>
          <w:tcPr>
            <w:tcW w:w="6939" w:type="dxa"/>
            <w:vAlign w:val="top"/>
          </w:tcPr>
          <w:p>
            <w:pPr>
              <w:spacing w:before="0" w:after="35" w:line="240" w:lineRule="auto"/>
            </w:pPr>
            <w:r>
              <w:rPr>
                <w:sz w:val="19"/>
              </w:rPr>
              <w:t xml:space="preserve">3/5</w:t>
            </w:r>
          </w:p>
        </w:tc>
      </w:tr>
      <w:tr>
        <w:trPr>
          <w:cantSplit/>
        </w:trPr>
        <w:tc>
          <w:tcPr>
            <w:tcW w:w="2699" w:type="dxa"/>
            <w:vAlign w:val="top"/>
          </w:tcPr>
          <w:p>
            <w:pPr>
              <w:spacing w:before="0" w:after="35" w:line="240" w:lineRule="auto"/>
            </w:pPr>
            <w:r>
              <w:rPr>
                <w:sz w:val="19"/>
              </w:rPr>
              <w:t xml:space="preserve">Measurability</w:t>
            </w:r>
          </w:p>
        </w:tc>
        <w:tc>
          <w:tcPr>
            <w:tcW w:w="6939" w:type="dxa"/>
            <w:vAlign w:val="top"/>
          </w:tcPr>
          <w:p>
            <w:pPr>
              <w:spacing w:before="0" w:after="35" w:line="240" w:lineRule="auto"/>
            </w:pPr>
            <w:r>
              <w:rPr>
                <w:sz w:val="19"/>
              </w:rPr>
              <w:t xml:space="preserve">3.5/5</w:t>
            </w:r>
          </w:p>
        </w:tc>
      </w:tr>
      <w:tr>
        <w:trPr>
          <w:cantSplit/>
        </w:trPr>
        <w:tc>
          <w:tcPr>
            <w:tcW w:w="2699" w:type="dxa"/>
            <w:vAlign w:val="top"/>
          </w:tcPr>
          <w:p>
            <w:pPr>
              <w:spacing w:before="0" w:after="35" w:line="240" w:lineRule="auto"/>
            </w:pPr>
            <w:r>
              <w:rPr>
                <w:sz w:val="19"/>
              </w:rPr>
              <w:t xml:space="preserve">Transfer</w:t>
            </w:r>
          </w:p>
        </w:tc>
        <w:tc>
          <w:tcPr>
            <w:tcW w:w="6939" w:type="dxa"/>
            <w:vAlign w:val="top"/>
          </w:tcPr>
          <w:p>
            <w:pPr>
              <w:spacing w:before="0" w:after="35" w:line="240" w:lineRule="auto"/>
            </w:pPr>
            <w:r>
              <w:rPr>
                <w:sz w:val="19"/>
              </w:rPr>
              <w:t xml:space="preserve">3.5/5</w:t>
            </w:r>
          </w:p>
        </w:tc>
      </w:tr>
      <w:tr>
        <w:trPr>
          <w:cantSplit/>
        </w:trPr>
        <w:tc>
          <w:tcPr>
            <w:tcW w:w="2699" w:type="dxa"/>
            <w:vAlign w:val="top"/>
          </w:tcPr>
          <w:p>
            <w:pPr>
              <w:spacing w:before="0" w:after="35" w:line="240" w:lineRule="auto"/>
            </w:pPr>
            <w:r>
              <w:rPr>
                <w:sz w:val="19"/>
              </w:rPr>
              <w:t xml:space="preserve">Digital/simulation suitability</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Game suitability</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Research opportunity</w:t>
            </w:r>
          </w:p>
        </w:tc>
        <w:tc>
          <w:tcPr>
            <w:tcW w:w="6939" w:type="dxa"/>
            <w:vAlign w:val="top"/>
          </w:tcPr>
          <w:p>
            <w:pPr>
              <w:spacing w:before="0" w:after="35" w:line="240" w:lineRule="auto"/>
            </w:pPr>
            <w:r>
              <w:rPr>
                <w:sz w:val="19"/>
              </w:rPr>
              <w:t xml:space="preserve">4.5/5</w:t>
            </w:r>
          </w:p>
        </w:tc>
      </w:tr>
    </w:tbl>
    <w:p>
      <w:pPr>
        <w:spacing w:after="50"/>
      </w:pPr>
    </w:p>
    <w:p>
      <w:pPr/>
      <w:r>
        <w:t xml:space="preserve">Araştırmacı sınıflandırması sürdürülebilirlik okuryazarlığını “güçlü aday” olarak değerlendirmektedir.</w:t>
      </w:r>
    </w:p>
    <w:p>
      <w:pPr/>
      <w:r>
        <w:t xml:space="preserve">Gelecek düşünmesi:</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Ölçüt</w:t>
            </w:r>
          </w:p>
        </w:tc>
        <w:tc>
          <w:tcPr>
            <w:tcW w:w="6939" w:type="dxa"/>
            <w:vAlign w:val="top"/>
            <w:shd w:fill="E9EEF3" w:val="clear"/>
          </w:tcPr>
          <w:p>
            <w:pPr>
              <w:spacing w:before="0" w:after="35" w:line="240" w:lineRule="auto"/>
            </w:pPr>
            <w:r>
              <w:rPr>
                <w:b/>
                <w:sz w:val="19"/>
              </w:rPr>
              <w:t xml:space="preserve">Puan</w:t>
            </w:r>
          </w:p>
        </w:tc>
      </w:tr>
      <w:tr>
        <w:trPr>
          <w:cantSplit/>
        </w:trPr>
        <w:tc>
          <w:tcPr>
            <w:tcW w:w="2699" w:type="dxa"/>
            <w:vAlign w:val="top"/>
          </w:tcPr>
          <w:p>
            <w:pPr>
              <w:spacing w:before="0" w:after="35" w:line="240" w:lineRule="auto"/>
            </w:pPr>
            <w:r>
              <w:rPr>
                <w:sz w:val="19"/>
              </w:rPr>
              <w:t xml:space="preserve">Future relevance</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Theoretical/framework relevance</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Overall empirical evidence</w:t>
            </w:r>
          </w:p>
        </w:tc>
        <w:tc>
          <w:tcPr>
            <w:tcW w:w="6939" w:type="dxa"/>
            <w:vAlign w:val="top"/>
          </w:tcPr>
          <w:p>
            <w:pPr>
              <w:spacing w:before="0" w:after="35" w:line="240" w:lineRule="auto"/>
            </w:pPr>
            <w:r>
              <w:rPr>
                <w:sz w:val="19"/>
              </w:rPr>
              <w:t xml:space="preserve">3/5</w:t>
            </w:r>
          </w:p>
        </w:tc>
      </w:tr>
      <w:tr>
        <w:trPr>
          <w:cantSplit/>
        </w:trPr>
        <w:tc>
          <w:tcPr>
            <w:tcW w:w="2699" w:type="dxa"/>
            <w:vAlign w:val="top"/>
          </w:tcPr>
          <w:p>
            <w:pPr>
              <w:spacing w:before="0" w:after="35" w:line="240" w:lineRule="auto"/>
            </w:pPr>
            <w:r>
              <w:rPr>
                <w:sz w:val="19"/>
              </w:rPr>
              <w:t xml:space="preserve">Child-specific evidence</w:t>
            </w:r>
          </w:p>
        </w:tc>
        <w:tc>
          <w:tcPr>
            <w:tcW w:w="6939" w:type="dxa"/>
            <w:vAlign w:val="top"/>
          </w:tcPr>
          <w:p>
            <w:pPr>
              <w:spacing w:before="0" w:after="35" w:line="240" w:lineRule="auto"/>
            </w:pPr>
            <w:r>
              <w:rPr>
                <w:sz w:val="19"/>
              </w:rPr>
              <w:t xml:space="preserve">3/5</w:t>
            </w:r>
          </w:p>
        </w:tc>
      </w:tr>
      <w:tr>
        <w:trPr>
          <w:cantSplit/>
        </w:trPr>
        <w:tc>
          <w:tcPr>
            <w:tcW w:w="2699" w:type="dxa"/>
            <w:vAlign w:val="top"/>
          </w:tcPr>
          <w:p>
            <w:pPr>
              <w:spacing w:before="0" w:after="35" w:line="240" w:lineRule="auto"/>
            </w:pPr>
            <w:r>
              <w:rPr>
                <w:sz w:val="19"/>
              </w:rPr>
              <w:t xml:space="preserve">Teachability</w:t>
            </w:r>
          </w:p>
        </w:tc>
        <w:tc>
          <w:tcPr>
            <w:tcW w:w="6939" w:type="dxa"/>
            <w:vAlign w:val="top"/>
          </w:tcPr>
          <w:p>
            <w:pPr>
              <w:spacing w:before="0" w:after="35" w:line="240" w:lineRule="auto"/>
            </w:pPr>
            <w:r>
              <w:rPr>
                <w:sz w:val="19"/>
              </w:rPr>
              <w:t xml:space="preserve">3.5/5</w:t>
            </w:r>
          </w:p>
        </w:tc>
      </w:tr>
      <w:tr>
        <w:trPr>
          <w:cantSplit/>
        </w:trPr>
        <w:tc>
          <w:tcPr>
            <w:tcW w:w="2699" w:type="dxa"/>
            <w:vAlign w:val="top"/>
          </w:tcPr>
          <w:p>
            <w:pPr>
              <w:spacing w:before="0" w:after="35" w:line="240" w:lineRule="auto"/>
            </w:pPr>
            <w:r>
              <w:rPr>
                <w:sz w:val="19"/>
              </w:rPr>
              <w:t xml:space="preserve">Developmental clarity</w:t>
            </w:r>
          </w:p>
        </w:tc>
        <w:tc>
          <w:tcPr>
            <w:tcW w:w="6939" w:type="dxa"/>
            <w:vAlign w:val="top"/>
          </w:tcPr>
          <w:p>
            <w:pPr>
              <w:spacing w:before="0" w:after="35" w:line="240" w:lineRule="auto"/>
            </w:pPr>
            <w:r>
              <w:rPr>
                <w:sz w:val="19"/>
              </w:rPr>
              <w:t xml:space="preserve">2.5/5</w:t>
            </w:r>
          </w:p>
        </w:tc>
      </w:tr>
      <w:tr>
        <w:trPr>
          <w:cantSplit/>
        </w:trPr>
        <w:tc>
          <w:tcPr>
            <w:tcW w:w="2699" w:type="dxa"/>
            <w:vAlign w:val="top"/>
          </w:tcPr>
          <w:p>
            <w:pPr>
              <w:spacing w:before="0" w:after="35" w:line="240" w:lineRule="auto"/>
            </w:pPr>
            <w:r>
              <w:rPr>
                <w:sz w:val="19"/>
              </w:rPr>
              <w:t xml:space="preserve">Measurability</w:t>
            </w:r>
          </w:p>
        </w:tc>
        <w:tc>
          <w:tcPr>
            <w:tcW w:w="6939" w:type="dxa"/>
            <w:vAlign w:val="top"/>
          </w:tcPr>
          <w:p>
            <w:pPr>
              <w:spacing w:before="0" w:after="35" w:line="240" w:lineRule="auto"/>
            </w:pPr>
            <w:r>
              <w:rPr>
                <w:sz w:val="19"/>
              </w:rPr>
              <w:t xml:space="preserve">3/5</w:t>
            </w:r>
          </w:p>
        </w:tc>
      </w:tr>
      <w:tr>
        <w:trPr>
          <w:cantSplit/>
        </w:trPr>
        <w:tc>
          <w:tcPr>
            <w:tcW w:w="2699" w:type="dxa"/>
            <w:vAlign w:val="top"/>
          </w:tcPr>
          <w:p>
            <w:pPr>
              <w:spacing w:before="0" w:after="35" w:line="240" w:lineRule="auto"/>
            </w:pPr>
            <w:r>
              <w:rPr>
                <w:sz w:val="19"/>
              </w:rPr>
              <w:t xml:space="preserve">Transfer</w:t>
            </w:r>
          </w:p>
        </w:tc>
        <w:tc>
          <w:tcPr>
            <w:tcW w:w="6939" w:type="dxa"/>
            <w:vAlign w:val="top"/>
          </w:tcPr>
          <w:p>
            <w:pPr>
              <w:spacing w:before="0" w:after="35" w:line="240" w:lineRule="auto"/>
            </w:pPr>
            <w:r>
              <w:rPr>
                <w:sz w:val="19"/>
              </w:rPr>
              <w:t xml:space="preserve">2.5/5</w:t>
            </w:r>
          </w:p>
        </w:tc>
      </w:tr>
      <w:tr>
        <w:trPr>
          <w:cantSplit/>
        </w:trPr>
        <w:tc>
          <w:tcPr>
            <w:tcW w:w="2699" w:type="dxa"/>
            <w:vAlign w:val="top"/>
          </w:tcPr>
          <w:p>
            <w:pPr>
              <w:spacing w:before="0" w:after="35" w:line="240" w:lineRule="auto"/>
            </w:pPr>
            <w:r>
              <w:rPr>
                <w:sz w:val="19"/>
              </w:rPr>
              <w:t xml:space="preserve">Digital/simulation suitability</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Game suitability</w:t>
            </w:r>
          </w:p>
        </w:tc>
        <w:tc>
          <w:tcPr>
            <w:tcW w:w="6939" w:type="dxa"/>
            <w:vAlign w:val="top"/>
          </w:tcPr>
          <w:p>
            <w:pPr>
              <w:spacing w:before="0" w:after="35" w:line="240" w:lineRule="auto"/>
            </w:pPr>
            <w:r>
              <w:rPr>
                <w:sz w:val="19"/>
              </w:rPr>
              <w:t xml:space="preserve">5/5</w:t>
            </w:r>
          </w:p>
        </w:tc>
      </w:tr>
      <w:tr>
        <w:trPr>
          <w:cantSplit/>
        </w:trPr>
        <w:tc>
          <w:tcPr>
            <w:tcW w:w="2699" w:type="dxa"/>
            <w:vAlign w:val="top"/>
          </w:tcPr>
          <w:p>
            <w:pPr>
              <w:spacing w:before="0" w:after="35" w:line="240" w:lineRule="auto"/>
            </w:pPr>
            <w:r>
              <w:rPr>
                <w:sz w:val="19"/>
              </w:rPr>
              <w:t xml:space="preserve">Research opportunity</w:t>
            </w:r>
          </w:p>
        </w:tc>
        <w:tc>
          <w:tcPr>
            <w:tcW w:w="6939" w:type="dxa"/>
            <w:vAlign w:val="top"/>
          </w:tcPr>
          <w:p>
            <w:pPr>
              <w:spacing w:before="0" w:after="35" w:line="240" w:lineRule="auto"/>
            </w:pPr>
            <w:r>
              <w:rPr>
                <w:sz w:val="19"/>
              </w:rPr>
              <w:t xml:space="preserve">5/5</w:t>
            </w:r>
          </w:p>
        </w:tc>
      </w:tr>
    </w:tbl>
    <w:p>
      <w:pPr>
        <w:spacing w:after="50"/>
      </w:pPr>
    </w:p>
    <w:p>
      <w:pPr/>
      <w:r>
        <w:t xml:space="preserve">Gelecek düşünmesi, araştırmacı sınıflandırmasında “gelişmekte olan, yüksek potansiyelli aday”dır. Bu sınıflandırma alanın önemsiz veya zayıf olduğunu değil, çocuklara özgü ampirik literatürün henüz genç olduğunu ifade eder.</w:t>
      </w:r>
    </w:p>
    <w:p>
      <w:pPr/>
      <w:r>
        <w:t xml:space="preserve">Bölümün pedagojik sentezi, sosyal, ekonomik ve çevresel ilişkileri anlayarak alternatif gelecekleri karşılaştırma ve tercih edilen geleceğe yönelik gerçekçi eylemleri değerlendirmedir. Yetkinliklerin açık uçlu problemlerde birlikte çalışan düşünme ve eylem süreçleri olarak ele alınması ve insan eyleyiciliğinin korunması, A3'teki ortak süreçler ve sentezle bağlantılıdır; burada bağımsız bir ampirik bulgu veya doğrulanmış öğretim modeli olarak ileri sürülmemektedir.</w:t>
      </w:r>
    </w:p>
    <w:p>
      <w:pPr>
        <w:pStyle w:val="Heading2"/>
      </w:pPr>
      <w:bookmarkStart w:id="15" w:name="A2_11"/>
      <w:r>
        <w:rPr>
          <w:b w:val="0"/>
          <w:i w:val="0"/>
        </w:rPr>
        <w:t>A2.11. Çapraz Pedagojik Sentez (Learning Sciences)</w:t>
      </w:r>
      <w:bookmarkEnd w:id="15"/>
    </w:p>
    <w:p>
      <w:pPr/>
      <w:r>
        <w:rPr>
          <w:b w:val="0"/>
          <w:i w:val="0"/>
        </w:rPr>
        <w:t>Bu bölüm yeni bir yetkinlik tanımlamaz. A2.1–A2.10 boyunca farklı alanlarda tekrar eden pedagojik bulguları, öğrenme bilimlerindeki temel sentezlerle birleştirerek demo tasarımında kullanılacak çapraz ilkeleri belirler. Amaç, belirli bir pedagojiyi evrensel olarak üstün ilan etmek değil; çocukların etkin katılımını korurken gereksiz bilişsel yükü azaltan, uygun rehberlik ve geri bildirim sağlayan bir öğrenme ortamı için asgari tasarım ilkelerini oluşturmaktır.</w:t>
      </w:r>
    </w:p>
    <w:p>
      <w:pPr>
        <w:pStyle w:val="Heading3"/>
      </w:pPr>
      <w:r>
        <w:rPr>
          <w:b w:val="0"/>
          <w:i w:val="0"/>
        </w:rPr>
        <w:t>Rehberli keşif, guided play ve scaffolding</w:t>
      </w:r>
    </w:p>
    <w:p>
      <w:pPr/>
      <w:r>
        <w:rPr>
          <w:b w:val="0"/>
          <w:i w:val="0"/>
        </w:rPr>
        <w:t>Skene ve arkadaşlarının (2022) guided play sistematik derleme ve meta-analizi 39 çalışmayı incelemiş; 17 çalışma ve toplam 3.893 çocuk meta-analize alınmıştır. Yaş aralığı 1–8 olan bu literatürde guided play, bazı erken matematik, şekil bilgisi, görev değiştirme ve uzamsal sözcük dağarcığı sonuçlarında doğrudan öğretim veya serbest oyuna göre avantaj göstermiştir; ancak bütün sonuçlarda üstünlük bulunmamış ve uygulamalar arasında önemli heterojenlik görülmüştür. Bu nedenle guided play, serbest bırakılmış oyunla eşdeğer değildir; öğrenme amacı, çocuğun etkin seçimi ve uygun yetişkin/sistem rehberliğinin birlikte bulunmasını gerektirir.</w:t>
      </w:r>
    </w:p>
    <w:p>
      <w:pPr/>
      <w:r>
        <w:rPr>
          <w:b w:val="0"/>
          <w:i w:val="0"/>
        </w:rPr>
        <w:t>Daha geniş keşif ve inquiry literatürü de rehberliğin önemini desteklemektedir. Alfieri ve arkadaşlarının (2011) meta-analizinde yardımsız keşif, çoğu koşulda açık öğretimden daha zayıf sonuç verirken (d = -0.38), geri bildirim, örnek, scaffolding veya açıklama üretme gibi destekler içeren geliştirilmiş keşif diğer öğretim biçimlerine göre olumlu sonuç vermiştir (d = 0.30). Lazonder ve Harmsen'in (2016) 72 çalışmalık meta-analizi de inquiry sırasında rehberliğin öğrenme etkinlikleri (d = 0.66), görev başarısı (d = 0.71) ve öğrenme çıktıları (d = 0.50) üzerinde olumlu ortalama etkilerini bildirmiştir. Pedagojik sonuç, çocuğun problemi kendisinin çözmesine alan açarken ihtiyaç halinde ipucu, soru, örnek veya görev parçalama desteği sunmaktır.</w:t>
      </w:r>
    </w:p>
    <w:p>
      <w:pPr>
        <w:pStyle w:val="Heading3"/>
      </w:pPr>
      <w:r>
        <w:rPr>
          <w:b w:val="0"/>
          <w:i w:val="0"/>
        </w:rPr>
        <w:t>Geri bildirim, yansıtma ve çocuğun karar yetkisi</w:t>
      </w:r>
    </w:p>
    <w:p>
      <w:pPr/>
      <w:r>
        <w:rPr>
          <w:b w:val="0"/>
          <w:i w:val="0"/>
        </w:rPr>
        <w:t>A2 bulgularında problem çözme, eleştirel düşünme, yaratıcılık ve öz-düzenleme için geri bildirim yalnızca doğru/yanlış bildirimi olarak değil, hatanın nedenini inceleme, stratejiyi değiştirme ve sonraki denemeyi planlama aracı olarak öne çıkmaktadır. Wisniewski, Zierer ve Hattie'nin (2020) 435 çalışma, 994 etki ve 61.000'den fazla öğrenciyi kapsayan meta-analizinde geri bildirimin öğrenme üzerindeki ortalama etkisi d = 0.48'dir; ancak etkiler geri bildirimin taşıdığı bilgiye göre belirgin biçimde değişmektedir. Dolayısıyla puan, rozet veya yalnızca 'yanlış' mesajı tek başına pedagojik geri bildirim sayılmamalıdır.</w:t>
      </w:r>
    </w:p>
    <w:p>
      <w:pPr/>
      <w:r>
        <w:rPr>
          <w:b w:val="0"/>
          <w:i w:val="0"/>
        </w:rPr>
        <w:t>Demo açısından geri bildirim, mümkün olduğunda öğrencinin çözümünü hemen devralmak yerine hangi bilgiyi gözden geçirebileceğini, hangi varsayımı sınayabileceğini veya hangi stratejiyi değiştirebileceğini görünür kılmalıdır. Destek gerektiğinde artabilmeli, çocuk ilerledikçe azaltılabilmelidir. Bu yaklaşım A2.4 ve A2.9'daki öz-düzenleme ve eyleyicilik sınırıyla uyumludur: sistem performansı kolaylaştırabilir, fakat hedef, strateji ve kararların tamamını sürekli olarak çocuk adına vermemelidir.</w:t>
      </w:r>
    </w:p>
    <w:p>
      <w:pPr>
        <w:pStyle w:val="Heading3"/>
      </w:pPr>
      <w:r>
        <w:rPr>
          <w:b w:val="0"/>
          <w:i w:val="0"/>
        </w:rPr>
        <w:t>Bilişsel yük, bilgi temeli ve transfer</w:t>
      </w:r>
    </w:p>
    <w:p>
      <w:pPr/>
      <w:r>
        <w:rPr>
          <w:b w:val="0"/>
          <w:i w:val="0"/>
        </w:rPr>
        <w:t>Cognitive Load Theory, yeni bilgiyi işlerken çalışma belleğinin sınırlı kapasitesinin öğretim tasarımında dikkate alınmasını vurgular (Sweller, van Merriënboer ve Paas, 2019). A2'de küçük çocuklar için tekrar eden somut, görsel ve düşük sözel yüklü görev bulgularıyla birlikte değerlendirildiğinde bu ilke; gereksiz metin, arayüz karmaşası ve aynı anda çok sayıda yeni kuralın azaltılmasını destekler. Bununla birlikte arayüzün sadeleştirilmesi, hedef bilişsel problemin yapay biçimde kolaylaştırılması anlamına gelmemelidir.</w:t>
      </w:r>
    </w:p>
    <w:p>
      <w:pPr/>
      <w:r>
        <w:rPr>
          <w:b w:val="0"/>
          <w:i w:val="0"/>
        </w:rPr>
        <w:t>Üst düzey yetkinlikler alan bilgisinden bağımsız değildir. Retrieval practice için okul ve sınıf ortamlarındaki 50 deney ve 5.374 öğrenciyi inceleyen sistematik derlemede, 49 etkinin çoğunda öğrenme açısından olumlu sonuçlar bildirilmiştir (Agarwal, Nunes ve Blunt, 2021). Bu bulgu, gerekli kavram ve bilgilerin hatırlanmasını desteklemek için kısa retrieval etkinliklerinin kullanılabileceğini gösterir; ancak doğru bilgiyi hatırlamak critical thinking, problem solving veya systems thinking ile eşdeğer değildir. A2 boyunca görülen near/far transfer ayrımı da korunmalı; bir görevde öğrenilen stratejinin farklı bağlamlara aktarımı ayrıca sınanmalıdır.</w:t>
      </w:r>
    </w:p>
    <w:p>
      <w:pPr>
        <w:pStyle w:val="Heading3"/>
      </w:pPr>
      <w:r>
        <w:rPr>
          <w:b w:val="0"/>
          <w:i w:val="0"/>
        </w:rPr>
        <w:t>Demo öncesi asgari pedagojik tasarım ilkeleri</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vAlign w:val="center"/>
            <w:shd w:fill="D9E2F3"/>
          </w:tcPr>
          <w:p>
            <w:pPr>
              <w:spacing w:before="0" w:after="0" w:line="228" w:lineRule="auto"/>
            </w:pPr>
            <w:r/>
            <w:r>
              <w:rPr>
                <w:b/>
                <w:sz w:val="15"/>
              </w:rPr>
              <w:t>İlke</w:t>
            </w:r>
          </w:p>
        </w:tc>
        <w:tc>
          <w:tcPr>
            <w:tcW w:type="dxa" w:w="4082"/>
            <w:vAlign w:val="center"/>
            <w:shd w:fill="D9E2F3"/>
          </w:tcPr>
          <w:p>
            <w:pPr>
              <w:spacing w:before="0" w:after="0" w:line="228" w:lineRule="auto"/>
            </w:pPr>
            <w:r/>
            <w:r>
              <w:rPr>
                <w:b/>
                <w:sz w:val="15"/>
              </w:rPr>
              <w:t>Demo tasarımındaki karşılığı</w:t>
            </w:r>
          </w:p>
        </w:tc>
        <w:tc>
          <w:tcPr>
            <w:tcW w:type="dxa" w:w="3288"/>
            <w:vAlign w:val="center"/>
            <w:shd w:fill="D9E2F3"/>
          </w:tcPr>
          <w:p>
            <w:pPr>
              <w:spacing w:before="0" w:after="0" w:line="228" w:lineRule="auto"/>
            </w:pPr>
            <w:r/>
            <w:r>
              <w:rPr>
                <w:b/>
                <w:sz w:val="15"/>
              </w:rPr>
              <w:t>Sınır</w:t>
            </w:r>
          </w:p>
        </w:tc>
      </w:tr>
      <w:tr>
        <w:trPr>
          <w:cantSplit/>
        </w:trPr>
        <w:tc>
          <w:tcPr>
            <w:tcW w:type="dxa" w:w="1928"/>
            <w:vAlign w:val="center"/>
          </w:tcPr>
          <w:p>
            <w:pPr>
              <w:spacing w:before="0" w:after="0" w:line="228" w:lineRule="auto"/>
            </w:pPr>
            <w:r/>
            <w:r>
              <w:rPr>
                <w:b w:val="0"/>
                <w:sz w:val="14"/>
              </w:rPr>
              <w:t>Anlamlı görev ve etkin katılım</w:t>
            </w:r>
          </w:p>
        </w:tc>
        <w:tc>
          <w:tcPr>
            <w:tcW w:type="dxa" w:w="4082"/>
            <w:vAlign w:val="center"/>
          </w:tcPr>
          <w:p>
            <w:pPr>
              <w:spacing w:before="0" w:after="0" w:line="228" w:lineRule="auto"/>
            </w:pPr>
            <w:r/>
            <w:r>
              <w:rPr>
                <w:b w:val="0"/>
                <w:sz w:val="14"/>
              </w:rPr>
              <w:t>Çocuk yalnızca yanıt seçmek yerine bilgi toplar, seçenek üretir, karar verir ve sonucu gözler.</w:t>
            </w:r>
          </w:p>
        </w:tc>
        <w:tc>
          <w:tcPr>
            <w:tcW w:type="dxa" w:w="3288"/>
            <w:vAlign w:val="center"/>
          </w:tcPr>
          <w:p>
            <w:pPr>
              <w:spacing w:before="0" w:after="0" w:line="228" w:lineRule="auto"/>
            </w:pPr>
            <w:r/>
            <w:r>
              <w:rPr>
                <w:b w:val="0"/>
                <w:sz w:val="14"/>
              </w:rPr>
              <w:t>Etkileşim tek başına öğrenme kanıtı değildir.</w:t>
            </w:r>
          </w:p>
        </w:tc>
      </w:tr>
      <w:tr>
        <w:trPr>
          <w:cantSplit/>
        </w:trPr>
        <w:tc>
          <w:tcPr>
            <w:tcW w:type="dxa" w:w="1928"/>
            <w:vAlign w:val="center"/>
          </w:tcPr>
          <w:p>
            <w:pPr>
              <w:spacing w:before="0" w:after="0" w:line="228" w:lineRule="auto"/>
            </w:pPr>
            <w:r/>
            <w:r>
              <w:rPr>
                <w:b w:val="0"/>
                <w:sz w:val="14"/>
              </w:rPr>
              <w:t>Rehberli keşif</w:t>
            </w:r>
          </w:p>
        </w:tc>
        <w:tc>
          <w:tcPr>
            <w:tcW w:type="dxa" w:w="4082"/>
            <w:vAlign w:val="center"/>
          </w:tcPr>
          <w:p>
            <w:pPr>
              <w:spacing w:before="0" w:after="0" w:line="228" w:lineRule="auto"/>
            </w:pPr>
            <w:r/>
            <w:r>
              <w:rPr>
                <w:b w:val="0"/>
                <w:sz w:val="14"/>
              </w:rPr>
              <w:t>İpucu, soru, örnek veya görev parçalama desteği ihtiyaç halinde sunulur; çözüm doğrudan verilmez.</w:t>
            </w:r>
          </w:p>
        </w:tc>
        <w:tc>
          <w:tcPr>
            <w:tcW w:type="dxa" w:w="3288"/>
            <w:vAlign w:val="center"/>
          </w:tcPr>
          <w:p>
            <w:pPr>
              <w:spacing w:before="0" w:after="0" w:line="228" w:lineRule="auto"/>
            </w:pPr>
            <w:r/>
            <w:r>
              <w:rPr>
                <w:b w:val="0"/>
                <w:sz w:val="14"/>
              </w:rPr>
              <w:t>Yardımsız keşif ve aşırı kontrol varsayılan yaklaşım olmamalıdır.</w:t>
            </w:r>
          </w:p>
        </w:tc>
      </w:tr>
      <w:tr>
        <w:trPr>
          <w:cantSplit/>
        </w:trPr>
        <w:tc>
          <w:tcPr>
            <w:tcW w:type="dxa" w:w="1928"/>
            <w:vAlign w:val="center"/>
          </w:tcPr>
          <w:p>
            <w:pPr>
              <w:spacing w:before="0" w:after="0" w:line="228" w:lineRule="auto"/>
            </w:pPr>
            <w:r/>
            <w:r>
              <w:rPr>
                <w:b w:val="0"/>
                <w:sz w:val="14"/>
              </w:rPr>
              <w:t>Scaffolding ve fading</w:t>
            </w:r>
          </w:p>
        </w:tc>
        <w:tc>
          <w:tcPr>
            <w:tcW w:type="dxa" w:w="4082"/>
            <w:vAlign w:val="center"/>
          </w:tcPr>
          <w:p>
            <w:pPr>
              <w:spacing w:before="0" w:after="0" w:line="228" w:lineRule="auto"/>
            </w:pPr>
            <w:r/>
            <w:r>
              <w:rPr>
                <w:b w:val="0"/>
                <w:sz w:val="14"/>
              </w:rPr>
              <w:t>Destek başlangıçta erişilebilir, ilerleme oldukça azaltılabilir; yardım isteme davranışı kaydedilebilir.</w:t>
            </w:r>
          </w:p>
        </w:tc>
        <w:tc>
          <w:tcPr>
            <w:tcW w:type="dxa" w:w="3288"/>
            <w:vAlign w:val="center"/>
          </w:tcPr>
          <w:p>
            <w:pPr>
              <w:spacing w:before="0" w:after="0" w:line="228" w:lineRule="auto"/>
            </w:pPr>
            <w:r/>
            <w:r>
              <w:rPr>
                <w:b w:val="0"/>
                <w:sz w:val="14"/>
              </w:rPr>
              <w:t>Desteğin azalması otomatik yetkinlik çıkarımı anlamına gelmez.</w:t>
            </w:r>
          </w:p>
        </w:tc>
      </w:tr>
      <w:tr>
        <w:trPr>
          <w:cantSplit/>
        </w:trPr>
        <w:tc>
          <w:tcPr>
            <w:tcW w:type="dxa" w:w="1928"/>
            <w:vAlign w:val="center"/>
          </w:tcPr>
          <w:p>
            <w:pPr>
              <w:spacing w:before="0" w:after="0" w:line="228" w:lineRule="auto"/>
            </w:pPr>
            <w:r/>
            <w:r>
              <w:rPr>
                <w:b w:val="0"/>
                <w:sz w:val="14"/>
              </w:rPr>
              <w:t>Bilgilendirici geri bildirim</w:t>
            </w:r>
          </w:p>
        </w:tc>
        <w:tc>
          <w:tcPr>
            <w:tcW w:type="dxa" w:w="4082"/>
            <w:vAlign w:val="center"/>
          </w:tcPr>
          <w:p>
            <w:pPr>
              <w:spacing w:before="0" w:after="0" w:line="228" w:lineRule="auto"/>
            </w:pPr>
            <w:r/>
            <w:r>
              <w:rPr>
                <w:b w:val="0"/>
                <w:sz w:val="14"/>
              </w:rPr>
              <w:t>Geri bildirim hatayı, kanıtı veya stratejiyi yeniden düşünmeye yöneltir; yalnızca puan/rozet değildir.</w:t>
            </w:r>
          </w:p>
        </w:tc>
        <w:tc>
          <w:tcPr>
            <w:tcW w:type="dxa" w:w="3288"/>
            <w:vAlign w:val="center"/>
          </w:tcPr>
          <w:p>
            <w:pPr>
              <w:spacing w:before="0" w:after="0" w:line="228" w:lineRule="auto"/>
            </w:pPr>
            <w:r/>
            <w:r>
              <w:rPr>
                <w:b w:val="0"/>
                <w:sz w:val="14"/>
              </w:rPr>
              <w:t>Hemen doğru cevabı vermek yansıtma alanını azaltabilir.</w:t>
            </w:r>
          </w:p>
        </w:tc>
      </w:tr>
      <w:tr>
        <w:trPr>
          <w:cantSplit/>
        </w:trPr>
        <w:tc>
          <w:tcPr>
            <w:tcW w:type="dxa" w:w="1928"/>
            <w:vAlign w:val="center"/>
          </w:tcPr>
          <w:p>
            <w:pPr>
              <w:spacing w:before="0" w:after="0" w:line="228" w:lineRule="auto"/>
            </w:pPr>
            <w:r/>
            <w:r>
              <w:rPr>
                <w:b w:val="0"/>
                <w:sz w:val="14"/>
              </w:rPr>
              <w:t>Yönetilebilir bilişsel yük</w:t>
            </w:r>
          </w:p>
        </w:tc>
        <w:tc>
          <w:tcPr>
            <w:tcW w:type="dxa" w:w="4082"/>
            <w:vAlign w:val="center"/>
          </w:tcPr>
          <w:p>
            <w:pPr>
              <w:spacing w:before="0" w:after="0" w:line="228" w:lineRule="auto"/>
            </w:pPr>
            <w:r/>
            <w:r>
              <w:rPr>
                <w:b w:val="0"/>
                <w:sz w:val="14"/>
              </w:rPr>
              <w:t>Bir ekranda sınırlı hedef, düşük gereksiz metin yükü, görsel temsil ve aşamalı karmaşıklık kullanılır.</w:t>
            </w:r>
          </w:p>
        </w:tc>
        <w:tc>
          <w:tcPr>
            <w:tcW w:type="dxa" w:w="3288"/>
            <w:vAlign w:val="center"/>
          </w:tcPr>
          <w:p>
            <w:pPr>
              <w:spacing w:before="0" w:after="0" w:line="228" w:lineRule="auto"/>
            </w:pPr>
            <w:r/>
            <w:r>
              <w:rPr>
                <w:b w:val="0"/>
                <w:sz w:val="14"/>
              </w:rPr>
              <w:t>Arayüzü sadeleştirmek hedef düşünme sürecini ortadan kaldırmamalıdır.</w:t>
            </w:r>
          </w:p>
        </w:tc>
      </w:tr>
      <w:tr>
        <w:trPr>
          <w:cantSplit/>
        </w:trPr>
        <w:tc>
          <w:tcPr>
            <w:tcW w:type="dxa" w:w="1928"/>
            <w:vAlign w:val="center"/>
          </w:tcPr>
          <w:p>
            <w:pPr>
              <w:spacing w:before="0" w:after="0" w:line="228" w:lineRule="auto"/>
            </w:pPr>
            <w:r/>
            <w:r>
              <w:rPr>
                <w:b w:val="0"/>
                <w:sz w:val="14"/>
              </w:rPr>
              <w:t>Bilgi + yetkinlik ayrımı</w:t>
            </w:r>
          </w:p>
        </w:tc>
        <w:tc>
          <w:tcPr>
            <w:tcW w:type="dxa" w:w="4082"/>
            <w:vAlign w:val="center"/>
          </w:tcPr>
          <w:p>
            <w:pPr>
              <w:spacing w:before="0" w:after="0" w:line="228" w:lineRule="auto"/>
            </w:pPr>
            <w:r/>
            <w:r>
              <w:rPr>
                <w:b w:val="0"/>
                <w:sz w:val="14"/>
              </w:rPr>
              <w:t>Gerekli ön bilgiyi kısa retrieval görevleriyle tazelemek mümkündür.</w:t>
            </w:r>
          </w:p>
        </w:tc>
        <w:tc>
          <w:tcPr>
            <w:tcW w:type="dxa" w:w="3288"/>
            <w:vAlign w:val="center"/>
          </w:tcPr>
          <w:p>
            <w:pPr>
              <w:spacing w:before="0" w:after="0" w:line="228" w:lineRule="auto"/>
            </w:pPr>
            <w:r/>
            <w:r>
              <w:rPr>
                <w:b w:val="0"/>
                <w:sz w:val="14"/>
              </w:rPr>
              <w:t>Hatırlama başarısı üst düzey yetkinlik puanı değildir.</w:t>
            </w:r>
          </w:p>
        </w:tc>
      </w:tr>
      <w:tr>
        <w:trPr>
          <w:cantSplit/>
        </w:trPr>
        <w:tc>
          <w:tcPr>
            <w:tcW w:type="dxa" w:w="1928"/>
            <w:vAlign w:val="center"/>
          </w:tcPr>
          <w:p>
            <w:pPr>
              <w:spacing w:before="0" w:after="0" w:line="228" w:lineRule="auto"/>
            </w:pPr>
            <w:r/>
            <w:r>
              <w:rPr>
                <w:b w:val="0"/>
                <w:sz w:val="14"/>
              </w:rPr>
              <w:t>Transferi görünür kılma</w:t>
            </w:r>
          </w:p>
        </w:tc>
        <w:tc>
          <w:tcPr>
            <w:tcW w:type="dxa" w:w="4082"/>
            <w:vAlign w:val="center"/>
          </w:tcPr>
          <w:p>
            <w:pPr>
              <w:spacing w:before="0" w:after="0" w:line="228" w:lineRule="auto"/>
            </w:pPr>
            <w:r/>
            <w:r>
              <w:rPr>
                <w:b w:val="0"/>
                <w:sz w:val="14"/>
              </w:rPr>
              <w:t>Benzer düşünme süreci farklı yüzey özellikleri ve bağlamlarda yeniden gerektirilir.</w:t>
            </w:r>
          </w:p>
        </w:tc>
        <w:tc>
          <w:tcPr>
            <w:tcW w:type="dxa" w:w="3288"/>
            <w:vAlign w:val="center"/>
          </w:tcPr>
          <w:p>
            <w:pPr>
              <w:spacing w:before="0" w:after="0" w:line="228" w:lineRule="auto"/>
            </w:pPr>
            <w:r/>
            <w:r>
              <w:rPr>
                <w:b w:val="0"/>
                <w:sz w:val="14"/>
              </w:rPr>
              <w:t>Near transfer başarısı far transfer olarak raporlanmaz.</w:t>
            </w:r>
          </w:p>
        </w:tc>
      </w:tr>
      <w:tr>
        <w:trPr>
          <w:cantSplit/>
        </w:trPr>
        <w:tc>
          <w:tcPr>
            <w:tcW w:type="dxa" w:w="1928"/>
            <w:vAlign w:val="center"/>
          </w:tcPr>
          <w:p>
            <w:pPr>
              <w:spacing w:before="0" w:after="0" w:line="228" w:lineRule="auto"/>
            </w:pPr>
            <w:r/>
            <w:r>
              <w:rPr>
                <w:b w:val="0"/>
                <w:sz w:val="14"/>
              </w:rPr>
              <w:t>Eyleyiciliği koruma</w:t>
            </w:r>
          </w:p>
        </w:tc>
        <w:tc>
          <w:tcPr>
            <w:tcW w:type="dxa" w:w="4082"/>
            <w:vAlign w:val="center"/>
          </w:tcPr>
          <w:p>
            <w:pPr>
              <w:spacing w:before="0" w:after="0" w:line="228" w:lineRule="auto"/>
            </w:pPr>
            <w:r/>
            <w:r>
              <w:rPr>
                <w:b w:val="0"/>
                <w:sz w:val="14"/>
              </w:rPr>
              <w:t>Çocuk hedef, strateji veya seçenekler üzerinde anlamlı karar alanına sahip olur.</w:t>
            </w:r>
          </w:p>
        </w:tc>
        <w:tc>
          <w:tcPr>
            <w:tcW w:type="dxa" w:w="3288"/>
            <w:vAlign w:val="center"/>
          </w:tcPr>
          <w:p>
            <w:pPr>
              <w:spacing w:before="0" w:after="0" w:line="228" w:lineRule="auto"/>
            </w:pPr>
            <w:r/>
            <w:r>
              <w:rPr>
                <w:b w:val="0"/>
                <w:sz w:val="14"/>
              </w:rPr>
              <w:t>Sistem sürekli olarak çocuğun yerine karar vermemelidir.</w:t>
            </w:r>
          </w:p>
        </w:tc>
      </w:tr>
    </w:tbl>
    <w:p>
      <w:pPr/>
      <w:r>
        <w:rPr>
          <w:b/>
          <w:i w:val="0"/>
        </w:rPr>
        <w:t>Sonuç: İlk demo için pedagojik hedef, 'oyunlaştırılmış içerik' üretmekten çok, çocuğun anlamlı bir problem üzerinde araştırma, karar verme, deneme, geri bildirimden yararlanma, strateji değiştirme ve yansıtma süreçlerini gerçekten kullanmasını sağlamaktır. Bu ilkeler demo tasarım kurallarıdır; tek başlarına belirli bir yetkinlik kazanımını veya transferi kanıtlamaz.</w:t>
      </w:r>
    </w:p>
    <w:p>
      <w:pPr>
        <w:pStyle w:val="Heading2"/>
      </w:pPr>
      <w:bookmarkStart w:id="16" w:name="A2_12"/>
      <w:r>
        <w:rPr>
          <w:b w:val="0"/>
          <w:i w:val="0"/>
        </w:rPr>
        <w:t>A2.12. Child–Computer Interaction ve Çocuk UX</w:t>
      </w:r>
      <w:bookmarkEnd w:id="16"/>
    </w:p>
    <w:p>
      <w:pPr/>
      <w:r>
        <w:rPr>
          <w:b w:val="0"/>
          <w:i w:val="0"/>
        </w:rPr>
        <w:t>Bu bölüm yeni bir gelecek yetkinliği tanımlamaz. A2.11’de belirlenen pedagojik ilkelerin çocukların gelişimsel özelliklerine uygun bir dijital arayüzde nasıl karşılık bulması gerektiğini ele alır. Child–Computer Interaction (CCI), çocukları yetişkin arayüzlerinin küçültülmüş kullanıcıları olarak değil; bilişsel, dilsel, motor ve sosyal özellikleri yaşla değişen ayrı bir kullanıcı grubu olarak inceler. Bu nedenle demo tasarımında kullanılabilirlik, öğrenme hedefinden bağımsız bir estetik konu değil; çocuğun hedef düşünme sürecine gerçekten erişebilmesinin ön koşullarından biridir.</w:t>
      </w:r>
    </w:p>
    <w:p>
      <w:pPr>
        <w:pStyle w:val="Heading3"/>
      </w:pPr>
      <w:r>
        <w:rPr>
          <w:b w:val="0"/>
          <w:i w:val="0"/>
        </w:rPr>
        <w:t>Çocuğa özgü tasarım ve değerlendirme</w:t>
      </w:r>
    </w:p>
    <w:p>
      <w:pPr/>
      <w:r>
        <w:rPr>
          <w:b w:val="0"/>
          <w:i w:val="0"/>
        </w:rPr>
        <w:t>Lehnert ve arkadaşlarının (2022) sistematik derlemesi, 2005–2020 arasında yayımlanan 272 CCI çalışmasını incelemiş ve çocukların tasarım süreçlerinde kullanıcı, test katılımcısı, bilgi sağlayıcı veya tasarım ortağı gibi farklı rollerde yer alabildiğini göstermiştir. İncelenen çalışmaların yaklaşık üçte ikisinde birden fazla yöntem birlikte kullanılmış; gözlem, görüşme ve etkileşim günlükleri gibi veri kaynaklarının bir arada değerlendirilmesi yaygın olmuştur. Bu bulgu, yetişkin uzman görüşünün tek başına çocuk kullanılabilirliğinin yeterli kanıtı olarak görülmemesi gerektiğini destekler.</w:t>
      </w:r>
    </w:p>
    <w:p>
      <w:pPr/>
      <w:r>
        <w:rPr>
          <w:b w:val="0"/>
          <w:i w:val="0"/>
        </w:rPr>
        <w:t>Liu, Chen ve Abdul Razak’ın (2026) okul öncesi eğitsel uygulamalara ilişkin scoping review’ü 103 temel ve 32 bağlamsal raporu sentezleyerek kaliteyi dokuz boyutta ele almıştır: teknik kullanılabilirlik; gelişimsel uygunluk; pedagojik tasarım; etkileşim ve geri bildirim; içerik/müfredat ilişkisi; yetişkin aracılığı; güvenlik, mahremiyet ve etik; erişilebilirlik/eşitlik/kapsayıcılık; kanıt ve değerlendirme şeffaflığı. Bu çerçeve doğrulanmış bir sertifikasyon aracı değildir; ancak çocuk uygulamalarında arayüz, pedagojik amaç ve değerlendirme kalitesinin birbirinden kopuk ele alınmaması gerektiğini gösteren güncel bir sentezdir.</w:t>
      </w:r>
    </w:p>
    <w:p>
      <w:pPr>
        <w:pStyle w:val="Heading3"/>
      </w:pPr>
      <w:r>
        <w:rPr>
          <w:b w:val="0"/>
          <w:i w:val="0"/>
        </w:rPr>
        <w:t>Motor gelişim, dokunmatik etkileşim ve navigasyon</w:t>
      </w:r>
    </w:p>
    <w:p>
      <w:pPr/>
      <w:r>
        <w:rPr>
          <w:b w:val="0"/>
          <w:i w:val="0"/>
        </w:rPr>
        <w:t>Çocukların dokunmatik ekran davranışları yetişkinlerden sistematik olarak farklılaşabilir. Anthony’nin (2019) beş yıllık MTAGIC sentezi, 116 çocuk ve 60 yetişkinden 55.000’den fazla dokunma olayı ve 35.000’den fazla hareket verisini birleştirmiş; hedefe dokunma doğruluğu, istemsiz temaslar ve jest üretimindeki tutarlılıkta çocuklara özgü örüntüler bildirmiştir. Yadav ve arkadaşlarının (2021) 4–10 yaşındaki 30 çocukla yürüttüğü çalışmada hareket süresi yaşla azalırken performans artmış; özellikle 4–6 yaşta drag-and-drop hareketi tap hareketinden anlamlı biçimde daha yavaş bulunmuştur. Bu bulgular belirli bir evrensel piksel ölçüsü üretmez; fakat küçük, sıkışık hedeflerden, uzun sürükleme yollarından ve görevin başarısı için zorunlu karmaşık jestlerden kaçınmayı destekler.</w:t>
      </w:r>
    </w:p>
    <w:p>
      <w:pPr/>
      <w:r>
        <w:rPr>
          <w:b w:val="0"/>
          <w:i w:val="0"/>
        </w:rPr>
        <w:t>Demo açısından temel etkileşimlerin görünür, tutarlı ve geri alınabilir olması; önemli işlevlerin yalnızca gizli jestlere bağlanmaması; aynı işlevin farklı ekranlarda farklı hareketlerle sunulmaması ve hatalı dokunmalara karşı arayüzün toleranslı olması tercih edilmelidir. Hedef bilişsel görev zor olabilir; ancak başarısızlığın nedeni arayüzün motor olarak gereksiz güçlüğü olmamalıdır.</w:t>
      </w:r>
    </w:p>
    <w:p>
      <w:pPr>
        <w:pStyle w:val="Heading3"/>
      </w:pPr>
      <w:r>
        <w:rPr>
          <w:b w:val="0"/>
          <w:i w:val="0"/>
        </w:rPr>
        <w:t>Dil, görsel iletişim ve çoklu temsil</w:t>
      </w:r>
    </w:p>
    <w:p>
      <w:pPr/>
      <w:r>
        <w:rPr>
          <w:b w:val="0"/>
          <w:i w:val="0"/>
        </w:rPr>
        <w:t>A2 bölümlerinde küçük çocuklar için somut, görsel ve düşük sözel yüklü görevlerin tekrar öne çıkması, arayüz tasarımıyla doğrudan ilişkilidir. Uzun yönergeler, aynı ekranda çok sayıda yeni kavram ve dekoratif görsel kalabalık, hedef düşünme sürecinden bağımsız ek yük oluşturabilir. Bu nedenle ilk demoda birincil görev kısa metin, açık görsel hiyerarşi ve gerektiğinde sesli destekle sunulmalı; ancak görseller yalnızca süs değil, durum, ilişki veya eylem hakkında bilgi taşımalıdır. 2D karakter ve çevre tasarımı bu açıdan pedagojik bir işlev üstlenebilir: karakterlerin durumu, kaynakların konumu, neden-sonuç ilişkileri veya değişen sistem koşulları görsel olarak okunabilir hale getirilebilir.</w:t>
      </w:r>
    </w:p>
    <w:p>
      <w:pPr/>
      <w:r>
        <w:rPr>
          <w:b w:val="0"/>
          <w:i w:val="0"/>
        </w:rPr>
        <w:t>CAST Universal Design for Learning Guidelines 3.0 (2024), öğrenme ortamlarında tek bir temsil veya tek bir eylem/ifade biçiminin bütün öğrenenler için uygun olmayacağını vurgular. Birden fazla temsil biçimi, farklı yanıt ve navigasyon yolları ile erişilebilir teknolojilerle uyumluluk; öğrenme hedefini düşürmeden erişim engellerini azaltmak için kullanılabilir. Bu nedenle ses, metin, görsel ve etkileşim seçenekleri alternatif erişim yolları olarak düşünülmeli; tek bir duyusal kanala veya motor davranışa gereksiz bağımlılık oluşturulmamalıdır.</w:t>
      </w:r>
    </w:p>
    <w:p>
      <w:pPr>
        <w:pStyle w:val="Heading3"/>
      </w:pPr>
      <w:r>
        <w:rPr>
          <w:b w:val="0"/>
          <w:i w:val="0"/>
        </w:rPr>
        <w:t>Çocuk katılımı, erişilebilirlik ve demo değerlendirmesi</w:t>
      </w:r>
    </w:p>
    <w:p>
      <w:pPr/>
      <w:r>
        <w:rPr>
          <w:b w:val="0"/>
          <w:i w:val="0"/>
        </w:rPr>
        <w:t>CCI literatüründe çocukların yalnızca son aşamada ürünü kullanan pasif test katılımcıları olması zorunlu değildir. Fails, Guha ve Druin (2013), çocukların kullanıcı, test katılımcısı, bilgi sağlayıcı ve tasarım ortağı gibi farklı rollerle tasarıma katılabildiğini göstermektedir. İlk demo için tam ölçekli participatory design süreci zorunlu değildir; ancak arayüz kararlarının yalnızca yetişkin sezgisine dayanması da yeterli değildir. Uygun etik ve ebeveyn/kurum izinleri sağlandığında kısa görev gözlemleri, hata noktaları, yardım isteme, yanlış dokunmalar, yönergeyi anlama ve görev akışını terk etme gibi kullanılabilirlik göstergeleri çocuklarla sınanmalıdır. Etik, mahremiyet ve çocuk haklarına ilişkin ayrıntılı sınırlar bir sonraki bölümde ele alınacaktır.</w:t>
      </w:r>
    </w:p>
    <w:p>
      <w:pPr>
        <w:pStyle w:val="Heading3"/>
      </w:pPr>
      <w:r>
        <w:rPr>
          <w:b w:val="0"/>
          <w:i w:val="0"/>
        </w:rPr>
        <w:t>Demo öncesi asgari Child UX tasarım ilkeleri</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vAlign w:val="center"/>
            <w:shd w:fill="D9E2F3"/>
          </w:tcPr>
          <w:p>
            <w:pPr>
              <w:spacing w:before="0" w:after="0" w:line="228" w:lineRule="auto"/>
            </w:pPr>
            <w:r/>
            <w:r>
              <w:rPr>
                <w:b/>
                <w:sz w:val="15"/>
              </w:rPr>
              <w:t>İlke</w:t>
            </w:r>
          </w:p>
        </w:tc>
        <w:tc>
          <w:tcPr>
            <w:tcW w:type="dxa" w:w="4025"/>
            <w:vAlign w:val="center"/>
            <w:shd w:fill="D9E2F3"/>
          </w:tcPr>
          <w:p>
            <w:pPr>
              <w:spacing w:before="0" w:after="0" w:line="228" w:lineRule="auto"/>
            </w:pPr>
            <w:r/>
            <w:r>
              <w:rPr>
                <w:b/>
                <w:sz w:val="15"/>
              </w:rPr>
              <w:t>Demo tasarımındaki karşılığı</w:t>
            </w:r>
          </w:p>
        </w:tc>
        <w:tc>
          <w:tcPr>
            <w:tcW w:type="dxa" w:w="3288"/>
            <w:vAlign w:val="center"/>
            <w:shd w:fill="D9E2F3"/>
          </w:tcPr>
          <w:p>
            <w:pPr>
              <w:spacing w:before="0" w:after="0" w:line="228" w:lineRule="auto"/>
            </w:pPr>
            <w:r/>
            <w:r>
              <w:rPr>
                <w:b/>
                <w:sz w:val="15"/>
              </w:rPr>
              <w:t>Sınır / dikkat noktası</w:t>
            </w:r>
          </w:p>
        </w:tc>
      </w:tr>
      <w:tr>
        <w:trPr>
          <w:cantSplit/>
        </w:trPr>
        <w:tc>
          <w:tcPr>
            <w:tcW w:type="dxa" w:w="1984"/>
            <w:vAlign w:val="center"/>
          </w:tcPr>
          <w:p>
            <w:pPr>
              <w:spacing w:before="0" w:after="0" w:line="228" w:lineRule="auto"/>
            </w:pPr>
            <w:r/>
            <w:r>
              <w:rPr>
                <w:b w:val="0"/>
                <w:sz w:val="14"/>
              </w:rPr>
              <w:t>Gelişimsel uygunluk</w:t>
            </w:r>
          </w:p>
        </w:tc>
        <w:tc>
          <w:tcPr>
            <w:tcW w:type="dxa" w:w="4025"/>
            <w:vAlign w:val="center"/>
          </w:tcPr>
          <w:p>
            <w:pPr>
              <w:spacing w:before="0" w:after="0" w:line="228" w:lineRule="auto"/>
            </w:pPr>
            <w:r/>
            <w:r>
              <w:rPr>
                <w:b w:val="0"/>
                <w:sz w:val="14"/>
              </w:rPr>
              <w:t>Dil, görev süresi, etkileşim biçimi ve görsel karmaşıklık hedef yaşın kapasitesine göre ayarlanır.</w:t>
            </w:r>
          </w:p>
        </w:tc>
        <w:tc>
          <w:tcPr>
            <w:tcW w:type="dxa" w:w="3288"/>
            <w:vAlign w:val="center"/>
          </w:tcPr>
          <w:p>
            <w:pPr>
              <w:spacing w:before="0" w:after="0" w:line="228" w:lineRule="auto"/>
            </w:pPr>
            <w:r/>
            <w:r>
              <w:rPr>
                <w:b w:val="0"/>
                <w:sz w:val="14"/>
              </w:rPr>
              <w:t>Yaş tek başına bireysel farklılıkları açıklamaz; tasarım daha sonra kullanıcı testiyle doğrulanmalıdır.</w:t>
            </w:r>
          </w:p>
        </w:tc>
      </w:tr>
      <w:tr>
        <w:trPr>
          <w:cantSplit/>
        </w:trPr>
        <w:tc>
          <w:tcPr>
            <w:tcW w:type="dxa" w:w="1984"/>
            <w:vAlign w:val="center"/>
          </w:tcPr>
          <w:p>
            <w:pPr>
              <w:spacing w:before="0" w:after="0" w:line="228" w:lineRule="auto"/>
            </w:pPr>
            <w:r/>
            <w:r>
              <w:rPr>
                <w:b w:val="0"/>
                <w:sz w:val="14"/>
              </w:rPr>
              <w:t>Basit ve toleranslı dokunma</w:t>
            </w:r>
          </w:p>
        </w:tc>
        <w:tc>
          <w:tcPr>
            <w:tcW w:type="dxa" w:w="4025"/>
            <w:vAlign w:val="center"/>
          </w:tcPr>
          <w:p>
            <w:pPr>
              <w:spacing w:before="0" w:after="0" w:line="228" w:lineRule="auto"/>
            </w:pPr>
            <w:r/>
            <w:r>
              <w:rPr>
                <w:b w:val="0"/>
                <w:sz w:val="14"/>
              </w:rPr>
              <w:t>Ana eylemler tap gibi basit hareketlerle yapılabilir; hedefler sıkışık yerleştirilmez ve yanlış dokunma cezalandırılmaz.</w:t>
            </w:r>
          </w:p>
        </w:tc>
        <w:tc>
          <w:tcPr>
            <w:tcW w:type="dxa" w:w="3288"/>
            <w:vAlign w:val="center"/>
          </w:tcPr>
          <w:p>
            <w:pPr>
              <w:spacing w:before="0" w:after="0" w:line="228" w:lineRule="auto"/>
            </w:pPr>
            <w:r/>
            <w:r>
              <w:rPr>
                <w:b w:val="0"/>
                <w:sz w:val="14"/>
              </w:rPr>
              <w:t>Karmaşık jest bir öğrenme hedefi değilse görevi gereksiz yere zorlaştırmamalıdır.</w:t>
            </w:r>
          </w:p>
        </w:tc>
      </w:tr>
      <w:tr>
        <w:trPr>
          <w:cantSplit/>
        </w:trPr>
        <w:tc>
          <w:tcPr>
            <w:tcW w:type="dxa" w:w="1984"/>
            <w:vAlign w:val="center"/>
          </w:tcPr>
          <w:p>
            <w:pPr>
              <w:spacing w:before="0" w:after="0" w:line="228" w:lineRule="auto"/>
            </w:pPr>
            <w:r/>
            <w:r>
              <w:rPr>
                <w:b w:val="0"/>
                <w:sz w:val="14"/>
              </w:rPr>
              <w:t>Tutarlı navigasyon</w:t>
            </w:r>
          </w:p>
        </w:tc>
        <w:tc>
          <w:tcPr>
            <w:tcW w:type="dxa" w:w="4025"/>
            <w:vAlign w:val="center"/>
          </w:tcPr>
          <w:p>
            <w:pPr>
              <w:spacing w:before="0" w:after="0" w:line="228" w:lineRule="auto"/>
            </w:pPr>
            <w:r/>
            <w:r>
              <w:rPr>
                <w:b w:val="0"/>
                <w:sz w:val="14"/>
              </w:rPr>
              <w:t>Geri, yardım, tekrar ve ilerleme davranışları ekranlar arasında aynı mantıkla çalışır; önemli işlevler görünürdür.</w:t>
            </w:r>
          </w:p>
        </w:tc>
        <w:tc>
          <w:tcPr>
            <w:tcW w:type="dxa" w:w="3288"/>
            <w:vAlign w:val="center"/>
          </w:tcPr>
          <w:p>
            <w:pPr>
              <w:spacing w:before="0" w:after="0" w:line="228" w:lineRule="auto"/>
            </w:pPr>
            <w:r/>
            <w:r>
              <w:rPr>
                <w:b w:val="0"/>
                <w:sz w:val="14"/>
              </w:rPr>
              <w:t>Gizli jestler veya sürekli değişen ikon anlamları temel görevin önüne geçmemelidir.</w:t>
            </w:r>
          </w:p>
        </w:tc>
      </w:tr>
      <w:tr>
        <w:trPr>
          <w:cantSplit/>
        </w:trPr>
        <w:tc>
          <w:tcPr>
            <w:tcW w:type="dxa" w:w="1984"/>
            <w:vAlign w:val="center"/>
          </w:tcPr>
          <w:p>
            <w:pPr>
              <w:spacing w:before="0" w:after="0" w:line="228" w:lineRule="auto"/>
            </w:pPr>
            <w:r/>
            <w:r>
              <w:rPr>
                <w:b w:val="0"/>
                <w:sz w:val="14"/>
              </w:rPr>
              <w:t>Düşük gereksiz okuma yükü</w:t>
            </w:r>
          </w:p>
        </w:tc>
        <w:tc>
          <w:tcPr>
            <w:tcW w:type="dxa" w:w="4025"/>
            <w:vAlign w:val="center"/>
          </w:tcPr>
          <w:p>
            <w:pPr>
              <w:spacing w:before="0" w:after="0" w:line="228" w:lineRule="auto"/>
            </w:pPr>
            <w:r/>
            <w:r>
              <w:rPr>
                <w:b w:val="0"/>
                <w:sz w:val="14"/>
              </w:rPr>
              <w:t>Kısa yönergeler, kademeli bilgi sunumu ve gerektiğinde sesli destek kullanılır.</w:t>
            </w:r>
          </w:p>
        </w:tc>
        <w:tc>
          <w:tcPr>
            <w:tcW w:type="dxa" w:w="3288"/>
            <w:vAlign w:val="center"/>
          </w:tcPr>
          <w:p>
            <w:pPr>
              <w:spacing w:before="0" w:after="0" w:line="228" w:lineRule="auto"/>
            </w:pPr>
            <w:r/>
            <w:r>
              <w:rPr>
                <w:b w:val="0"/>
                <w:sz w:val="14"/>
              </w:rPr>
              <w:t>Metni azaltmak kavramsal içeriği veya gerekçelendirme gereksinimini kaldırmak anlamına gelmez.</w:t>
            </w:r>
          </w:p>
        </w:tc>
      </w:tr>
      <w:tr>
        <w:trPr>
          <w:cantSplit/>
        </w:trPr>
        <w:tc>
          <w:tcPr>
            <w:tcW w:type="dxa" w:w="1984"/>
            <w:vAlign w:val="center"/>
          </w:tcPr>
          <w:p>
            <w:pPr>
              <w:spacing w:before="0" w:after="0" w:line="228" w:lineRule="auto"/>
            </w:pPr>
            <w:r/>
            <w:r>
              <w:rPr>
                <w:b w:val="0"/>
                <w:sz w:val="14"/>
              </w:rPr>
              <w:t>Bilgi taşıyan 2D görseller</w:t>
            </w:r>
          </w:p>
        </w:tc>
        <w:tc>
          <w:tcPr>
            <w:tcW w:type="dxa" w:w="4025"/>
            <w:vAlign w:val="center"/>
          </w:tcPr>
          <w:p>
            <w:pPr>
              <w:spacing w:before="0" w:after="0" w:line="228" w:lineRule="auto"/>
            </w:pPr>
            <w:r/>
            <w:r>
              <w:rPr>
                <w:b w:val="0"/>
                <w:sz w:val="14"/>
              </w:rPr>
              <w:t>Karakter, nesne, kaynak ve durum değişimleri görsel olarak ayırt edilir; görsel hiyerarşi görev hedefini destekler.</w:t>
            </w:r>
          </w:p>
        </w:tc>
        <w:tc>
          <w:tcPr>
            <w:tcW w:type="dxa" w:w="3288"/>
            <w:vAlign w:val="center"/>
          </w:tcPr>
          <w:p>
            <w:pPr>
              <w:spacing w:before="0" w:after="0" w:line="228" w:lineRule="auto"/>
            </w:pPr>
            <w:r/>
            <w:r>
              <w:rPr>
                <w:b w:val="0"/>
                <w:sz w:val="14"/>
              </w:rPr>
              <w:t>Dekoratif hareket ve animasyon dikkat çekmek uğruna öğrenme hedefiyle yarışmamalıdır.</w:t>
            </w:r>
          </w:p>
        </w:tc>
      </w:tr>
      <w:tr>
        <w:trPr>
          <w:cantSplit/>
        </w:trPr>
        <w:tc>
          <w:tcPr>
            <w:tcW w:type="dxa" w:w="1984"/>
            <w:vAlign w:val="center"/>
          </w:tcPr>
          <w:p>
            <w:pPr>
              <w:spacing w:before="0" w:after="0" w:line="228" w:lineRule="auto"/>
            </w:pPr>
            <w:r/>
            <w:r>
              <w:rPr>
                <w:b w:val="0"/>
                <w:sz w:val="14"/>
              </w:rPr>
              <w:t>Çoklu temsil ve erişilebilirlik</w:t>
            </w:r>
          </w:p>
        </w:tc>
        <w:tc>
          <w:tcPr>
            <w:tcW w:type="dxa" w:w="4025"/>
            <w:vAlign w:val="center"/>
          </w:tcPr>
          <w:p>
            <w:pPr>
              <w:spacing w:before="0" w:after="0" w:line="228" w:lineRule="auto"/>
            </w:pPr>
            <w:r/>
            <w:r>
              <w:rPr>
                <w:b w:val="0"/>
                <w:sz w:val="14"/>
              </w:rPr>
              <w:t>Mümkün olduğunda bilgi yalnızca renk, yalnızca ses veya yalnızca metinle verilmez; alternatif erişim yolları düşünülür.</w:t>
            </w:r>
          </w:p>
        </w:tc>
        <w:tc>
          <w:tcPr>
            <w:tcW w:type="dxa" w:w="3288"/>
            <w:vAlign w:val="center"/>
          </w:tcPr>
          <w:p>
            <w:pPr>
              <w:spacing w:before="0" w:after="0" w:line="228" w:lineRule="auto"/>
            </w:pPr>
            <w:r/>
            <w:r>
              <w:rPr>
                <w:b w:val="0"/>
                <w:sz w:val="14"/>
              </w:rPr>
              <w:t>Alternatif sunumlar hedef bilişsel güçlüğü ortadan kaldırmamalıdır.</w:t>
            </w:r>
          </w:p>
        </w:tc>
      </w:tr>
      <w:tr>
        <w:trPr>
          <w:cantSplit/>
        </w:trPr>
        <w:tc>
          <w:tcPr>
            <w:tcW w:type="dxa" w:w="1984"/>
            <w:vAlign w:val="center"/>
          </w:tcPr>
          <w:p>
            <w:pPr>
              <w:spacing w:before="0" w:after="0" w:line="228" w:lineRule="auto"/>
            </w:pPr>
            <w:r/>
            <w:r>
              <w:rPr>
                <w:b w:val="0"/>
                <w:sz w:val="14"/>
              </w:rPr>
              <w:t>Görünür sistem durumu</w:t>
            </w:r>
          </w:p>
        </w:tc>
        <w:tc>
          <w:tcPr>
            <w:tcW w:type="dxa" w:w="4025"/>
            <w:vAlign w:val="center"/>
          </w:tcPr>
          <w:p>
            <w:pPr>
              <w:spacing w:before="0" w:after="0" w:line="228" w:lineRule="auto"/>
            </w:pPr>
            <w:r/>
            <w:r>
              <w:rPr>
                <w:b w:val="0"/>
                <w:sz w:val="14"/>
              </w:rPr>
              <w:t>Seçim, hata, başarı, kaynak değişimi ve geri bildirim sonucunda ne olduğu ekranda açıkça görünür.</w:t>
            </w:r>
          </w:p>
        </w:tc>
        <w:tc>
          <w:tcPr>
            <w:tcW w:type="dxa" w:w="3288"/>
            <w:vAlign w:val="center"/>
          </w:tcPr>
          <w:p>
            <w:pPr>
              <w:spacing w:before="0" w:after="0" w:line="228" w:lineRule="auto"/>
            </w:pPr>
            <w:r/>
            <w:r>
              <w:rPr>
                <w:b w:val="0"/>
                <w:sz w:val="14"/>
              </w:rPr>
              <w:t>Çocuğun neden sonuç ilişkisinin arayüz belirsizliği yüzünden kaybolmaması gerekir.</w:t>
            </w:r>
          </w:p>
        </w:tc>
      </w:tr>
      <w:tr>
        <w:trPr>
          <w:cantSplit/>
        </w:trPr>
        <w:tc>
          <w:tcPr>
            <w:tcW w:type="dxa" w:w="1984"/>
            <w:vAlign w:val="center"/>
          </w:tcPr>
          <w:p>
            <w:pPr>
              <w:spacing w:before="0" w:after="0" w:line="228" w:lineRule="auto"/>
            </w:pPr>
            <w:r/>
            <w:r>
              <w:rPr>
                <w:b w:val="0"/>
                <w:sz w:val="14"/>
              </w:rPr>
              <w:t>Çocukla kullanılabilirlik doğrulaması</w:t>
            </w:r>
          </w:p>
        </w:tc>
        <w:tc>
          <w:tcPr>
            <w:tcW w:type="dxa" w:w="4025"/>
            <w:vAlign w:val="center"/>
          </w:tcPr>
          <w:p>
            <w:pPr>
              <w:spacing w:before="0" w:after="0" w:line="228" w:lineRule="auto"/>
            </w:pPr>
            <w:r/>
            <w:r>
              <w:rPr>
                <w:b w:val="0"/>
                <w:sz w:val="14"/>
              </w:rPr>
              <w:t>Yönerge anlama, yanlış dokunma, yardım isteme, görevden kopma ve hata noktaları gözlemle değerlendirilir.</w:t>
            </w:r>
          </w:p>
        </w:tc>
        <w:tc>
          <w:tcPr>
            <w:tcW w:type="dxa" w:w="3288"/>
            <w:vAlign w:val="center"/>
          </w:tcPr>
          <w:p>
            <w:pPr>
              <w:spacing w:before="0" w:after="0" w:line="228" w:lineRule="auto"/>
            </w:pPr>
            <w:r/>
            <w:r>
              <w:rPr>
                <w:b w:val="0"/>
                <w:sz w:val="14"/>
              </w:rPr>
              <w:t>Yetişkin değerlendirmesi çocuk kullanılabilirliğinin yerine geçmez; çocuk testi de tek başına öğrenme etkisini kanıtlamaz.</w:t>
            </w:r>
          </w:p>
        </w:tc>
      </w:tr>
    </w:tbl>
    <w:p>
      <w:pPr/>
      <w:r>
        <w:rPr>
          <w:b/>
          <w:i w:val="0"/>
        </w:rPr>
        <w:t>Sonuç: İlk demo için Child UX hedefi “çocukça görünen” bir arayüz üretmek değil; çocuğun hedef bilişsel sürece motor, dilsel ve algısal engeller nedeniyle takılmadan erişebildiği, etkileşim sonucunu anlayabildiği ve anlamlı karar alanını koruyabildiği bir deneyim oluşturmaktır. Kullanılabilirlik, öğrenme veya yetkinlik kazanımıyla eşdeğer değildir; ancak zayıf kullanılabilirlik, gözlenen başarısızlığın hangi ölçüde bilişsel süreçten hangi ölçüde arayüzden kaynaklandığını ayırt etmeyi zorlaştırır.</w:t>
      </w:r>
    </w:p>
    <w:p>
      <w:pPr>
        <w:pStyle w:val="Heading2"/>
      </w:pPr>
      <w:bookmarkStart w:id="17" w:name="A2_13"/>
      <w:r>
        <w:rPr>
          <w:b w:val="0"/>
          <w:i w:val="0"/>
        </w:rPr>
        <w:t>A2.13. Ethics, Safety ve Child Rights</w:t>
      </w:r>
      <w:bookmarkEnd w:id="17"/>
    </w:p>
    <w:p>
      <w:pPr/>
      <w:r>
        <w:rPr>
          <w:b w:val="0"/>
          <w:i w:val="0"/>
        </w:rPr>
        <w:t>Bu bölüm yeni bir yetkinlik tanımlamaz; A2.11’deki pedagojik ilkeler ve A2.12’deki Child–Computer Interaction gereksinimleri üzerine çocuk hakları, güvenlik, mahremiyet ve sorumlu yapay zekâ açısından tasarım sınırları ekler. Bir dijital eğitim ürününün eğitsel olarak etkili olması, çocuk açısından güvenli veya hak-temelli olduğu anlamına gelmez. Bu nedenle demo aşamasında dahi “safety/privacy by design” yaklaşımı benimsenmelidir. Aşağıdaki ilkeler tasarım ve araştırma rehberidir; belirli bir ülke için hukuki uygunluk görüşü veya mevzuat kontrol listesi değildir.</w:t>
      </w:r>
    </w:p>
    <w:p>
      <w:pPr>
        <w:pStyle w:val="Heading3"/>
      </w:pPr>
      <w:r>
        <w:rPr>
          <w:b w:val="0"/>
          <w:i w:val="0"/>
        </w:rPr>
        <w:t>Çocuğun yüksek yararı, gelişimi ve eyleyiciliği</w:t>
      </w:r>
    </w:p>
    <w:p>
      <w:pPr/>
      <w:r>
        <w:rPr>
          <w:b w:val="0"/>
          <w:i w:val="0"/>
        </w:rPr>
        <w:t>Birleşmiş Milletler Çocuk Hakları Komitesi’nin Dijital Ortama İlişkin 25 No.lu Genel Yorumu (2021), dijital hizmetlerin tasarımı ve kullanımında çocuğun yüksek yararının birincil değerlendirme olmasını; korunma hakkının bilgiye erişim, katılım, ifade ve gelişen özerklik haklarıyla birlikte ele alınmasını vurgular. Dijital teknoloji çocuğun gelişimini destekleyebilir, ancak yüz yüze ilişkilerin ve gelişimsel olarak gerekli sosyal etkileşimlerin yerine geçmemelidir. UNICEF’in Guidance on AI and Children v3.0 (2025) çerçevesi de güvenlik, mahremiyet, adil/kapsayıcı tasarım, şeffaflık, hesap verebilirlik, gelişim ve iyi oluş ile çocuk-merkezli yapay zekâyı aynı hak-temelli çerçevede ele almaktadır.</w:t>
      </w:r>
    </w:p>
    <w:p>
      <w:pPr>
        <w:pStyle w:val="Heading3"/>
      </w:pPr>
      <w:r>
        <w:rPr>
          <w:b w:val="0"/>
          <w:i w:val="0"/>
        </w:rPr>
        <w:t>Veri minimizasyonu, mahremiyet ve profil çıkarma</w:t>
      </w:r>
    </w:p>
    <w:p>
      <w:pPr/>
      <w:r>
        <w:rPr>
          <w:b w:val="0"/>
          <w:i w:val="0"/>
        </w:rPr>
        <w:t>Dijital görevlerde tıklama sırası, hata, yardım isteme, bekleme süresi, strateji değişimi veya güven bildirimi gibi süreç verileri araştırma açısından değerli olabilir; ancak çocukla ilişkilendirildiğinde bunlar yine çocuk verisidir. Bu nedenle yalnızca araştırma sorusu veya işlev için gerekli veriler toplanmalı; amaç, saklama süresi, erişim ve silme kuralları baştan tanımlanmalıdır. İsim, konum, ses, görüntü, serbest metin, biyometrik veri veya gereksiz cihaz tanımlayıcıları ilk demoda varsayılan olarak toplanmamalıdır. Pseudonymization, yeniden ilişkilendirme olasılığı sürdüğü için gerçek anonimleştirmeyle eşdeğer kabul edilmemelidir.</w:t>
      </w:r>
    </w:p>
    <w:p>
      <w:pPr/>
      <w:r>
        <w:rPr>
          <w:b w:val="0"/>
          <w:i w:val="0"/>
        </w:rPr>
        <w:t>Özellikle “critical thinking score”, “resilience profile” veya benzeri çıkarımlar çocuk hakkında kalıcı etiketlere dönüştürülmemelidir. A2 boyunca kullanılan davranışsal izler doğrulanmış yetkinlik puanları değildir; bu etik bölümde aynı sınır veri yönetişimi açısından da korunmaktadır. Çocuklarla yapılacak gerçek pilotlarda geçerli hukuki dayanak, kurumsal/etik izinler, yaşa uygun bilgilendirme ve gerekli durumlarda ebeveyn/veli onamı ile çocuğun anlamlı katılımı ayrıca planlanmalıdır.</w:t>
      </w:r>
    </w:p>
    <w:p>
      <w:pPr>
        <w:pStyle w:val="Heading3"/>
      </w:pPr>
      <w:r>
        <w:rPr>
          <w:b w:val="0"/>
          <w:i w:val="0"/>
        </w:rPr>
        <w:t>Manipülatif tasarım, ticari baskı ve dijital iyi oluş</w:t>
      </w:r>
    </w:p>
    <w:p>
      <w:pPr/>
      <w:r>
        <w:rPr>
          <w:b w:val="0"/>
          <w:i w:val="0"/>
        </w:rPr>
        <w:t>Çocukların dikkatini mümkün olduğunca uzun süre tutmak, eğitsel katılım ile aynı hedef değildir. Avrupa Komisyonu’nun DSA kapsamında 2025’te yayımladığı çocukların korunmasına ilişkin kılavuz; streak, autoplay, read receipt ve yoğun push notification gibi aşırı kullanımı teşvik edebilen özelliklerin varsayılan olarak kapatılmasını ve manipülatif ticari mekaniklere karşı koruma sağlanmasını önermektedir. Bu kılavuz Türkiye’deki bir demo için doğrudan hukuki yükümlülük olarak kullanılmamakta, çocuk-güvenli tasarım için güncel bir karşılaştırma ölçütü olarak ele alınmaktadır. İlk demoda hedeflenen davranış geri dönüşü öğrenme döngüsüne dayanmalı; streak, loot-box, değişken ödül döngüsü, baskı yaratan geri sayım, kişiselleştirilmiş reklam veya sosyal karşılaştırmaya dayalı engagement mekanikleri kullanılmamalıdır.</w:t>
      </w:r>
    </w:p>
    <w:p>
      <w:pPr>
        <w:pStyle w:val="Heading3"/>
      </w:pPr>
      <w:r>
        <w:rPr>
          <w:b w:val="0"/>
          <w:i w:val="0"/>
        </w:rPr>
        <w:t>Yapay zekâ ile etkileşim: şeffaflık, sınırlandırma ve insan denetimi</w:t>
      </w:r>
    </w:p>
    <w:p>
      <w:pPr/>
      <w:r>
        <w:rPr>
          <w:b w:val="0"/>
          <w:i w:val="0"/>
        </w:rPr>
        <w:t>Yapay zekâ kullanılması hâlinde çocuk, bir insanla değil yapay zekâ sistemiyle etkileştiğini açık biçimde anlayabilmelidir. Sistem yetkisini, belirsizliğini ve hata olasılığını yaşa uygun dille göstermeli; insan benzeri otorite, arkadaşlık veya duygusal bağımlılık izlenimi bilinçli olarak güçlendirilmemelidir. UNICEF’in 2026 tarihli AI chatbot ve companion politika notu, ilişkisel ve companion-benzeri yapay zekânın çocuklar açısından ayrı ve yüksek riskler doğurabildiğini vurgulamaktadır. Bu nedenle ilk demoda yapay zekâ varsa rolü sınırlandırılmış ve pedagojik olarak gerekçelendirilmiş olmalı; serbest uçlu “arkadaş/terapist/otorite” rolü verilmemelidir.</w:t>
      </w:r>
    </w:p>
    <w:p>
      <w:pPr/>
      <w:r>
        <w:rPr>
          <w:b w:val="0"/>
          <w:i w:val="0"/>
        </w:rPr>
        <w:t>Türkiye bağlamında MEB YAZEK sistemi; insan-merkezli ve hak-temelli yaklaşım, eşitlik ve kapsayıcılık, şeffaflık ve açıklanabilirlik, mahremiyet/veri yönetişimi, güvenilirlik, hesap verebilirlik ve insan denetimi ile eğitsel değeri temel ilkeler olarak tanımlamaktadır. MEB kurumlarında öğrenciyle doğrudan yapay zekâ etkileşimi, öğrenci verisinin yapay zekâyla işlenmesi veya yapay zekâ destekli ölçme-değerlendirme gibi kullanımlar ayrıca YAZEK süreçlerine tabidir. Bu nedenle gelecekte okul pilotu yapılacaksa demo mimarisinin kayıt, açıklanabilirlik ve insan denetimi gereksinimlerini sonradan eklemek yerine baştan desteklemesi daha uygundur.</w:t>
      </w:r>
    </w:p>
    <w:p>
      <w:pPr>
        <w:pStyle w:val="Heading3"/>
      </w:pPr>
      <w:r>
        <w:rPr>
          <w:b w:val="0"/>
          <w:i w:val="0"/>
        </w:rPr>
        <w:t>Demo öncesi asgari Ethics &amp; Safety tasarım ilkeleri</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vAlign w:val="center"/>
            <w:shd w:fill="D9E2F3"/>
          </w:tcPr>
          <w:p>
            <w:pPr>
              <w:spacing w:before="0" w:after="0" w:line="223" w:lineRule="auto"/>
            </w:pPr>
            <w:r/>
            <w:r>
              <w:rPr>
                <w:b/>
                <w:sz w:val="15"/>
              </w:rPr>
              <w:t>İlke</w:t>
            </w:r>
          </w:p>
        </w:tc>
        <w:tc>
          <w:tcPr>
            <w:tcW w:type="dxa" w:w="3855"/>
            <w:vAlign w:val="center"/>
            <w:shd w:fill="D9E2F3"/>
          </w:tcPr>
          <w:p>
            <w:pPr>
              <w:spacing w:before="0" w:after="0" w:line="223" w:lineRule="auto"/>
            </w:pPr>
            <w:r/>
            <w:r>
              <w:rPr>
                <w:b/>
                <w:sz w:val="15"/>
              </w:rPr>
              <w:t>İlk demodaki karşılığı</w:t>
            </w:r>
          </w:p>
        </w:tc>
        <w:tc>
          <w:tcPr>
            <w:tcW w:type="dxa" w:w="3515"/>
            <w:vAlign w:val="center"/>
            <w:shd w:fill="D9E2F3"/>
          </w:tcPr>
          <w:p>
            <w:pPr>
              <w:spacing w:before="0" w:after="0" w:line="223" w:lineRule="auto"/>
            </w:pPr>
            <w:r/>
            <w:r>
              <w:rPr>
                <w:b/>
                <w:sz w:val="15"/>
              </w:rPr>
              <w:t>Çocuk pilotundan önce</w:t>
            </w:r>
          </w:p>
        </w:tc>
      </w:tr>
      <w:tr>
        <w:trPr>
          <w:cantSplit/>
        </w:trPr>
        <w:tc>
          <w:tcPr>
            <w:tcW w:type="dxa" w:w="1928"/>
            <w:vAlign w:val="center"/>
          </w:tcPr>
          <w:p>
            <w:pPr>
              <w:spacing w:before="0" w:after="0" w:line="223" w:lineRule="auto"/>
            </w:pPr>
            <w:r/>
            <w:r>
              <w:rPr>
                <w:b w:val="0"/>
                <w:sz w:val="13"/>
              </w:rPr>
              <w:t>Data minimization</w:t>
            </w:r>
          </w:p>
        </w:tc>
        <w:tc>
          <w:tcPr>
            <w:tcW w:type="dxa" w:w="3855"/>
            <w:vAlign w:val="center"/>
          </w:tcPr>
          <w:p>
            <w:pPr>
              <w:spacing w:before="0" w:after="0" w:line="223" w:lineRule="auto"/>
            </w:pPr>
            <w:r/>
            <w:r>
              <w:rPr>
                <w:b w:val="0"/>
                <w:sz w:val="13"/>
              </w:rPr>
              <w:t>Gerçek isim, konum, görüntü, ses veya biyometri yok; yalnızca gerekli görev olayları tutulur.</w:t>
            </w:r>
          </w:p>
        </w:tc>
        <w:tc>
          <w:tcPr>
            <w:tcW w:type="dxa" w:w="3515"/>
            <w:vAlign w:val="center"/>
          </w:tcPr>
          <w:p>
            <w:pPr>
              <w:spacing w:before="0" w:after="0" w:line="223" w:lineRule="auto"/>
            </w:pPr>
            <w:r/>
            <w:r>
              <w:rPr>
                <w:b w:val="0"/>
                <w:sz w:val="13"/>
              </w:rPr>
              <w:t>Veri envanteri, amaç, saklama/silme süresi ve erişim rolleri tanımlanır.</w:t>
            </w:r>
          </w:p>
        </w:tc>
      </w:tr>
      <w:tr>
        <w:trPr>
          <w:cantSplit/>
        </w:trPr>
        <w:tc>
          <w:tcPr>
            <w:tcW w:type="dxa" w:w="1928"/>
            <w:vAlign w:val="center"/>
          </w:tcPr>
          <w:p>
            <w:pPr>
              <w:spacing w:before="0" w:after="0" w:line="223" w:lineRule="auto"/>
            </w:pPr>
            <w:r/>
            <w:r>
              <w:rPr>
                <w:b w:val="0"/>
                <w:sz w:val="13"/>
              </w:rPr>
              <w:t>Privacy by design</w:t>
            </w:r>
          </w:p>
        </w:tc>
        <w:tc>
          <w:tcPr>
            <w:tcW w:type="dxa" w:w="3855"/>
            <w:vAlign w:val="center"/>
          </w:tcPr>
          <w:p>
            <w:pPr>
              <w:spacing w:before="0" w:after="0" w:line="223" w:lineRule="auto"/>
            </w:pPr>
            <w:r/>
            <w:r>
              <w:rPr>
                <w:b w:val="0"/>
                <w:sz w:val="13"/>
              </w:rPr>
              <w:t>Demo mümkünse sentetik/test kullanıcı verisiyle çalışır; loglar kimlikten ayrıştırılır.</w:t>
            </w:r>
          </w:p>
        </w:tc>
        <w:tc>
          <w:tcPr>
            <w:tcW w:type="dxa" w:w="3515"/>
            <w:vAlign w:val="center"/>
          </w:tcPr>
          <w:p>
            <w:pPr>
              <w:spacing w:before="0" w:after="0" w:line="223" w:lineRule="auto"/>
            </w:pPr>
            <w:r/>
            <w:r>
              <w:rPr>
                <w:b w:val="0"/>
                <w:sz w:val="13"/>
              </w:rPr>
              <w:t>Geçerli hukuki dayanak ve kurumun veri/mahremiyet gereksinimleri doğrulanır.</w:t>
            </w:r>
          </w:p>
        </w:tc>
      </w:tr>
      <w:tr>
        <w:trPr>
          <w:cantSplit/>
        </w:trPr>
        <w:tc>
          <w:tcPr>
            <w:tcW w:type="dxa" w:w="1928"/>
            <w:vAlign w:val="center"/>
          </w:tcPr>
          <w:p>
            <w:pPr>
              <w:spacing w:before="0" w:after="0" w:line="223" w:lineRule="auto"/>
            </w:pPr>
            <w:r/>
            <w:r>
              <w:rPr>
                <w:b w:val="0"/>
                <w:sz w:val="13"/>
              </w:rPr>
              <w:t>Çocuk-dostu şeffaflık</w:t>
            </w:r>
          </w:p>
        </w:tc>
        <w:tc>
          <w:tcPr>
            <w:tcW w:type="dxa" w:w="3855"/>
            <w:vAlign w:val="center"/>
          </w:tcPr>
          <w:p>
            <w:pPr>
              <w:spacing w:before="0" w:after="0" w:line="223" w:lineRule="auto"/>
            </w:pPr>
            <w:r/>
            <w:r>
              <w:rPr>
                <w:b w:val="0"/>
                <w:sz w:val="13"/>
              </w:rPr>
              <w:t>Ne kaydedildiği ve varsa AI kullanımı kısa, anlaşılır dil ve görsellerle açıklanabilir.</w:t>
            </w:r>
          </w:p>
        </w:tc>
        <w:tc>
          <w:tcPr>
            <w:tcW w:type="dxa" w:w="3515"/>
            <w:vAlign w:val="center"/>
          </w:tcPr>
          <w:p>
            <w:pPr>
              <w:spacing w:before="0" w:after="0" w:line="223" w:lineRule="auto"/>
            </w:pPr>
            <w:r/>
            <w:r>
              <w:rPr>
                <w:b w:val="0"/>
                <w:sz w:val="13"/>
              </w:rPr>
              <w:t>Çocuk ve veli bilgilendirmesi yaşa ve bağlama göre test edilir.</w:t>
            </w:r>
          </w:p>
        </w:tc>
      </w:tr>
      <w:tr>
        <w:trPr>
          <w:cantSplit/>
        </w:trPr>
        <w:tc>
          <w:tcPr>
            <w:tcW w:type="dxa" w:w="1928"/>
            <w:vAlign w:val="center"/>
          </w:tcPr>
          <w:p>
            <w:pPr>
              <w:spacing w:before="0" w:after="0" w:line="223" w:lineRule="auto"/>
            </w:pPr>
            <w:r/>
            <w:r>
              <w:rPr>
                <w:b w:val="0"/>
                <w:sz w:val="13"/>
              </w:rPr>
              <w:t>Manipülatif olmayan engagement</w:t>
            </w:r>
          </w:p>
        </w:tc>
        <w:tc>
          <w:tcPr>
            <w:tcW w:type="dxa" w:w="3855"/>
            <w:vAlign w:val="center"/>
          </w:tcPr>
          <w:p>
            <w:pPr>
              <w:spacing w:before="0" w:after="0" w:line="223" w:lineRule="auto"/>
            </w:pPr>
            <w:r/>
            <w:r>
              <w:rPr>
                <w:b w:val="0"/>
                <w:sz w:val="13"/>
              </w:rPr>
              <w:t>Streak, loot-box, baskı yaratan geri sayım, hedefli reklam ve zorlayıcı tekrar döngüsü kullanılmaz.</w:t>
            </w:r>
          </w:p>
        </w:tc>
        <w:tc>
          <w:tcPr>
            <w:tcW w:type="dxa" w:w="3515"/>
            <w:vAlign w:val="center"/>
          </w:tcPr>
          <w:p>
            <w:pPr>
              <w:spacing w:before="0" w:after="0" w:line="223" w:lineRule="auto"/>
            </w:pPr>
            <w:r/>
            <w:r>
              <w:rPr>
                <w:b w:val="0"/>
                <w:sz w:val="13"/>
              </w:rPr>
              <w:t>Dijital iyi oluş ve oturum yapısı çocuklarla kullanılabilirlik testinde gözlenir.</w:t>
            </w:r>
          </w:p>
        </w:tc>
      </w:tr>
      <w:tr>
        <w:trPr>
          <w:cantSplit/>
        </w:trPr>
        <w:tc>
          <w:tcPr>
            <w:tcW w:type="dxa" w:w="1928"/>
            <w:vAlign w:val="center"/>
          </w:tcPr>
          <w:p>
            <w:pPr>
              <w:spacing w:before="0" w:after="0" w:line="223" w:lineRule="auto"/>
            </w:pPr>
            <w:r/>
            <w:r>
              <w:rPr>
                <w:b w:val="0"/>
                <w:sz w:val="13"/>
              </w:rPr>
              <w:t>Sınırlandırılmış AI rolü</w:t>
            </w:r>
          </w:p>
        </w:tc>
        <w:tc>
          <w:tcPr>
            <w:tcW w:type="dxa" w:w="3855"/>
            <w:vAlign w:val="center"/>
          </w:tcPr>
          <w:p>
            <w:pPr>
              <w:spacing w:before="0" w:after="0" w:line="223" w:lineRule="auto"/>
            </w:pPr>
            <w:r/>
            <w:r>
              <w:rPr>
                <w:b w:val="0"/>
                <w:sz w:val="13"/>
              </w:rPr>
              <w:t>AI varsa açıkça AI olarak tanıtılır; arkadaş/terapist/nihai otorite rolü verilmez.</w:t>
            </w:r>
          </w:p>
        </w:tc>
        <w:tc>
          <w:tcPr>
            <w:tcW w:type="dxa" w:w="3515"/>
            <w:vAlign w:val="center"/>
          </w:tcPr>
          <w:p>
            <w:pPr>
              <w:spacing w:before="0" w:after="0" w:line="223" w:lineRule="auto"/>
            </w:pPr>
            <w:r/>
            <w:r>
              <w:rPr>
                <w:b w:val="0"/>
                <w:sz w:val="13"/>
              </w:rPr>
              <w:t>Güvenlik testleri, hata senaryoları, içerik sınırları ve insan müdahale yolu belirlenir.</w:t>
            </w:r>
          </w:p>
        </w:tc>
      </w:tr>
      <w:tr>
        <w:trPr>
          <w:cantSplit/>
        </w:trPr>
        <w:tc>
          <w:tcPr>
            <w:tcW w:type="dxa" w:w="1928"/>
            <w:vAlign w:val="center"/>
          </w:tcPr>
          <w:p>
            <w:pPr>
              <w:spacing w:before="0" w:after="0" w:line="223" w:lineRule="auto"/>
            </w:pPr>
            <w:r/>
            <w:r>
              <w:rPr>
                <w:b w:val="0"/>
                <w:sz w:val="13"/>
              </w:rPr>
              <w:t>Yetkinlik puanı iddiası yok</w:t>
            </w:r>
          </w:p>
        </w:tc>
        <w:tc>
          <w:tcPr>
            <w:tcW w:type="dxa" w:w="3855"/>
            <w:vAlign w:val="center"/>
          </w:tcPr>
          <w:p>
            <w:pPr>
              <w:spacing w:before="0" w:after="0" w:line="223" w:lineRule="auto"/>
            </w:pPr>
            <w:r/>
            <w:r>
              <w:rPr>
                <w:b w:val="0"/>
                <w:sz w:val="13"/>
              </w:rPr>
              <w:t>Davranış logları process indicator olarak saklanır; “çocuk %X eleştirel düşünüyor” çıktısı üretilmez.</w:t>
            </w:r>
          </w:p>
        </w:tc>
        <w:tc>
          <w:tcPr>
            <w:tcW w:type="dxa" w:w="3515"/>
            <w:vAlign w:val="center"/>
          </w:tcPr>
          <w:p>
            <w:pPr>
              <w:spacing w:before="0" w:after="0" w:line="223" w:lineRule="auto"/>
            </w:pPr>
            <w:r/>
            <w:r>
              <w:rPr>
                <w:b w:val="0"/>
                <w:sz w:val="13"/>
              </w:rPr>
              <w:t>Psikometrik geçerlik ve dış ölçütlerle doğrulama olmadan yetkinlik etiketi kullanılmaz.</w:t>
            </w:r>
          </w:p>
        </w:tc>
      </w:tr>
      <w:tr>
        <w:trPr>
          <w:cantSplit/>
        </w:trPr>
        <w:tc>
          <w:tcPr>
            <w:tcW w:type="dxa" w:w="1928"/>
            <w:vAlign w:val="center"/>
          </w:tcPr>
          <w:p>
            <w:pPr>
              <w:spacing w:before="0" w:after="0" w:line="223" w:lineRule="auto"/>
            </w:pPr>
            <w:r/>
            <w:r>
              <w:rPr>
                <w:b w:val="0"/>
                <w:sz w:val="13"/>
              </w:rPr>
              <w:t>İnsan denetimi ve itiraz</w:t>
            </w:r>
          </w:p>
        </w:tc>
        <w:tc>
          <w:tcPr>
            <w:tcW w:type="dxa" w:w="3855"/>
            <w:vAlign w:val="center"/>
          </w:tcPr>
          <w:p>
            <w:pPr>
              <w:spacing w:before="0" w:after="0" w:line="223" w:lineRule="auto"/>
            </w:pPr>
            <w:r/>
            <w:r>
              <w:rPr>
                <w:b w:val="0"/>
                <w:sz w:val="13"/>
              </w:rPr>
              <w:t>Sistem önerisi/geri bildirimi değiştirilebilir; geri alınamaz otomatik karar yoktur.</w:t>
            </w:r>
          </w:p>
        </w:tc>
        <w:tc>
          <w:tcPr>
            <w:tcW w:type="dxa" w:w="3515"/>
            <w:vAlign w:val="center"/>
          </w:tcPr>
          <w:p>
            <w:pPr>
              <w:spacing w:before="0" w:after="0" w:line="223" w:lineRule="auto"/>
            </w:pPr>
            <w:r/>
            <w:r>
              <w:rPr>
                <w:b w:val="0"/>
                <w:sz w:val="13"/>
              </w:rPr>
              <w:t>Öğretmen/araştırmacı gözetimi, hata bildirimi ve düzeltme/itiraz süreci tanımlanır.</w:t>
            </w:r>
          </w:p>
        </w:tc>
      </w:tr>
      <w:tr>
        <w:trPr>
          <w:cantSplit/>
        </w:trPr>
        <w:tc>
          <w:tcPr>
            <w:tcW w:type="dxa" w:w="1928"/>
            <w:vAlign w:val="center"/>
          </w:tcPr>
          <w:p>
            <w:pPr>
              <w:spacing w:before="0" w:after="0" w:line="223" w:lineRule="auto"/>
            </w:pPr>
            <w:r/>
            <w:r>
              <w:rPr>
                <w:b w:val="0"/>
                <w:sz w:val="13"/>
              </w:rPr>
              <w:t>Fairness &amp; inclusion</w:t>
            </w:r>
          </w:p>
        </w:tc>
        <w:tc>
          <w:tcPr>
            <w:tcW w:type="dxa" w:w="3855"/>
            <w:vAlign w:val="center"/>
          </w:tcPr>
          <w:p>
            <w:pPr>
              <w:spacing w:before="0" w:after="0" w:line="223" w:lineRule="auto"/>
            </w:pPr>
            <w:r/>
            <w:r>
              <w:rPr>
                <w:b w:val="0"/>
                <w:sz w:val="13"/>
              </w:rPr>
              <w:t>Tek bir okuma, dil, motor veya görsel etkileşim biçimine bağımlılık azaltılır.</w:t>
            </w:r>
          </w:p>
        </w:tc>
        <w:tc>
          <w:tcPr>
            <w:tcW w:type="dxa" w:w="3515"/>
            <w:vAlign w:val="center"/>
          </w:tcPr>
          <w:p>
            <w:pPr>
              <w:spacing w:before="0" w:after="0" w:line="223" w:lineRule="auto"/>
            </w:pPr>
            <w:r/>
            <w:r>
              <w:rPr>
                <w:b w:val="0"/>
                <w:sz w:val="13"/>
              </w:rPr>
              <w:t>Farklı öğrenci gruplarında erişilebilirlik, performans farkı ve dışlanma riski ayrıca değerlendirilir.</w:t>
            </w:r>
          </w:p>
        </w:tc>
      </w:tr>
      <w:tr>
        <w:trPr>
          <w:cantSplit/>
        </w:trPr>
        <w:tc>
          <w:tcPr>
            <w:tcW w:type="dxa" w:w="1928"/>
            <w:vAlign w:val="center"/>
          </w:tcPr>
          <w:p>
            <w:pPr>
              <w:spacing w:before="0" w:after="0" w:line="223" w:lineRule="auto"/>
            </w:pPr>
            <w:r/>
            <w:r>
              <w:rPr>
                <w:b w:val="0"/>
                <w:sz w:val="13"/>
              </w:rPr>
              <w:t>Çocuk katılımı ve araştırma etiği</w:t>
            </w:r>
          </w:p>
        </w:tc>
        <w:tc>
          <w:tcPr>
            <w:tcW w:type="dxa" w:w="3855"/>
            <w:vAlign w:val="center"/>
          </w:tcPr>
          <w:p>
            <w:pPr>
              <w:spacing w:before="0" w:after="0" w:line="223" w:lineRule="auto"/>
            </w:pPr>
            <w:r/>
            <w:r>
              <w:rPr>
                <w:b w:val="0"/>
                <w:sz w:val="13"/>
              </w:rPr>
              <w:t>Demo tasarım kararlarında çocuk ihtiyaçları varsayımla değil CCI bulgularıyla sınırlandırılır.</w:t>
            </w:r>
          </w:p>
        </w:tc>
        <w:tc>
          <w:tcPr>
            <w:tcW w:type="dxa" w:w="3515"/>
            <w:vAlign w:val="center"/>
          </w:tcPr>
          <w:p>
            <w:pPr>
              <w:spacing w:before="0" w:after="0" w:line="223" w:lineRule="auto"/>
            </w:pPr>
            <w:r/>
            <w:r>
              <w:rPr>
                <w:b w:val="0"/>
                <w:sz w:val="13"/>
              </w:rPr>
              <w:t>Gerçek çocuklarla çalışma öncesinde gerekli etik/kurumsal izin, bilgilendirme, assent/onam ve safeguarding planı oluşturulur.</w:t>
            </w:r>
          </w:p>
        </w:tc>
      </w:tr>
    </w:tbl>
    <w:p>
      <w:pPr>
        <w:keepLines/>
      </w:pPr>
      <w:r>
        <w:rPr>
          <w:b/>
        </w:rPr>
        <w:t>Sonuç: İlk demo, gerçek çocuk kişisel verisi gerektirmeyen, manipülatif engagement kullanmayan, davranış loglarını yalnızca process indicator olarak tutan ve varsa yapay zekâyı sınırlandırılmış bir yardımcı rolünde kullanan bir mimariyle başlamalıdır. Gerçek çocuk pilotu ayrı bir ethics/safeguarding aşaması olarak ele alınmalıdır.</w:t>
      </w:r>
    </w:p>
    <w:p>
      <w:pPr>
        <w:pStyle w:val="Heading1"/>
        <w:pageBreakBefore/>
      </w:pPr>
      <w:bookmarkStart w:id="13" w:name="A3"/>
      <w:r>
        <w:t xml:space="preserve">A3. Akademik Sentez ve Yetkinlik Önceliklendirmesi</w:t>
      </w:r>
      <w:bookmarkEnd w:id="13"/>
    </w:p>
    <w:p>
      <w:pPr>
        <w:pStyle w:val="Heading2"/>
      </w:pPr>
      <w:r>
        <w:t xml:space="preserve">Karşılaştırmanın kapsamı ve sınırları</w:t>
      </w:r>
    </w:p>
    <w:p>
      <w:pPr/>
      <w:r>
        <w:t>A1'de belirlenen adaylar ile A2.1–A2.10'da incelenen yetkinlik bulguları, A2.11'deki çapraz pedagojik sentez, A2.12'deki Child–Computer Interaction/Çocuk UX ilkeleri ve A2.13'teki ethics, safety ve child rights tasarım sınırları; kanıtın kapsamı, öğretilebilirlik, çocuklara özgü kanıt, ölçüm, transfer ve dijital/oyun ortamlarında ele alınabilirlik açısından birlikte değerlendirilmiştir.</w:t>
      </w:r>
    </w:p>
    <w:p>
      <w:pPr/>
      <w:r>
        <w:t xml:space="preserve">Aşağıdaki 1–5 puanları, araştırmacıların karşılaştırmalı kodlamalarıdır; meta-analiz sonucu veya doğrulanmış bir ölçek değildir. “Akademik durum” etiketleri de bu değerlendirme çerçevesine aittir. Dijital/oyun uygunluğu, kanıtlanmış pedagojik etkiyi değil etkileşimli görevlerle operasyonelleştirme potansiyelini ifade eder. A2'de kimi bölümlerde ayrı değerlendirilen dijital ve oyun uygunluğu, bu matriste birleşik sunulmaktadır; bu sütun ayrı puanların aritmetik ortalaması olarak yorumlanmamalıdır. Farklı yaş, müdahale ve ölçüm kapsamlarına sahip araştırmaların puanları, doğrudan etki büyüklüğü karşılaştırması yerine kullanılamaz.</w:t>
      </w:r>
    </w:p>
    <w:p>
      <w:pPr>
        <w:spacing w:before="40" w:after="80"/>
      </w:pPr>
      <w:r>
        <w:rPr>
          <w:sz w:val="18"/>
        </w:rPr>
        <w:t>Spatial reasoning için yapılan kısa gap-closing incelemesi olumlu öğretilebilirlik ve STEM ilişkisi kanıtı göstermiştir. Ancak alan A2.1–A2.10 ile aynı derinlikte ve aynı puanlama protokolüyle incelenmediğinden, karşılaştırılabilirliği korumak amacıyla aşağıdaki A3 matrisine sonradan 1–5 puan eklenmemiştir. Spatial reasoning, özellikle problem solving/systems thinking, computational-data tasks ve görsel tasarım bağlamlarında çapraz destekleyici yetkinlik olarak izlenecektir.</w:t>
      </w:r>
    </w:p>
    <w:p>
      <w:pPr>
        <w:pStyle w:val="Heading2"/>
      </w:pPr>
      <w:r>
        <w:t xml:space="preserve">Karşılaştırmalı kanıt matrisi</w:t>
      </w:r>
    </w:p>
    <w:p>
      <w:pPr>
        <w:spacing w:before="0" w:after="0" w:line="20" w:lineRule="exact"/>
        <w:sectPr>
          <w:footerReference w:type="default" r:id="rIdFooter"/>
          <w:type w:val="nextPage"/>
          <w:pgSz w:w="11906" w:h="16838"/>
          <w:pgMar w:top="1134" w:right="1134" w:bottom="1134" w:left="1134" w:header="567" w:footer="567" w:gutter="0"/>
        </w:sectPr>
      </w:pPr>
    </w:p>
    <w:tbl>
      <w:tblPr>
        <w:tblW w:w="14570"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3934"/>
        <w:gridCol w:w="1209"/>
        <w:gridCol w:w="1209"/>
        <w:gridCol w:w="1209"/>
        <w:gridCol w:w="1209"/>
        <w:gridCol w:w="1209"/>
        <w:gridCol w:w="1209"/>
        <w:gridCol w:w="3382"/>
      </w:tblGrid>
      <w:tr>
        <w:trPr>
          <w:cantSplit/>
          <w:tblHeader/>
        </w:trPr>
        <w:tc>
          <w:tcPr>
            <w:tcW w:w="3934" w:type="dxa"/>
            <w:vAlign w:val="top"/>
            <w:shd w:fill="E9EEF3" w:val="clear"/>
          </w:tcPr>
          <w:p>
            <w:pPr>
              <w:spacing w:before="0" w:after="35" w:line="240" w:lineRule="auto"/>
            </w:pPr>
            <w:r>
              <w:rPr>
                <w:b/>
                <w:sz w:val="17"/>
              </w:rPr>
              <w:t xml:space="preserve">Yetkinlik</w:t>
            </w:r>
          </w:p>
        </w:tc>
        <w:tc>
          <w:tcPr>
            <w:tcW w:w="1209" w:type="dxa"/>
            <w:vAlign w:val="top"/>
            <w:shd w:fill="E9EEF3" w:val="clear"/>
          </w:tcPr>
          <w:p>
            <w:pPr>
              <w:spacing w:before="0" w:after="35" w:line="240" w:lineRule="auto"/>
            </w:pPr>
            <w:r>
              <w:rPr>
                <w:b/>
                <w:sz w:val="17"/>
              </w:rPr>
              <w:t xml:space="preserve">Kanıt gücü</w:t>
            </w:r>
          </w:p>
        </w:tc>
        <w:tc>
          <w:tcPr>
            <w:tcW w:w="1209" w:type="dxa"/>
            <w:vAlign w:val="top"/>
            <w:shd w:fill="E9EEF3" w:val="clear"/>
          </w:tcPr>
          <w:p>
            <w:pPr>
              <w:spacing w:before="0" w:after="35" w:line="240" w:lineRule="auto"/>
            </w:pPr>
            <w:r>
              <w:rPr>
                <w:b/>
                <w:sz w:val="17"/>
              </w:rPr>
              <w:t xml:space="preserve">Öğretilebilirlik</w:t>
            </w:r>
          </w:p>
        </w:tc>
        <w:tc>
          <w:tcPr>
            <w:tcW w:w="1209" w:type="dxa"/>
            <w:vAlign w:val="top"/>
            <w:shd w:fill="E9EEF3" w:val="clear"/>
          </w:tcPr>
          <w:p>
            <w:pPr>
              <w:spacing w:before="0" w:after="35" w:line="240" w:lineRule="auto"/>
            </w:pPr>
            <w:r>
              <w:rPr>
                <w:b/>
                <w:sz w:val="17"/>
              </w:rPr>
              <w:t xml:space="preserve">Çocuk kanıtı</w:t>
            </w:r>
          </w:p>
        </w:tc>
        <w:tc>
          <w:tcPr>
            <w:tcW w:w="1209" w:type="dxa"/>
            <w:vAlign w:val="top"/>
            <w:shd w:fill="E9EEF3" w:val="clear"/>
          </w:tcPr>
          <w:p>
            <w:pPr>
              <w:spacing w:before="0" w:after="35" w:line="240" w:lineRule="auto"/>
            </w:pPr>
            <w:r>
              <w:rPr>
                <w:b/>
                <w:sz w:val="17"/>
              </w:rPr>
              <w:t xml:space="preserve">Ölçülebilirlik</w:t>
            </w:r>
          </w:p>
        </w:tc>
        <w:tc>
          <w:tcPr>
            <w:tcW w:w="1209" w:type="dxa"/>
            <w:vAlign w:val="top"/>
            <w:shd w:fill="E9EEF3" w:val="clear"/>
          </w:tcPr>
          <w:p>
            <w:pPr>
              <w:spacing w:before="0" w:after="35" w:line="240" w:lineRule="auto"/>
            </w:pPr>
            <w:r>
              <w:rPr>
                <w:b/>
                <w:sz w:val="17"/>
              </w:rPr>
              <w:t xml:space="preserve">Transfer</w:t>
            </w:r>
          </w:p>
        </w:tc>
        <w:tc>
          <w:tcPr>
            <w:tcW w:w="1209" w:type="dxa"/>
            <w:vAlign w:val="top"/>
            <w:shd w:fill="E9EEF3" w:val="clear"/>
          </w:tcPr>
          <w:p>
            <w:pPr>
              <w:spacing w:before="0" w:after="35" w:line="240" w:lineRule="auto"/>
            </w:pPr>
            <w:r>
              <w:rPr>
                <w:b/>
                <w:sz w:val="17"/>
              </w:rPr>
              <w:t xml:space="preserve">Dijital/oyun</w:t>
            </w:r>
          </w:p>
        </w:tc>
        <w:tc>
          <w:tcPr>
            <w:tcW w:w="3382" w:type="dxa"/>
            <w:vAlign w:val="top"/>
            <w:shd w:fill="E9EEF3" w:val="clear"/>
          </w:tcPr>
          <w:p>
            <w:pPr>
              <w:spacing w:before="0" w:after="35" w:line="240" w:lineRule="auto"/>
            </w:pPr>
            <w:r>
              <w:rPr>
                <w:b/>
                <w:sz w:val="17"/>
              </w:rPr>
              <w:t xml:space="preserve">Akademik durum</w:t>
            </w:r>
          </w:p>
        </w:tc>
      </w:tr>
      <w:tr>
        <w:trPr>
          <w:cantSplit/>
        </w:trPr>
        <w:tc>
          <w:tcPr>
            <w:tcW w:w="3934" w:type="dxa"/>
            <w:vAlign w:val="top"/>
          </w:tcPr>
          <w:p>
            <w:pPr>
              <w:spacing w:before="0" w:after="35" w:line="240" w:lineRule="auto"/>
            </w:pPr>
            <w:r>
              <w:rPr>
                <w:sz w:val="17"/>
              </w:rPr>
              <w:t xml:space="preserve">Critical Thinking / Evidence Evaluation</w:t>
            </w:r>
          </w:p>
        </w:tc>
        <w:tc>
          <w:tcPr>
            <w:tcW w:w="1209" w:type="dxa"/>
            <w:vAlign w:val="top"/>
          </w:tcPr>
          <w:p>
            <w:pPr>
              <w:spacing w:before="0" w:after="35" w:line="240" w:lineRule="auto"/>
            </w:pPr>
            <w:r>
              <w:rPr>
                <w:sz w:val="17"/>
              </w:rPr>
              <w:t xml:space="preserve">4.5</w:t>
            </w:r>
          </w:p>
        </w:tc>
        <w:tc>
          <w:tcPr>
            <w:tcW w:w="1209" w:type="dxa"/>
            <w:vAlign w:val="top"/>
          </w:tcPr>
          <w:p>
            <w:pPr>
              <w:spacing w:before="0" w:after="35" w:line="240" w:lineRule="auto"/>
            </w:pPr>
            <w:r>
              <w:rPr>
                <w:sz w:val="17"/>
              </w:rPr>
              <w:t xml:space="preserve">4.5</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3.0</w:t>
            </w:r>
          </w:p>
        </w:tc>
        <w:tc>
          <w:tcPr>
            <w:tcW w:w="1209" w:type="dxa"/>
            <w:vAlign w:val="top"/>
          </w:tcPr>
          <w:p>
            <w:pPr>
              <w:spacing w:before="0" w:after="35" w:line="240" w:lineRule="auto"/>
            </w:pPr>
            <w:r>
              <w:rPr>
                <w:sz w:val="17"/>
              </w:rPr>
              <w:t xml:space="preserve">4.5</w:t>
            </w:r>
          </w:p>
        </w:tc>
        <w:tc>
          <w:tcPr>
            <w:tcW w:w="3382" w:type="dxa"/>
            <w:vAlign w:val="top"/>
          </w:tcPr>
          <w:p>
            <w:pPr>
              <w:spacing w:before="0" w:after="35" w:line="240" w:lineRule="auto"/>
            </w:pPr>
            <w:r>
              <w:rPr>
                <w:sz w:val="17"/>
              </w:rPr>
              <w:t xml:space="preserve">Güçlü</w:t>
            </w:r>
          </w:p>
        </w:tc>
      </w:tr>
      <w:tr>
        <w:trPr>
          <w:cantSplit/>
        </w:trPr>
        <w:tc>
          <w:tcPr>
            <w:tcW w:w="3934" w:type="dxa"/>
            <w:vAlign w:val="top"/>
          </w:tcPr>
          <w:p>
            <w:pPr>
              <w:spacing w:before="0" w:after="35" w:line="240" w:lineRule="auto"/>
            </w:pPr>
            <w:r>
              <w:rPr>
                <w:sz w:val="17"/>
              </w:rPr>
              <w:t xml:space="preserve">Problem Solving</w:t>
            </w:r>
          </w:p>
        </w:tc>
        <w:tc>
          <w:tcPr>
            <w:tcW w:w="1209" w:type="dxa"/>
            <w:vAlign w:val="top"/>
          </w:tcPr>
          <w:p>
            <w:pPr>
              <w:spacing w:before="0" w:after="35" w:line="240" w:lineRule="auto"/>
            </w:pPr>
            <w:r>
              <w:rPr>
                <w:sz w:val="17"/>
              </w:rPr>
              <w:t xml:space="preserve">4.5</w:t>
            </w:r>
          </w:p>
        </w:tc>
        <w:tc>
          <w:tcPr>
            <w:tcW w:w="1209" w:type="dxa"/>
            <w:vAlign w:val="top"/>
          </w:tcPr>
          <w:p>
            <w:pPr>
              <w:spacing w:before="0" w:after="35" w:line="240" w:lineRule="auto"/>
            </w:pPr>
            <w:r>
              <w:rPr>
                <w:sz w:val="17"/>
              </w:rPr>
              <w:t xml:space="preserve">4.5</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3.0</w:t>
            </w:r>
          </w:p>
        </w:tc>
        <w:tc>
          <w:tcPr>
            <w:tcW w:w="1209" w:type="dxa"/>
            <w:vAlign w:val="top"/>
          </w:tcPr>
          <w:p>
            <w:pPr>
              <w:spacing w:before="0" w:after="35" w:line="240" w:lineRule="auto"/>
            </w:pPr>
            <w:r>
              <w:rPr>
                <w:sz w:val="17"/>
              </w:rPr>
              <w:t xml:space="preserve">5.0</w:t>
            </w:r>
          </w:p>
        </w:tc>
        <w:tc>
          <w:tcPr>
            <w:tcW w:w="3382" w:type="dxa"/>
            <w:vAlign w:val="top"/>
          </w:tcPr>
          <w:p>
            <w:pPr>
              <w:spacing w:before="0" w:after="35" w:line="240" w:lineRule="auto"/>
            </w:pPr>
            <w:r>
              <w:rPr>
                <w:sz w:val="17"/>
              </w:rPr>
              <w:t xml:space="preserve">Çok güçlü</w:t>
            </w:r>
          </w:p>
        </w:tc>
      </w:tr>
      <w:tr>
        <w:trPr>
          <w:cantSplit/>
        </w:trPr>
        <w:tc>
          <w:tcPr>
            <w:tcW w:w="3934" w:type="dxa"/>
            <w:vAlign w:val="top"/>
          </w:tcPr>
          <w:p>
            <w:pPr>
              <w:spacing w:before="0" w:after="35" w:line="240" w:lineRule="auto"/>
            </w:pPr>
            <w:r>
              <w:rPr>
                <w:sz w:val="17"/>
              </w:rPr>
              <w:t xml:space="preserve">Creative Thinking</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3.0</w:t>
            </w:r>
          </w:p>
        </w:tc>
        <w:tc>
          <w:tcPr>
            <w:tcW w:w="1209" w:type="dxa"/>
            <w:vAlign w:val="top"/>
          </w:tcPr>
          <w:p>
            <w:pPr>
              <w:spacing w:before="0" w:after="35" w:line="240" w:lineRule="auto"/>
            </w:pPr>
            <w:r>
              <w:rPr>
                <w:sz w:val="17"/>
              </w:rPr>
              <w:t xml:space="preserve">5.0</w:t>
            </w:r>
          </w:p>
        </w:tc>
        <w:tc>
          <w:tcPr>
            <w:tcW w:w="3382" w:type="dxa"/>
            <w:vAlign w:val="top"/>
          </w:tcPr>
          <w:p>
            <w:pPr>
              <w:spacing w:before="0" w:after="35" w:line="240" w:lineRule="auto"/>
            </w:pPr>
            <w:r>
              <w:rPr>
                <w:sz w:val="17"/>
              </w:rPr>
              <w:t xml:space="preserve">Çok güçlü</w:t>
            </w:r>
          </w:p>
        </w:tc>
      </w:tr>
      <w:tr>
        <w:trPr>
          <w:cantSplit/>
        </w:trPr>
        <w:tc>
          <w:tcPr>
            <w:tcW w:w="3934" w:type="dxa"/>
            <w:vAlign w:val="top"/>
          </w:tcPr>
          <w:p>
            <w:pPr>
              <w:spacing w:before="0" w:after="35" w:line="240" w:lineRule="auto"/>
            </w:pPr>
            <w:r>
              <w:rPr>
                <w:sz w:val="17"/>
              </w:rPr>
              <w:t xml:space="preserve">Metacognition / SRL</w:t>
            </w:r>
          </w:p>
        </w:tc>
        <w:tc>
          <w:tcPr>
            <w:tcW w:w="1209" w:type="dxa"/>
            <w:vAlign w:val="top"/>
          </w:tcPr>
          <w:p>
            <w:pPr>
              <w:spacing w:before="0" w:after="35" w:line="240" w:lineRule="auto"/>
            </w:pPr>
            <w:r>
              <w:rPr>
                <w:sz w:val="17"/>
              </w:rPr>
              <w:t xml:space="preserve">5.0</w:t>
            </w:r>
          </w:p>
        </w:tc>
        <w:tc>
          <w:tcPr>
            <w:tcW w:w="1209" w:type="dxa"/>
            <w:vAlign w:val="top"/>
          </w:tcPr>
          <w:p>
            <w:pPr>
              <w:spacing w:before="0" w:after="35" w:line="240" w:lineRule="auto"/>
            </w:pPr>
            <w:r>
              <w:rPr>
                <w:sz w:val="17"/>
              </w:rPr>
              <w:t xml:space="preserve">4.5</w:t>
            </w:r>
          </w:p>
        </w:tc>
        <w:tc>
          <w:tcPr>
            <w:tcW w:w="1209" w:type="dxa"/>
            <w:vAlign w:val="top"/>
          </w:tcPr>
          <w:p>
            <w:pPr>
              <w:spacing w:before="0" w:after="35" w:line="240" w:lineRule="auto"/>
            </w:pPr>
            <w:r>
              <w:rPr>
                <w:sz w:val="17"/>
              </w:rPr>
              <w:t xml:space="preserve">4.5</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5.0</w:t>
            </w:r>
          </w:p>
        </w:tc>
        <w:tc>
          <w:tcPr>
            <w:tcW w:w="3382" w:type="dxa"/>
            <w:vAlign w:val="top"/>
          </w:tcPr>
          <w:p>
            <w:pPr>
              <w:spacing w:before="0" w:after="35" w:line="240" w:lineRule="auto"/>
            </w:pPr>
            <w:r>
              <w:rPr>
                <w:sz w:val="17"/>
              </w:rPr>
              <w:t xml:space="preserve">Çok güçlü</w:t>
            </w:r>
          </w:p>
        </w:tc>
      </w:tr>
      <w:tr>
        <w:trPr>
          <w:cantSplit/>
        </w:trPr>
        <w:tc>
          <w:tcPr>
            <w:tcW w:w="3934" w:type="dxa"/>
            <w:vAlign w:val="top"/>
          </w:tcPr>
          <w:p>
            <w:pPr>
              <w:spacing w:before="0" w:after="35" w:line="240" w:lineRule="auto"/>
            </w:pPr>
            <w:r>
              <w:rPr>
                <w:sz w:val="17"/>
              </w:rPr>
              <w:t xml:space="preserve">Systems Thinking</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3.0</w:t>
            </w:r>
          </w:p>
        </w:tc>
        <w:tc>
          <w:tcPr>
            <w:tcW w:w="1209" w:type="dxa"/>
            <w:vAlign w:val="top"/>
          </w:tcPr>
          <w:p>
            <w:pPr>
              <w:spacing w:before="0" w:after="35" w:line="240" w:lineRule="auto"/>
            </w:pPr>
            <w:r>
              <w:rPr>
                <w:sz w:val="17"/>
              </w:rPr>
              <w:t xml:space="preserve">5.0</w:t>
            </w:r>
          </w:p>
        </w:tc>
        <w:tc>
          <w:tcPr>
            <w:tcW w:w="3382" w:type="dxa"/>
            <w:vAlign w:val="top"/>
          </w:tcPr>
          <w:p>
            <w:pPr>
              <w:spacing w:before="0" w:after="35" w:line="240" w:lineRule="auto"/>
            </w:pPr>
            <w:r>
              <w:rPr>
                <w:sz w:val="17"/>
              </w:rPr>
              <w:t xml:space="preserve">Güçlü</w:t>
            </w:r>
          </w:p>
        </w:tc>
      </w:tr>
      <w:tr>
        <w:trPr>
          <w:cantSplit/>
        </w:trPr>
        <w:tc>
          <w:tcPr>
            <w:tcW w:w="3934" w:type="dxa"/>
            <w:vAlign w:val="top"/>
          </w:tcPr>
          <w:p>
            <w:pPr>
              <w:spacing w:before="0" w:after="35" w:line="240" w:lineRule="auto"/>
            </w:pPr>
            <w:r>
              <w:rPr>
                <w:sz w:val="17"/>
              </w:rPr>
              <w:t xml:space="preserve">Information / Media Literacy</w:t>
            </w:r>
          </w:p>
        </w:tc>
        <w:tc>
          <w:tcPr>
            <w:tcW w:w="1209" w:type="dxa"/>
            <w:vAlign w:val="top"/>
          </w:tcPr>
          <w:p>
            <w:pPr>
              <w:spacing w:before="0" w:after="35" w:line="240" w:lineRule="auto"/>
            </w:pPr>
            <w:r>
              <w:rPr>
                <w:sz w:val="17"/>
              </w:rPr>
              <w:t xml:space="preserve">4.5</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5.0</w:t>
            </w:r>
          </w:p>
        </w:tc>
        <w:tc>
          <w:tcPr>
            <w:tcW w:w="3382" w:type="dxa"/>
            <w:vAlign w:val="top"/>
          </w:tcPr>
          <w:p>
            <w:pPr>
              <w:spacing w:before="0" w:after="35" w:line="240" w:lineRule="auto"/>
            </w:pPr>
            <w:r>
              <w:rPr>
                <w:sz w:val="17"/>
              </w:rPr>
              <w:t xml:space="preserve">Çok güçlü</w:t>
            </w:r>
          </w:p>
        </w:tc>
      </w:tr>
      <w:tr>
        <w:trPr>
          <w:cantSplit/>
        </w:trPr>
        <w:tc>
          <w:tcPr>
            <w:tcW w:w="3934" w:type="dxa"/>
            <w:vAlign w:val="top"/>
          </w:tcPr>
          <w:p>
            <w:pPr>
              <w:spacing w:before="0" w:after="35" w:line="240" w:lineRule="auto"/>
            </w:pPr>
            <w:r>
              <w:rPr>
                <w:sz w:val="17"/>
              </w:rPr>
              <w:t xml:space="preserve">AI Literacy</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3.0</w:t>
            </w:r>
          </w:p>
        </w:tc>
        <w:tc>
          <w:tcPr>
            <w:tcW w:w="1209" w:type="dxa"/>
            <w:vAlign w:val="top"/>
          </w:tcPr>
          <w:p>
            <w:pPr>
              <w:spacing w:before="0" w:after="35" w:line="240" w:lineRule="auto"/>
            </w:pPr>
            <w:r>
              <w:rPr>
                <w:sz w:val="17"/>
              </w:rPr>
              <w:t xml:space="preserve">2.5</w:t>
            </w:r>
          </w:p>
        </w:tc>
        <w:tc>
          <w:tcPr>
            <w:tcW w:w="1209" w:type="dxa"/>
            <w:vAlign w:val="top"/>
          </w:tcPr>
          <w:p>
            <w:pPr>
              <w:spacing w:before="0" w:after="35" w:line="240" w:lineRule="auto"/>
            </w:pPr>
            <w:r>
              <w:rPr>
                <w:sz w:val="17"/>
              </w:rPr>
              <w:t xml:space="preserve">5.0</w:t>
            </w:r>
          </w:p>
        </w:tc>
        <w:tc>
          <w:tcPr>
            <w:tcW w:w="3382" w:type="dxa"/>
            <w:vAlign w:val="top"/>
          </w:tcPr>
          <w:p>
            <w:pPr>
              <w:spacing w:before="0" w:after="35" w:line="240" w:lineRule="auto"/>
            </w:pPr>
            <w:r>
              <w:rPr>
                <w:sz w:val="17"/>
              </w:rPr>
              <w:t xml:space="preserve">Gelişen / yüksek potansiyel</w:t>
            </w:r>
          </w:p>
        </w:tc>
      </w:tr>
      <w:tr>
        <w:trPr>
          <w:cantSplit/>
        </w:trPr>
        <w:tc>
          <w:tcPr>
            <w:tcW w:w="3934" w:type="dxa"/>
            <w:vAlign w:val="top"/>
          </w:tcPr>
          <w:p>
            <w:pPr>
              <w:spacing w:before="0" w:after="35" w:line="240" w:lineRule="auto"/>
            </w:pPr>
            <w:r>
              <w:rPr>
                <w:sz w:val="17"/>
              </w:rPr>
              <w:t xml:space="preserve">Computational Thinking</w:t>
            </w:r>
          </w:p>
        </w:tc>
        <w:tc>
          <w:tcPr>
            <w:tcW w:w="1209" w:type="dxa"/>
            <w:vAlign w:val="top"/>
          </w:tcPr>
          <w:p>
            <w:pPr>
              <w:spacing w:before="0" w:after="35" w:line="240" w:lineRule="auto"/>
            </w:pPr>
            <w:r>
              <w:rPr>
                <w:sz w:val="17"/>
              </w:rPr>
              <w:t xml:space="preserve">4.5</w:t>
            </w:r>
          </w:p>
        </w:tc>
        <w:tc>
          <w:tcPr>
            <w:tcW w:w="1209" w:type="dxa"/>
            <w:vAlign w:val="top"/>
          </w:tcPr>
          <w:p>
            <w:pPr>
              <w:spacing w:before="0" w:after="35" w:line="240" w:lineRule="auto"/>
            </w:pPr>
            <w:r>
              <w:rPr>
                <w:sz w:val="17"/>
              </w:rPr>
              <w:t xml:space="preserve">4.5</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3.0</w:t>
            </w:r>
          </w:p>
        </w:tc>
        <w:tc>
          <w:tcPr>
            <w:tcW w:w="1209" w:type="dxa"/>
            <w:vAlign w:val="top"/>
          </w:tcPr>
          <w:p>
            <w:pPr>
              <w:spacing w:before="0" w:after="35" w:line="240" w:lineRule="auto"/>
            </w:pPr>
            <w:r>
              <w:rPr>
                <w:sz w:val="17"/>
              </w:rPr>
              <w:t xml:space="preserve">5.0</w:t>
            </w:r>
          </w:p>
        </w:tc>
        <w:tc>
          <w:tcPr>
            <w:tcW w:w="3382" w:type="dxa"/>
            <w:vAlign w:val="top"/>
          </w:tcPr>
          <w:p>
            <w:pPr>
              <w:spacing w:before="0" w:after="35" w:line="240" w:lineRule="auto"/>
            </w:pPr>
            <w:r>
              <w:rPr>
                <w:sz w:val="17"/>
              </w:rPr>
              <w:t xml:space="preserve">Çok güçlü</w:t>
            </w:r>
          </w:p>
        </w:tc>
      </w:tr>
      <w:tr>
        <w:trPr>
          <w:cantSplit/>
        </w:trPr>
        <w:tc>
          <w:tcPr>
            <w:tcW w:w="3934" w:type="dxa"/>
            <w:vAlign w:val="top"/>
          </w:tcPr>
          <w:p>
            <w:pPr>
              <w:spacing w:before="0" w:after="35" w:line="240" w:lineRule="auto"/>
            </w:pPr>
            <w:r>
              <w:rPr>
                <w:sz w:val="17"/>
              </w:rPr>
              <w:t xml:space="preserve">Data Literacy</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5.0</w:t>
            </w:r>
          </w:p>
        </w:tc>
        <w:tc>
          <w:tcPr>
            <w:tcW w:w="3382" w:type="dxa"/>
            <w:vAlign w:val="top"/>
          </w:tcPr>
          <w:p>
            <w:pPr>
              <w:spacing w:before="0" w:after="35" w:line="240" w:lineRule="auto"/>
            </w:pPr>
            <w:r>
              <w:rPr>
                <w:sz w:val="17"/>
              </w:rPr>
              <w:t xml:space="preserve">Çok güçlü</w:t>
            </w:r>
          </w:p>
        </w:tc>
      </w:tr>
      <w:tr>
        <w:trPr>
          <w:cantSplit/>
        </w:trPr>
        <w:tc>
          <w:tcPr>
            <w:tcW w:w="3934" w:type="dxa"/>
            <w:vAlign w:val="top"/>
          </w:tcPr>
          <w:p>
            <w:pPr>
              <w:spacing w:before="0" w:after="35" w:line="240" w:lineRule="auto"/>
            </w:pPr>
            <w:r>
              <w:rPr>
                <w:sz w:val="17"/>
              </w:rPr>
              <w:t xml:space="preserve">Communication / Collaboration</w:t>
            </w:r>
          </w:p>
        </w:tc>
        <w:tc>
          <w:tcPr>
            <w:tcW w:w="1209" w:type="dxa"/>
            <w:vAlign w:val="top"/>
          </w:tcPr>
          <w:p>
            <w:pPr>
              <w:spacing w:before="0" w:after="35" w:line="240" w:lineRule="auto"/>
            </w:pPr>
            <w:r>
              <w:rPr>
                <w:sz w:val="17"/>
              </w:rPr>
              <w:t xml:space="preserve">4.5</w:t>
            </w:r>
          </w:p>
        </w:tc>
        <w:tc>
          <w:tcPr>
            <w:tcW w:w="1209" w:type="dxa"/>
            <w:vAlign w:val="top"/>
          </w:tcPr>
          <w:p>
            <w:pPr>
              <w:spacing w:before="0" w:after="35" w:line="240" w:lineRule="auto"/>
            </w:pPr>
            <w:r>
              <w:rPr>
                <w:sz w:val="17"/>
              </w:rPr>
              <w:t xml:space="preserve">4.5</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5.0</w:t>
            </w:r>
          </w:p>
        </w:tc>
        <w:tc>
          <w:tcPr>
            <w:tcW w:w="3382" w:type="dxa"/>
            <w:vAlign w:val="top"/>
          </w:tcPr>
          <w:p>
            <w:pPr>
              <w:spacing w:before="0" w:after="35" w:line="240" w:lineRule="auto"/>
            </w:pPr>
            <w:r>
              <w:rPr>
                <w:sz w:val="17"/>
              </w:rPr>
              <w:t xml:space="preserve">Çok güçlü</w:t>
            </w:r>
          </w:p>
        </w:tc>
      </w:tr>
      <w:tr>
        <w:trPr>
          <w:cantSplit/>
        </w:trPr>
        <w:tc>
          <w:tcPr>
            <w:tcW w:w="3934" w:type="dxa"/>
            <w:vAlign w:val="top"/>
          </w:tcPr>
          <w:p>
            <w:pPr>
              <w:spacing w:before="0" w:after="35" w:line="240" w:lineRule="auto"/>
            </w:pPr>
            <w:r>
              <w:rPr>
                <w:sz w:val="17"/>
              </w:rPr>
              <w:t xml:space="preserve">Empathy / SEL</w:t>
            </w:r>
          </w:p>
        </w:tc>
        <w:tc>
          <w:tcPr>
            <w:tcW w:w="1209" w:type="dxa"/>
            <w:vAlign w:val="top"/>
          </w:tcPr>
          <w:p>
            <w:pPr>
              <w:spacing w:before="0" w:after="35" w:line="240" w:lineRule="auto"/>
            </w:pPr>
            <w:r>
              <w:rPr>
                <w:sz w:val="17"/>
              </w:rPr>
              <w:t xml:space="preserve">5.0</w:t>
            </w:r>
          </w:p>
        </w:tc>
        <w:tc>
          <w:tcPr>
            <w:tcW w:w="1209" w:type="dxa"/>
            <w:vAlign w:val="top"/>
          </w:tcPr>
          <w:p>
            <w:pPr>
              <w:spacing w:before="0" w:after="35" w:line="240" w:lineRule="auto"/>
            </w:pPr>
            <w:r>
              <w:rPr>
                <w:sz w:val="17"/>
              </w:rPr>
              <w:t xml:space="preserve">4.5</w:t>
            </w:r>
          </w:p>
        </w:tc>
        <w:tc>
          <w:tcPr>
            <w:tcW w:w="1209" w:type="dxa"/>
            <w:vAlign w:val="top"/>
          </w:tcPr>
          <w:p>
            <w:pPr>
              <w:spacing w:before="0" w:after="35" w:line="240" w:lineRule="auto"/>
            </w:pPr>
            <w:r>
              <w:rPr>
                <w:sz w:val="17"/>
              </w:rPr>
              <w:t xml:space="preserve">4.5</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3.0</w:t>
            </w:r>
          </w:p>
        </w:tc>
        <w:tc>
          <w:tcPr>
            <w:tcW w:w="1209" w:type="dxa"/>
            <w:vAlign w:val="top"/>
          </w:tcPr>
          <w:p>
            <w:pPr>
              <w:spacing w:before="0" w:after="35" w:line="240" w:lineRule="auto"/>
            </w:pPr>
            <w:r>
              <w:rPr>
                <w:sz w:val="17"/>
              </w:rPr>
              <w:t xml:space="preserve">4.5</w:t>
            </w:r>
          </w:p>
        </w:tc>
        <w:tc>
          <w:tcPr>
            <w:tcW w:w="3382" w:type="dxa"/>
            <w:vAlign w:val="top"/>
          </w:tcPr>
          <w:p>
            <w:pPr>
              <w:spacing w:before="0" w:after="35" w:line="240" w:lineRule="auto"/>
            </w:pPr>
            <w:r>
              <w:rPr>
                <w:sz w:val="17"/>
              </w:rPr>
              <w:t xml:space="preserve">Çok güçlü</w:t>
            </w:r>
          </w:p>
        </w:tc>
      </w:tr>
      <w:tr>
        <w:trPr>
          <w:cantSplit/>
        </w:trPr>
        <w:tc>
          <w:tcPr>
            <w:tcW w:w="3934" w:type="dxa"/>
            <w:vAlign w:val="top"/>
          </w:tcPr>
          <w:p>
            <w:pPr>
              <w:spacing w:before="0" w:after="35" w:line="240" w:lineRule="auto"/>
            </w:pPr>
            <w:r>
              <w:rPr>
                <w:sz w:val="17"/>
              </w:rPr>
              <w:t xml:space="preserve">Cognitive Flexibility / Adaptability</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4.5</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3.0</w:t>
            </w:r>
          </w:p>
        </w:tc>
        <w:tc>
          <w:tcPr>
            <w:tcW w:w="1209" w:type="dxa"/>
            <w:vAlign w:val="top"/>
          </w:tcPr>
          <w:p>
            <w:pPr>
              <w:spacing w:before="0" w:after="35" w:line="240" w:lineRule="auto"/>
            </w:pPr>
            <w:r>
              <w:rPr>
                <w:sz w:val="17"/>
              </w:rPr>
              <w:t xml:space="preserve">5.0</w:t>
            </w:r>
          </w:p>
        </w:tc>
        <w:tc>
          <w:tcPr>
            <w:tcW w:w="3382" w:type="dxa"/>
            <w:vAlign w:val="top"/>
          </w:tcPr>
          <w:p>
            <w:pPr>
              <w:spacing w:before="0" w:after="35" w:line="240" w:lineRule="auto"/>
            </w:pPr>
            <w:r>
              <w:rPr>
                <w:sz w:val="17"/>
              </w:rPr>
              <w:t xml:space="preserve">Güçlü</w:t>
            </w:r>
          </w:p>
        </w:tc>
      </w:tr>
      <w:tr>
        <w:trPr>
          <w:cantSplit/>
        </w:trPr>
        <w:tc>
          <w:tcPr>
            <w:tcW w:w="3934" w:type="dxa"/>
            <w:vAlign w:val="top"/>
          </w:tcPr>
          <w:p>
            <w:pPr>
              <w:spacing w:before="0" w:after="35" w:line="240" w:lineRule="auto"/>
            </w:pPr>
            <w:r>
              <w:rPr>
                <w:sz w:val="17"/>
              </w:rPr>
              <w:t xml:space="preserve">Persistence</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3.0</w:t>
            </w:r>
          </w:p>
        </w:tc>
        <w:tc>
          <w:tcPr>
            <w:tcW w:w="1209" w:type="dxa"/>
            <w:vAlign w:val="top"/>
          </w:tcPr>
          <w:p>
            <w:pPr>
              <w:spacing w:before="0" w:after="35" w:line="240" w:lineRule="auto"/>
            </w:pPr>
            <w:r>
              <w:rPr>
                <w:sz w:val="17"/>
              </w:rPr>
              <w:t xml:space="preserve">5.0</w:t>
            </w:r>
          </w:p>
        </w:tc>
        <w:tc>
          <w:tcPr>
            <w:tcW w:w="3382" w:type="dxa"/>
            <w:vAlign w:val="top"/>
          </w:tcPr>
          <w:p>
            <w:pPr>
              <w:spacing w:before="0" w:after="35" w:line="240" w:lineRule="auto"/>
            </w:pPr>
            <w:r>
              <w:rPr>
                <w:sz w:val="17"/>
              </w:rPr>
              <w:t xml:space="preserve">Güçlü</w:t>
            </w:r>
          </w:p>
        </w:tc>
      </w:tr>
      <w:tr>
        <w:trPr>
          <w:cantSplit/>
        </w:trPr>
        <w:tc>
          <w:tcPr>
            <w:tcW w:w="3934" w:type="dxa"/>
            <w:vAlign w:val="top"/>
          </w:tcPr>
          <w:p>
            <w:pPr>
              <w:spacing w:before="0" w:after="35" w:line="240" w:lineRule="auto"/>
            </w:pPr>
            <w:r>
              <w:rPr>
                <w:sz w:val="17"/>
              </w:rPr>
              <w:t xml:space="preserve">Resilience</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3.0</w:t>
            </w:r>
          </w:p>
        </w:tc>
        <w:tc>
          <w:tcPr>
            <w:tcW w:w="1209" w:type="dxa"/>
            <w:vAlign w:val="top"/>
          </w:tcPr>
          <w:p>
            <w:pPr>
              <w:spacing w:before="0" w:after="35" w:line="240" w:lineRule="auto"/>
            </w:pPr>
            <w:r>
              <w:rPr>
                <w:sz w:val="17"/>
              </w:rPr>
              <w:t xml:space="preserve">3.0</w:t>
            </w:r>
          </w:p>
        </w:tc>
        <w:tc>
          <w:tcPr>
            <w:tcW w:w="1209" w:type="dxa"/>
            <w:vAlign w:val="top"/>
          </w:tcPr>
          <w:p>
            <w:pPr>
              <w:spacing w:before="0" w:after="35" w:line="240" w:lineRule="auto"/>
            </w:pPr>
            <w:r>
              <w:rPr>
                <w:sz w:val="17"/>
              </w:rPr>
              <w:t xml:space="preserve">4.0</w:t>
            </w:r>
          </w:p>
        </w:tc>
        <w:tc>
          <w:tcPr>
            <w:tcW w:w="3382" w:type="dxa"/>
            <w:vAlign w:val="top"/>
          </w:tcPr>
          <w:p>
            <w:pPr>
              <w:spacing w:before="0" w:after="35" w:line="240" w:lineRule="auto"/>
            </w:pPr>
            <w:r>
              <w:rPr>
                <w:sz w:val="17"/>
              </w:rPr>
              <w:t xml:space="preserve">Güçlü fakat bağlama duyarlı</w:t>
            </w:r>
          </w:p>
        </w:tc>
      </w:tr>
      <w:tr>
        <w:trPr>
          <w:cantSplit/>
        </w:trPr>
        <w:tc>
          <w:tcPr>
            <w:tcW w:w="3934" w:type="dxa"/>
            <w:vAlign w:val="top"/>
          </w:tcPr>
          <w:p>
            <w:pPr>
              <w:spacing w:before="0" w:after="35" w:line="240" w:lineRule="auto"/>
            </w:pPr>
            <w:r>
              <w:rPr>
                <w:sz w:val="17"/>
              </w:rPr>
              <w:t xml:space="preserve">Student Agency</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3.0</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5.0</w:t>
            </w:r>
          </w:p>
        </w:tc>
        <w:tc>
          <w:tcPr>
            <w:tcW w:w="3382" w:type="dxa"/>
            <w:vAlign w:val="top"/>
          </w:tcPr>
          <w:p>
            <w:pPr>
              <w:spacing w:before="0" w:after="35" w:line="240" w:lineRule="auto"/>
            </w:pPr>
            <w:r>
              <w:rPr>
                <w:sz w:val="17"/>
              </w:rPr>
              <w:t xml:space="preserve">Güçlü üst yapı</w:t>
            </w:r>
          </w:p>
        </w:tc>
      </w:tr>
      <w:tr>
        <w:trPr>
          <w:cantSplit/>
        </w:trPr>
        <w:tc>
          <w:tcPr>
            <w:tcW w:w="3934" w:type="dxa"/>
            <w:vAlign w:val="top"/>
          </w:tcPr>
          <w:p>
            <w:pPr>
              <w:spacing w:before="0" w:after="35" w:line="240" w:lineRule="auto"/>
            </w:pPr>
            <w:r>
              <w:rPr>
                <w:sz w:val="17"/>
              </w:rPr>
              <w:t xml:space="preserve">Sustainability Literacy</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4.0</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5.0</w:t>
            </w:r>
          </w:p>
        </w:tc>
        <w:tc>
          <w:tcPr>
            <w:tcW w:w="3382" w:type="dxa"/>
            <w:vAlign w:val="top"/>
          </w:tcPr>
          <w:p>
            <w:pPr>
              <w:spacing w:before="0" w:after="35" w:line="240" w:lineRule="auto"/>
            </w:pPr>
            <w:r>
              <w:rPr>
                <w:sz w:val="17"/>
              </w:rPr>
              <w:t xml:space="preserve">Güçlü uygulama alanı</w:t>
            </w:r>
          </w:p>
        </w:tc>
      </w:tr>
      <w:tr>
        <w:trPr>
          <w:cantSplit/>
        </w:trPr>
        <w:tc>
          <w:tcPr>
            <w:tcW w:w="3934" w:type="dxa"/>
            <w:vAlign w:val="top"/>
          </w:tcPr>
          <w:p>
            <w:pPr>
              <w:spacing w:before="0" w:after="35" w:line="240" w:lineRule="auto"/>
            </w:pPr>
            <w:r>
              <w:rPr>
                <w:sz w:val="17"/>
              </w:rPr>
              <w:t xml:space="preserve">Futures Thinking</w:t>
            </w:r>
          </w:p>
        </w:tc>
        <w:tc>
          <w:tcPr>
            <w:tcW w:w="1209" w:type="dxa"/>
            <w:vAlign w:val="top"/>
          </w:tcPr>
          <w:p>
            <w:pPr>
              <w:spacing w:before="0" w:after="35" w:line="240" w:lineRule="auto"/>
            </w:pPr>
            <w:r>
              <w:rPr>
                <w:sz w:val="17"/>
              </w:rPr>
              <w:t xml:space="preserve">3.0</w:t>
            </w:r>
          </w:p>
        </w:tc>
        <w:tc>
          <w:tcPr>
            <w:tcW w:w="1209" w:type="dxa"/>
            <w:vAlign w:val="top"/>
          </w:tcPr>
          <w:p>
            <w:pPr>
              <w:spacing w:before="0" w:after="35" w:line="240" w:lineRule="auto"/>
            </w:pPr>
            <w:r>
              <w:rPr>
                <w:sz w:val="17"/>
              </w:rPr>
              <w:t xml:space="preserve">3.5</w:t>
            </w:r>
          </w:p>
        </w:tc>
        <w:tc>
          <w:tcPr>
            <w:tcW w:w="1209" w:type="dxa"/>
            <w:vAlign w:val="top"/>
          </w:tcPr>
          <w:p>
            <w:pPr>
              <w:spacing w:before="0" w:after="35" w:line="240" w:lineRule="auto"/>
            </w:pPr>
            <w:r>
              <w:rPr>
                <w:sz w:val="17"/>
              </w:rPr>
              <w:t xml:space="preserve">3.0</w:t>
            </w:r>
          </w:p>
        </w:tc>
        <w:tc>
          <w:tcPr>
            <w:tcW w:w="1209" w:type="dxa"/>
            <w:vAlign w:val="top"/>
          </w:tcPr>
          <w:p>
            <w:pPr>
              <w:spacing w:before="0" w:after="35" w:line="240" w:lineRule="auto"/>
            </w:pPr>
            <w:r>
              <w:rPr>
                <w:sz w:val="17"/>
              </w:rPr>
              <w:t xml:space="preserve">3.0</w:t>
            </w:r>
          </w:p>
        </w:tc>
        <w:tc>
          <w:tcPr>
            <w:tcW w:w="1209" w:type="dxa"/>
            <w:vAlign w:val="top"/>
          </w:tcPr>
          <w:p>
            <w:pPr>
              <w:spacing w:before="0" w:after="35" w:line="240" w:lineRule="auto"/>
            </w:pPr>
            <w:r>
              <w:rPr>
                <w:sz w:val="17"/>
              </w:rPr>
              <w:t xml:space="preserve">2.5</w:t>
            </w:r>
          </w:p>
        </w:tc>
        <w:tc>
          <w:tcPr>
            <w:tcW w:w="1209" w:type="dxa"/>
            <w:vAlign w:val="top"/>
          </w:tcPr>
          <w:p>
            <w:pPr>
              <w:spacing w:before="0" w:after="35" w:line="240" w:lineRule="auto"/>
            </w:pPr>
            <w:r>
              <w:rPr>
                <w:sz w:val="17"/>
              </w:rPr>
              <w:t xml:space="preserve">5.0</w:t>
            </w:r>
          </w:p>
        </w:tc>
        <w:tc>
          <w:tcPr>
            <w:tcW w:w="3382" w:type="dxa"/>
            <w:vAlign w:val="top"/>
          </w:tcPr>
          <w:p>
            <w:pPr>
              <w:spacing w:before="0" w:after="35" w:line="240" w:lineRule="auto"/>
            </w:pPr>
            <w:r>
              <w:rPr>
                <w:sz w:val="17"/>
              </w:rPr>
              <w:t xml:space="preserve">Gelişen / yüksek potansiyel</w:t>
            </w:r>
          </w:p>
        </w:tc>
      </w:tr>
    </w:tbl>
    <w:p>
      <w:pPr>
        <w:spacing w:before="0" w:after="0" w:line="20" w:lineRule="exact"/>
        <w:sectPr>
          <w:footerReference w:type="default" r:id="rIdFooter"/>
          <w:type w:val="nextPage"/>
          <w:pgSz w:w="16838" w:h="11906" w:orient="landscape"/>
          <w:pgMar w:top="1134" w:right="1134" w:bottom="1134" w:left="1134" w:header="567" w:footer="567" w:gutter="0"/>
        </w:sectPr>
      </w:pPr>
    </w:p>
    <w:p>
      <w:pPr/>
      <w:r>
        <w:t xml:space="preserve">Matriste dijital/oyun uygunluğu yüksek değerlendirilen alanların ölçüm ve gelişimsel kanıt olgunluğu aynı değildir. Metacognition/SRL, SEL, problem solving ve computational thinking daha geniş müdahale literatürleriyle desteklenirken AI literacy ve futures thinking için çocuklara özgü kanıt ve ölçüm sınırlılıkları daha belirgindir. Bununla birlikte literatürün büyüklüğü, tek başına her yaş ve bağlamda yüksek etkililik anlamına gelmez.</w:t>
      </w:r>
    </w:p>
    <w:p>
      <w:pPr>
        <w:pStyle w:val="Heading2"/>
      </w:pPr>
      <w:r>
        <w:t xml:space="preserve">Kanıt örüntüleri ve ilişkili yetkinlik grupları</w:t>
      </w:r>
    </w:p>
    <w:p>
      <w:pPr/>
      <w:r>
        <w:t xml:space="preserve">Çekirdek öğrenme ve düşünme alanında critical thinking/evidence evaluation, problem solving, creative thinking, metacognition/SRL ve computational thinking öne çıkmaktadır. A2'deki müdahale kanıtları bu alanların geliştirilebilirliğini destekler; ancak kazanımın türü değişmektedir. Kanıt değerlendirme ve yargıyı gözden geçirme; problemi yapılandırma, strateji geliştirme ve izleme; fikir çeşitliliği ve yinelemeli iyileştirme; öğrenmeyi planlama ve kontrol etme; ayrıştırma, soyutlama, test etme ve hata ayıklama farklı hedeflerdir. Bunların tek bir genel düşünme puanına indirgenmesi uygun değildir (A2.1–A2.4, A2.7).</w:t>
      </w:r>
    </w:p>
    <w:p>
      <w:pPr/>
      <w:r>
        <w:t xml:space="preserve">Epistemik ve dijital alan, information/media literacy ile AI literacy'yi birlikte fakat ayrı yapılar olarak ele alır. Kaynak → kanıt → farklı kaynaklarla doğrulama → yargı süreci, bilgi değerlendirmesinin ortak eksenidir. Genel misinformation müdahale kanıtı çocuklara özgü etki olarak yorumlanamaz. AI literacy'nin gelecek yönelimli çerçevelerde görünürlüğü yüksek olmakla birlikte çocuklara yönelik öğretim ve ölçüm kanıtı daha yenidir. UNESCO'nun dört boyutlu çerçevesi kavramsal temel sağlar; tek başına pedagojik etkililik kanıtı değildir (A2.6).</w:t>
      </w:r>
    </w:p>
    <w:p>
      <w:pPr/>
      <w:r>
        <w:t xml:space="preserve">Öz-yönelimli ve adaptif öğrenme grubunda metacognition/SRL, cognitive flexibility, persistence, resilience ve agency birbiriyle ilişkilidir; ancak tek bir grit puanının karşılıkları değildir. LifeComp da self-regulation, flexibility ve managing learning'i ayrı yetkinlikler olarak ele alır. Bu grubun ortak araştırma odağı, ilerlemeyi izleme ve gerektiğinde sürdürme, strateji değiştirme, yardım arama veya hedefi yeniden tanımlama kararlarıdır. Bu nedenle yalnızca çalışma süresi ya da tekrar sayısı, öğrenmenin niteliğini temsil etmez (A2.4, A2.9).</w:t>
      </w:r>
    </w:p>
    <w:p>
      <w:pPr/>
      <w:r>
        <w:t xml:space="preserve">Sosyal ve kolektif alanda communication, collaboration ve empathy öne çıkar. Okul temelli SEL literatürü, sosyal-duygusal beceriler ile davranış, akran ilişkileri, okul işlevselliği ve akademik sonuçlar için geniş bir kanıt tabanı sunar. Bununla birlikte bu sonuçlar, dijital görevlerdeki sosyal davranışın gerçek insan ilişkilerine otomatik aktarılacağını göstermez. Özellikle simüle edilmiş partnerlerle etkileşim ile kişilerarası iş birliği ayrı değerlendirilmelidir (A2.8).</w:t>
      </w:r>
    </w:p>
    <w:p>
      <w:pPr/>
      <w:r>
        <w:t xml:space="preserve">Karmaşık sistemler ve gelecek yönelimi grubunda systems thinking, sustainability literacy ve futures thinking ilişkilidir. Sistem düşüncesi, çözümün daha büyük sistemdeki sonuçlarını; sürdürülebilirlik bu ilişkilerin çevresel, sosyal, ekonomik, etik ve nesiller arası boyutlarını; futures thinking ise alternatif gelecekleri ele alır. İlkokul sürdürülebilirlik ve özellikle futures thinking kanıtının sınırlılığı, bu grubun kavramsal öneminden ayrı tutulmalıdır (A2.5, A2.10).</w:t>
      </w:r>
    </w:p>
    <w:p>
      <w:pPr>
        <w:pStyle w:val="Heading2"/>
      </w:pPr>
      <w:r>
        <w:t xml:space="preserve">Ortak süreçlerin araştırmacı sentezi</w:t>
      </w:r>
    </w:p>
    <w:p>
      <w:pPr/>
      <w:r>
        <w:t xml:space="preserve">A2 bulguları, farklı yetkinliklerin otantik problem bağlamlarında birlikte işleyebilecek süreçler olarak incelenmesine temel oluşturmaktadır. Aşağıdaki yapı, bu rapor kapsamında oluşturulmuş bir sentez modelidir; yayımlanmış ve doğrulanmış yeni bir yetkinlik çerçevesi veya zorunlu, doğrusal bir gelişim sırası değildir.</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Süreç</w:t>
            </w:r>
          </w:p>
        </w:tc>
        <w:tc>
          <w:tcPr>
            <w:tcW w:w="6939" w:type="dxa"/>
            <w:vAlign w:val="top"/>
            <w:shd w:fill="E9EEF3" w:val="clear"/>
          </w:tcPr>
          <w:p>
            <w:pPr>
              <w:spacing w:before="0" w:after="35" w:line="240" w:lineRule="auto"/>
            </w:pPr>
            <w:r>
              <w:rPr>
                <w:b/>
                <w:sz w:val="19"/>
              </w:rPr>
              <w:t xml:space="preserve">Sentezdeki karşılığı</w:t>
            </w:r>
          </w:p>
        </w:tc>
      </w:tr>
      <w:tr>
        <w:trPr>
          <w:cantSplit/>
        </w:trPr>
        <w:tc>
          <w:tcPr>
            <w:tcW w:w="2699" w:type="dxa"/>
            <w:vAlign w:val="top"/>
          </w:tcPr>
          <w:p>
            <w:pPr>
              <w:spacing w:before="0" w:after="35" w:line="240" w:lineRule="auto"/>
            </w:pPr>
            <w:r>
              <w:rPr>
                <w:sz w:val="19"/>
              </w:rPr>
              <w:t xml:space="preserve">1. Question</w:t>
            </w:r>
          </w:p>
        </w:tc>
        <w:tc>
          <w:tcPr>
            <w:tcW w:w="6939" w:type="dxa"/>
            <w:vAlign w:val="top"/>
          </w:tcPr>
          <w:p>
            <w:pPr>
              <w:spacing w:before="0" w:after="35" w:line="240" w:lineRule="auto"/>
            </w:pPr>
            <w:r>
              <w:rPr>
                <w:sz w:val="19"/>
              </w:rPr>
              <w:t xml:space="preserve">Problem veya iddiayı fark etme</w:t>
            </w:r>
          </w:p>
        </w:tc>
      </w:tr>
      <w:tr>
        <w:trPr>
          <w:cantSplit/>
        </w:trPr>
        <w:tc>
          <w:tcPr>
            <w:tcW w:w="2699" w:type="dxa"/>
            <w:vAlign w:val="top"/>
          </w:tcPr>
          <w:p>
            <w:pPr>
              <w:spacing w:before="0" w:after="35" w:line="240" w:lineRule="auto"/>
            </w:pPr>
            <w:r>
              <w:rPr>
                <w:sz w:val="19"/>
              </w:rPr>
              <w:t xml:space="preserve">2. Investigate</w:t>
            </w:r>
          </w:p>
        </w:tc>
        <w:tc>
          <w:tcPr>
            <w:tcW w:w="6939" w:type="dxa"/>
            <w:vAlign w:val="top"/>
          </w:tcPr>
          <w:p>
            <w:pPr>
              <w:spacing w:before="0" w:after="35" w:line="240" w:lineRule="auto"/>
            </w:pPr>
            <w:r>
              <w:rPr>
                <w:sz w:val="19"/>
              </w:rPr>
              <w:t xml:space="preserve">Bilgi ve veri arama</w:t>
            </w:r>
          </w:p>
        </w:tc>
      </w:tr>
      <w:tr>
        <w:trPr>
          <w:cantSplit/>
        </w:trPr>
        <w:tc>
          <w:tcPr>
            <w:tcW w:w="2699" w:type="dxa"/>
            <w:vAlign w:val="top"/>
          </w:tcPr>
          <w:p>
            <w:pPr>
              <w:spacing w:before="0" w:after="35" w:line="240" w:lineRule="auto"/>
            </w:pPr>
            <w:r>
              <w:rPr>
                <w:sz w:val="19"/>
              </w:rPr>
              <w:t xml:space="preserve">3. Verify</w:t>
            </w:r>
          </w:p>
        </w:tc>
        <w:tc>
          <w:tcPr>
            <w:tcW w:w="6939" w:type="dxa"/>
            <w:vAlign w:val="top"/>
          </w:tcPr>
          <w:p>
            <w:pPr>
              <w:spacing w:before="0" w:after="35" w:line="240" w:lineRule="auto"/>
            </w:pPr>
            <w:r>
              <w:rPr>
                <w:sz w:val="19"/>
              </w:rPr>
              <w:t xml:space="preserve">Kaynakları ve kanıtları değerlendirme</w:t>
            </w:r>
          </w:p>
        </w:tc>
      </w:tr>
      <w:tr>
        <w:trPr>
          <w:cantSplit/>
        </w:trPr>
        <w:tc>
          <w:tcPr>
            <w:tcW w:w="2699" w:type="dxa"/>
            <w:vAlign w:val="top"/>
          </w:tcPr>
          <w:p>
            <w:pPr>
              <w:spacing w:before="0" w:after="35" w:line="240" w:lineRule="auto"/>
            </w:pPr>
            <w:r>
              <w:rPr>
                <w:sz w:val="19"/>
              </w:rPr>
              <w:t xml:space="preserve">4. Structure</w:t>
            </w:r>
          </w:p>
        </w:tc>
        <w:tc>
          <w:tcPr>
            <w:tcW w:w="6939" w:type="dxa"/>
            <w:vAlign w:val="top"/>
          </w:tcPr>
          <w:p>
            <w:pPr>
              <w:spacing w:before="0" w:after="35" w:line="240" w:lineRule="auto"/>
            </w:pPr>
            <w:r>
              <w:rPr>
                <w:sz w:val="19"/>
              </w:rPr>
              <w:t xml:space="preserve">Problemi parçalama ve sistemi modelleme</w:t>
            </w:r>
          </w:p>
        </w:tc>
      </w:tr>
      <w:tr>
        <w:trPr>
          <w:cantSplit/>
        </w:trPr>
        <w:tc>
          <w:tcPr>
            <w:tcW w:w="2699" w:type="dxa"/>
            <w:vAlign w:val="top"/>
          </w:tcPr>
          <w:p>
            <w:pPr>
              <w:spacing w:before="0" w:after="35" w:line="240" w:lineRule="auto"/>
            </w:pPr>
            <w:r>
              <w:rPr>
                <w:sz w:val="19"/>
              </w:rPr>
              <w:t xml:space="preserve">5. Generate</w:t>
            </w:r>
          </w:p>
        </w:tc>
        <w:tc>
          <w:tcPr>
            <w:tcW w:w="6939" w:type="dxa"/>
            <w:vAlign w:val="top"/>
          </w:tcPr>
          <w:p>
            <w:pPr>
              <w:spacing w:before="0" w:after="35" w:line="240" w:lineRule="auto"/>
            </w:pPr>
            <w:r>
              <w:rPr>
                <w:sz w:val="19"/>
              </w:rPr>
              <w:t xml:space="preserve">Alternatif fikir ve çözüm üretme</w:t>
            </w:r>
          </w:p>
        </w:tc>
      </w:tr>
      <w:tr>
        <w:trPr>
          <w:cantSplit/>
        </w:trPr>
        <w:tc>
          <w:tcPr>
            <w:tcW w:w="2699" w:type="dxa"/>
            <w:vAlign w:val="top"/>
          </w:tcPr>
          <w:p>
            <w:pPr>
              <w:spacing w:before="0" w:after="35" w:line="240" w:lineRule="auto"/>
            </w:pPr>
            <w:r>
              <w:rPr>
                <w:sz w:val="19"/>
              </w:rPr>
              <w:t xml:space="preserve">6. Collaborate</w:t>
            </w:r>
          </w:p>
        </w:tc>
        <w:tc>
          <w:tcPr>
            <w:tcW w:w="6939" w:type="dxa"/>
            <w:vAlign w:val="top"/>
          </w:tcPr>
          <w:p>
            <w:pPr>
              <w:spacing w:before="0" w:after="35" w:line="240" w:lineRule="auto"/>
            </w:pPr>
            <w:r>
              <w:rPr>
                <w:sz w:val="19"/>
              </w:rPr>
              <w:t xml:space="preserve">Farklı bilgi ve perspektifleri birleştirme</w:t>
            </w:r>
          </w:p>
        </w:tc>
      </w:tr>
      <w:tr>
        <w:trPr>
          <w:cantSplit/>
        </w:trPr>
        <w:tc>
          <w:tcPr>
            <w:tcW w:w="2699" w:type="dxa"/>
            <w:vAlign w:val="top"/>
          </w:tcPr>
          <w:p>
            <w:pPr>
              <w:spacing w:before="0" w:after="35" w:line="240" w:lineRule="auto"/>
            </w:pPr>
            <w:r>
              <w:rPr>
                <w:sz w:val="19"/>
              </w:rPr>
              <w:t xml:space="preserve">7. Decide</w:t>
            </w:r>
          </w:p>
        </w:tc>
        <w:tc>
          <w:tcPr>
            <w:tcW w:w="6939" w:type="dxa"/>
            <w:vAlign w:val="top"/>
          </w:tcPr>
          <w:p>
            <w:pPr>
              <w:spacing w:before="0" w:after="35" w:line="240" w:lineRule="auto"/>
            </w:pPr>
            <w:r>
              <w:rPr>
                <w:sz w:val="19"/>
              </w:rPr>
              <w:t xml:space="preserve">Kanıt ve değerler doğrultusunda seçim yapma</w:t>
            </w:r>
          </w:p>
        </w:tc>
      </w:tr>
      <w:tr>
        <w:trPr>
          <w:cantSplit/>
        </w:trPr>
        <w:tc>
          <w:tcPr>
            <w:tcW w:w="2699" w:type="dxa"/>
            <w:vAlign w:val="top"/>
          </w:tcPr>
          <w:p>
            <w:pPr>
              <w:spacing w:before="0" w:after="35" w:line="240" w:lineRule="auto"/>
            </w:pPr>
            <w:r>
              <w:rPr>
                <w:sz w:val="19"/>
              </w:rPr>
              <w:t xml:space="preserve">8. Act / Test</w:t>
            </w:r>
          </w:p>
        </w:tc>
        <w:tc>
          <w:tcPr>
            <w:tcW w:w="6939" w:type="dxa"/>
            <w:vAlign w:val="top"/>
          </w:tcPr>
          <w:p>
            <w:pPr>
              <w:spacing w:before="0" w:after="35" w:line="240" w:lineRule="auto"/>
            </w:pPr>
            <w:r>
              <w:rPr>
                <w:sz w:val="19"/>
              </w:rPr>
              <w:t xml:space="preserve">Çözümü deneme</w:t>
            </w:r>
          </w:p>
        </w:tc>
      </w:tr>
      <w:tr>
        <w:trPr>
          <w:cantSplit/>
        </w:trPr>
        <w:tc>
          <w:tcPr>
            <w:tcW w:w="2699" w:type="dxa"/>
            <w:vAlign w:val="top"/>
          </w:tcPr>
          <w:p>
            <w:pPr>
              <w:spacing w:before="0" w:after="35" w:line="240" w:lineRule="auto"/>
            </w:pPr>
            <w:r>
              <w:rPr>
                <w:sz w:val="19"/>
              </w:rPr>
              <w:t xml:space="preserve">9. Observe</w:t>
            </w:r>
          </w:p>
        </w:tc>
        <w:tc>
          <w:tcPr>
            <w:tcW w:w="6939" w:type="dxa"/>
            <w:vAlign w:val="top"/>
          </w:tcPr>
          <w:p>
            <w:pPr>
              <w:spacing w:before="0" w:after="35" w:line="240" w:lineRule="auto"/>
            </w:pPr>
            <w:r>
              <w:rPr>
                <w:sz w:val="19"/>
              </w:rPr>
              <w:t xml:space="preserve">Sonuçları ve beklenmeyen etkileri inceleme</w:t>
            </w:r>
          </w:p>
        </w:tc>
      </w:tr>
      <w:tr>
        <w:trPr>
          <w:cantSplit/>
        </w:trPr>
        <w:tc>
          <w:tcPr>
            <w:tcW w:w="2699" w:type="dxa"/>
            <w:vAlign w:val="top"/>
          </w:tcPr>
          <w:p>
            <w:pPr>
              <w:spacing w:before="0" w:after="35" w:line="240" w:lineRule="auto"/>
            </w:pPr>
            <w:r>
              <w:rPr>
                <w:sz w:val="19"/>
              </w:rPr>
              <w:t xml:space="preserve">10. Monitor</w:t>
            </w:r>
          </w:p>
        </w:tc>
        <w:tc>
          <w:tcPr>
            <w:tcW w:w="6939" w:type="dxa"/>
            <w:vAlign w:val="top"/>
          </w:tcPr>
          <w:p>
            <w:pPr>
              <w:spacing w:before="0" w:after="35" w:line="240" w:lineRule="auto"/>
            </w:pPr>
            <w:r>
              <w:rPr>
                <w:sz w:val="19"/>
              </w:rPr>
              <w:t xml:space="preserve">Kendi düşünme ve stratejisini değerlendirme</w:t>
            </w:r>
          </w:p>
        </w:tc>
      </w:tr>
      <w:tr>
        <w:trPr>
          <w:cantSplit/>
        </w:trPr>
        <w:tc>
          <w:tcPr>
            <w:tcW w:w="2699" w:type="dxa"/>
            <w:vAlign w:val="top"/>
          </w:tcPr>
          <w:p>
            <w:pPr>
              <w:spacing w:before="0" w:after="35" w:line="240" w:lineRule="auto"/>
            </w:pPr>
            <w:r>
              <w:rPr>
                <w:sz w:val="19"/>
              </w:rPr>
              <w:t xml:space="preserve">11. Adapt</w:t>
            </w:r>
          </w:p>
        </w:tc>
        <w:tc>
          <w:tcPr>
            <w:tcW w:w="6939" w:type="dxa"/>
            <w:vAlign w:val="top"/>
          </w:tcPr>
          <w:p>
            <w:pPr>
              <w:spacing w:before="0" w:after="35" w:line="240" w:lineRule="auto"/>
            </w:pPr>
            <w:r>
              <w:rPr>
                <w:sz w:val="19"/>
              </w:rPr>
              <w:t xml:space="preserve">Yeni bilgiye göre strateji değiştirme</w:t>
            </w:r>
          </w:p>
        </w:tc>
      </w:tr>
      <w:tr>
        <w:trPr>
          <w:cantSplit/>
        </w:trPr>
        <w:tc>
          <w:tcPr>
            <w:tcW w:w="2699" w:type="dxa"/>
            <w:vAlign w:val="top"/>
          </w:tcPr>
          <w:p>
            <w:pPr>
              <w:spacing w:before="0" w:after="35" w:line="240" w:lineRule="auto"/>
            </w:pPr>
            <w:r>
              <w:rPr>
                <w:sz w:val="19"/>
              </w:rPr>
              <w:t xml:space="preserve">12. Reflect</w:t>
            </w:r>
          </w:p>
        </w:tc>
        <w:tc>
          <w:tcPr>
            <w:tcW w:w="6939" w:type="dxa"/>
            <w:vAlign w:val="top"/>
          </w:tcPr>
          <w:p>
            <w:pPr>
              <w:spacing w:before="0" w:after="35" w:line="240" w:lineRule="auto"/>
            </w:pPr>
            <w:r>
              <w:rPr>
                <w:sz w:val="19"/>
              </w:rPr>
              <w:t xml:space="preserve">Öğrenilenleri değerlendirme</w:t>
            </w:r>
          </w:p>
        </w:tc>
      </w:tr>
      <w:tr>
        <w:trPr>
          <w:cantSplit/>
        </w:trPr>
        <w:tc>
          <w:tcPr>
            <w:tcW w:w="2699" w:type="dxa"/>
            <w:vAlign w:val="top"/>
          </w:tcPr>
          <w:p>
            <w:pPr>
              <w:spacing w:before="0" w:after="35" w:line="240" w:lineRule="auto"/>
            </w:pPr>
            <w:r>
              <w:rPr>
                <w:sz w:val="19"/>
              </w:rPr>
              <w:t xml:space="preserve">13. Transfer</w:t>
            </w:r>
          </w:p>
        </w:tc>
        <w:tc>
          <w:tcPr>
            <w:tcW w:w="6939" w:type="dxa"/>
            <w:vAlign w:val="top"/>
          </w:tcPr>
          <w:p>
            <w:pPr>
              <w:spacing w:before="0" w:after="35" w:line="240" w:lineRule="auto"/>
            </w:pPr>
            <w:r>
              <w:rPr>
                <w:sz w:val="19"/>
              </w:rPr>
              <w:t xml:space="preserve">Öğrenilen yapının yeni bir problemde kullanımını inceleme</w:t>
            </w:r>
          </w:p>
        </w:tc>
      </w:tr>
    </w:tbl>
    <w:p>
      <w:pPr>
        <w:spacing w:after="50"/>
      </w:pPr>
    </w:p>
    <w:p>
      <w:pPr/>
      <w:r>
        <w:t xml:space="preserve">Agency, model boyunca öğrencinin karar ve eylemlerdeki rolünü ifade eden kesişen bir boyuttur. Transferin modelde yer alması, onun gerçekleştiğine ilişkin kanıt değildir; yeni bağlamdaki performansın ayrıca değerlendirilmesi gerekir.</w:t>
      </w:r>
    </w:p>
    <w:p>
      <w:pPr/>
      <w:r>
        <w:t xml:space="preserve">Bu sentezde doğrudan yetkinlik hedefleri (critical thinking, problem solving, creative thinking, computational thinking, data literacy, information/media literacy ve communication/collaboration), düzenleyici veya destekleyici mekanizmalar (metacognition, SRL, cognitive flexibility, persistence ve agency), karmaşık problem çerçeveleri (systems thinking, sustainability literacy ve futures thinking) ve yeni sosyoteknik alan (AI literacy) arasında işlevsel bir ayrım yapılmaktadır. Bu ayrım da araştırmacı sentezidir; yapıların birbirinden tamamen bağımsız veya tek bir kategoriyle sınırlı olduğunu göstermez.</w:t>
      </w:r>
      <w:r>
        <w:t xml:space="preserve"> Spatial reasoning ise bu kategorilere yeni bir küme eklemek yerine, problem temsili ve görsel modelleme gerektiren görevlerde kesişen destekleyici bir kapasite olarak ele alınmaktadır.</w:t>
      </w:r>
    </w:p>
    <w:p>
      <w:pPr>
        <w:pStyle w:val="Heading2"/>
      </w:pPr>
      <w:r>
        <w:t xml:space="preserve">Akademik araştırma kümeleri</w:t>
      </w:r>
    </w:p>
    <w:p>
      <w:pPr/>
      <w:r>
        <w:t xml:space="preserve">Adayların kavramsal ilişkileri, aşağıdaki sekiz araştırma kümesinde özetlenebilir. Kümeler pazar sıralaması veya ürün seçimi değildir; tekil yetkinliklerin tanımsal ve ölçümsel ayrımlarını ortadan kaldırmaz.</w:t>
      </w:r>
    </w:p>
    <w:tbl>
      <w:tblPr>
        <w:tblW w:w="9638" w:type="dxa"/>
        <w:tblLayout w:type="fixed"/>
        <w:tblBorders>
          <w:top w:val="single" w:sz="4" w:color="C4CDD5"/>
          <w:left w:val="single" w:sz="4" w:color="C4CDD5"/>
          <w:bottom w:val="single" w:sz="4" w:color="C4CDD5"/>
          <w:right w:val="single" w:sz="4" w:color="C4CDD5"/>
          <w:insideH w:val="single" w:sz="4" w:color="C4CDD5"/>
          <w:insideV w:val="single" w:sz="4" w:color="C4CDD5"/>
        </w:tblBorders>
        <w:tblCellMar>
          <w:top w:w="40" w:type="dxa"/>
          <w:bottom w:w="40" w:type="dxa"/>
          <w:left w:w="80" w:type="dxa"/>
          <w:right w:w="80" w:type="dxa"/>
        </w:tblCellMar>
      </w:tblPr>
      <w:tblGrid>
        <w:gridCol w:w="2699"/>
        <w:gridCol w:w="6939"/>
      </w:tblGrid>
      <w:tr>
        <w:trPr>
          <w:cantSplit/>
          <w:tblHeader/>
        </w:trPr>
        <w:tc>
          <w:tcPr>
            <w:tcW w:w="2699" w:type="dxa"/>
            <w:vAlign w:val="top"/>
            <w:shd w:fill="E9EEF3" w:val="clear"/>
          </w:tcPr>
          <w:p>
            <w:pPr>
              <w:spacing w:before="0" w:after="35" w:line="240" w:lineRule="auto"/>
            </w:pPr>
            <w:r>
              <w:rPr>
                <w:b/>
                <w:sz w:val="19"/>
              </w:rPr>
              <w:t xml:space="preserve">Küme</w:t>
            </w:r>
          </w:p>
        </w:tc>
        <w:tc>
          <w:tcPr>
            <w:tcW w:w="6939" w:type="dxa"/>
            <w:vAlign w:val="top"/>
            <w:shd w:fill="E9EEF3" w:val="clear"/>
          </w:tcPr>
          <w:p>
            <w:pPr>
              <w:spacing w:before="0" w:after="35" w:line="240" w:lineRule="auto"/>
            </w:pPr>
            <w:r>
              <w:rPr>
                <w:b/>
                <w:sz w:val="19"/>
              </w:rPr>
              <w:t xml:space="preserve">Kapsanan süreç ve temalar</w:t>
            </w:r>
          </w:p>
        </w:tc>
      </w:tr>
      <w:tr>
        <w:trPr>
          <w:cantSplit/>
        </w:trPr>
        <w:tc>
          <w:tcPr>
            <w:tcW w:w="2699" w:type="dxa"/>
            <w:vAlign w:val="top"/>
          </w:tcPr>
          <w:p>
            <w:pPr>
              <w:spacing w:before="0" w:after="35" w:line="240" w:lineRule="auto"/>
            </w:pPr>
            <w:r>
              <w:rPr>
                <w:sz w:val="19"/>
              </w:rPr>
              <w:t xml:space="preserve">Critical Thinking &amp; Evidence Evaluation</w:t>
            </w:r>
          </w:p>
        </w:tc>
        <w:tc>
          <w:tcPr>
            <w:tcW w:w="6939" w:type="dxa"/>
            <w:vAlign w:val="top"/>
          </w:tcPr>
          <w:p>
            <w:pPr>
              <w:spacing w:before="0" w:after="35" w:line="240" w:lineRule="auto"/>
            </w:pPr>
            <w:r>
              <w:rPr>
                <w:sz w:val="19"/>
              </w:rPr>
              <w:t xml:space="preserve">Critical thinking, source evaluation, misinformation, evidence reasoning</w:t>
            </w:r>
          </w:p>
        </w:tc>
      </w:tr>
      <w:tr>
        <w:trPr>
          <w:cantSplit/>
        </w:trPr>
        <w:tc>
          <w:tcPr>
            <w:tcW w:w="2699" w:type="dxa"/>
            <w:vAlign w:val="top"/>
          </w:tcPr>
          <w:p>
            <w:pPr>
              <w:spacing w:before="0" w:after="35" w:line="240" w:lineRule="auto"/>
            </w:pPr>
            <w:r>
              <w:rPr>
                <w:sz w:val="19"/>
              </w:rPr>
              <w:t xml:space="preserve">Open-Ended Problem Solving &amp; Systems Thinking</w:t>
            </w:r>
          </w:p>
        </w:tc>
        <w:tc>
          <w:tcPr>
            <w:tcW w:w="6939" w:type="dxa"/>
            <w:vAlign w:val="top"/>
          </w:tcPr>
          <w:p>
            <w:pPr>
              <w:spacing w:before="0" w:after="35" w:line="240" w:lineRule="auto"/>
            </w:pPr>
            <w:r>
              <w:rPr>
                <w:sz w:val="19"/>
              </w:rPr>
              <w:t xml:space="preserve">Ill-structured problems, simulation, causal reasoning, feedback, consequences</w:t>
            </w:r>
          </w:p>
        </w:tc>
      </w:tr>
      <w:tr>
        <w:trPr>
          <w:cantSplit/>
        </w:trPr>
        <w:tc>
          <w:tcPr>
            <w:tcW w:w="2699" w:type="dxa"/>
            <w:vAlign w:val="top"/>
          </w:tcPr>
          <w:p>
            <w:pPr>
              <w:spacing w:before="0" w:after="35" w:line="240" w:lineRule="auto"/>
            </w:pPr>
            <w:r>
              <w:rPr>
                <w:sz w:val="19"/>
              </w:rPr>
              <w:t xml:space="preserve">Creative Thinking &amp; Iterative Design</w:t>
            </w:r>
          </w:p>
        </w:tc>
        <w:tc>
          <w:tcPr>
            <w:tcW w:w="6939" w:type="dxa"/>
            <w:vAlign w:val="top"/>
          </w:tcPr>
          <w:p>
            <w:pPr>
              <w:spacing w:before="0" w:after="35" w:line="240" w:lineRule="auto"/>
            </w:pPr>
            <w:r>
              <w:rPr>
                <w:sz w:val="19"/>
              </w:rPr>
              <w:t xml:space="preserve">Divergent thinking, ideation, evaluation, design thinking, iteration</w:t>
            </w:r>
          </w:p>
        </w:tc>
      </w:tr>
      <w:tr>
        <w:trPr>
          <w:cantSplit/>
        </w:trPr>
        <w:tc>
          <w:tcPr>
            <w:tcW w:w="2699" w:type="dxa"/>
            <w:vAlign w:val="top"/>
          </w:tcPr>
          <w:p>
            <w:pPr>
              <w:spacing w:before="0" w:after="35" w:line="240" w:lineRule="auto"/>
            </w:pPr>
            <w:r>
              <w:rPr>
                <w:sz w:val="19"/>
              </w:rPr>
              <w:t xml:space="preserve">Metacognition, SRL &amp; Agency</w:t>
            </w:r>
          </w:p>
        </w:tc>
        <w:tc>
          <w:tcPr>
            <w:tcW w:w="6939" w:type="dxa"/>
            <w:vAlign w:val="top"/>
          </w:tcPr>
          <w:p>
            <w:pPr>
              <w:spacing w:before="0" w:after="35" w:line="240" w:lineRule="auto"/>
            </w:pPr>
            <w:r>
              <w:rPr>
                <w:sz w:val="19"/>
              </w:rPr>
              <w:t xml:space="preserve">Planning, monitoring, confidence calibration, help seeking, reflection, meaningful choice</w:t>
            </w:r>
          </w:p>
        </w:tc>
      </w:tr>
      <w:tr>
        <w:trPr>
          <w:cantSplit/>
        </w:trPr>
        <w:tc>
          <w:tcPr>
            <w:tcW w:w="2699" w:type="dxa"/>
            <w:vAlign w:val="top"/>
          </w:tcPr>
          <w:p>
            <w:pPr>
              <w:spacing w:before="0" w:after="35" w:line="240" w:lineRule="auto"/>
            </w:pPr>
            <w:r>
              <w:rPr>
                <w:sz w:val="19"/>
              </w:rPr>
              <w:t xml:space="preserve">Computational Thinking &amp; Data Literacy</w:t>
            </w:r>
          </w:p>
        </w:tc>
        <w:tc>
          <w:tcPr>
            <w:tcW w:w="6939" w:type="dxa"/>
            <w:vAlign w:val="top"/>
          </w:tcPr>
          <w:p>
            <w:pPr>
              <w:spacing w:before="0" w:after="35" w:line="240" w:lineRule="auto"/>
            </w:pPr>
            <w:r>
              <w:rPr>
                <w:sz w:val="19"/>
              </w:rPr>
              <w:t xml:space="preserve">Decomposition, abstraction, algorithms, debugging, data inquiry, data cleaning, data interpretation</w:t>
            </w:r>
          </w:p>
        </w:tc>
      </w:tr>
      <w:tr>
        <w:trPr>
          <w:cantSplit/>
        </w:trPr>
        <w:tc>
          <w:tcPr>
            <w:tcW w:w="2699" w:type="dxa"/>
            <w:vAlign w:val="top"/>
          </w:tcPr>
          <w:p>
            <w:pPr>
              <w:spacing w:before="0" w:after="35" w:line="240" w:lineRule="auto"/>
            </w:pPr>
            <w:r>
              <w:rPr>
                <w:sz w:val="19"/>
              </w:rPr>
              <w:t xml:space="preserve">AI Literacy &amp; Calibrated Trust</w:t>
            </w:r>
          </w:p>
        </w:tc>
        <w:tc>
          <w:tcPr>
            <w:tcW w:w="6939" w:type="dxa"/>
            <w:vAlign w:val="top"/>
          </w:tcPr>
          <w:p>
            <w:pPr>
              <w:spacing w:before="0" w:after="35" w:line="240" w:lineRule="auto"/>
            </w:pPr>
            <w:r>
              <w:rPr>
                <w:sz w:val="19"/>
              </w:rPr>
              <w:t xml:space="preserve">AI concepts, training data, AI errors, bias, human agency, verification, responsible AI</w:t>
            </w:r>
          </w:p>
        </w:tc>
      </w:tr>
      <w:tr>
        <w:trPr>
          <w:cantSplit/>
        </w:trPr>
        <w:tc>
          <w:tcPr>
            <w:tcW w:w="2699" w:type="dxa"/>
            <w:vAlign w:val="top"/>
          </w:tcPr>
          <w:p>
            <w:pPr>
              <w:spacing w:before="0" w:after="35" w:line="240" w:lineRule="auto"/>
            </w:pPr>
            <w:r>
              <w:rPr>
                <w:sz w:val="19"/>
              </w:rPr>
              <w:t xml:space="preserve">Collaboration, Communication &amp; Empathy</w:t>
            </w:r>
          </w:p>
        </w:tc>
        <w:tc>
          <w:tcPr>
            <w:tcW w:w="6939" w:type="dxa"/>
            <w:vAlign w:val="top"/>
          </w:tcPr>
          <w:p>
            <w:pPr>
              <w:spacing w:before="0" w:after="35" w:line="240" w:lineRule="auto"/>
            </w:pPr>
            <w:r>
              <w:rPr>
                <w:sz w:val="19"/>
              </w:rPr>
              <w:t xml:space="preserve">Shared problem solving, information sharing, perspective taking, negotiation, social reasoning</w:t>
            </w:r>
          </w:p>
        </w:tc>
      </w:tr>
      <w:tr>
        <w:trPr>
          <w:cantSplit/>
        </w:trPr>
        <w:tc>
          <w:tcPr>
            <w:tcW w:w="2699" w:type="dxa"/>
            <w:vAlign w:val="top"/>
          </w:tcPr>
          <w:p>
            <w:pPr>
              <w:spacing w:before="0" w:after="35" w:line="240" w:lineRule="auto"/>
            </w:pPr>
            <w:r>
              <w:rPr>
                <w:sz w:val="19"/>
              </w:rPr>
              <w:t xml:space="preserve">Sustainability &amp; Futures Thinking</w:t>
            </w:r>
          </w:p>
        </w:tc>
        <w:tc>
          <w:tcPr>
            <w:tcW w:w="6939" w:type="dxa"/>
            <w:vAlign w:val="top"/>
          </w:tcPr>
          <w:p>
            <w:pPr>
              <w:spacing w:before="0" w:after="35" w:line="240" w:lineRule="auto"/>
            </w:pPr>
            <w:r>
              <w:rPr>
                <w:sz w:val="19"/>
              </w:rPr>
              <w:t xml:space="preserve">Future scenarios, sustainability, trade-offs, long-term consequences, intergenerational reasoning</w:t>
            </w:r>
          </w:p>
        </w:tc>
      </w:tr>
    </w:tbl>
    <w:p>
      <w:pPr>
        <w:spacing w:after="50"/>
      </w:pPr>
    </w:p>
    <w:p>
      <w:pPr>
        <w:pStyle w:val="Heading2"/>
      </w:pPr>
      <w:r>
        <w:t xml:space="preserve">Gelişimsel sınırlar ve ortak araştırma problemi</w:t>
      </w:r>
    </w:p>
    <w:p>
      <w:pPr/>
      <w:r>
        <w:t xml:space="preserve">A2'deki bulgular, 3–6 yaşta birçok yetkinliğin öncüllerinin gözlenebildiğini; 6–8 yaşta gelişim ve öğretim olanakları bulunduğunu; 8–12 yaşta daha karmaşık kanıt değerlendirme, planlama, iş birliği, sistem muhakemesi ve metacognitive görevlerin incelenebildiğini göstermektedir. Bu genel görünüm, alanlara özgü örneklem sınırlarının yerine geçmez ve kesin gelişim normu veya hedef yaş seçimi olarak kullanılamaz.</w:t>
      </w:r>
    </w:p>
    <w:p>
      <w:pPr/>
      <w:r>
        <w:t xml:space="preserve">Alanlar arasında ortak araştırma problemi, yalnızca nihai yanıtı değil düşünme ve karar verme süreçlerini de değerlendirmektir. Problemi keşfetme, kullanılan bilgi, denenen stratejiler, yardım arama, karar değişikliği, kaynak güveni, hata sonrası davranış, perspektif kullanımı ve uzun vadeli sonuçları fark etme, süreç temelli yetkinlik değerlendirmesinde incelenebilecek göstergelerdir. Bunların dış ölçütlerle geçerlik ve güvenirliklerinin gösterilmesi, farklı görev ve bağlamlardaki anlamlarının sınanması gerekir.</w:t>
      </w:r>
    </w:p>
    <w:p>
      <w:pPr/>
      <w:r>
        <w:t xml:space="preserve">Sonuç olarak mevcut sentez, birden fazla yetkinliği ilişkili fakat ayrıştırılabilir öğrenme ve eylem süreçleri olarak ele almayı desteklemektedir. Öğretilebilirlik kanıtı, dijital ortama uygunluk, ölçüm olgunluğu ve transfer aynı düzeyde değildir. Akademik önceliklendirme bu ayrımları korumalı; özellikle yeni alanlardaki kavramsal potansiyel, çocuklara özgü deneysel kanıtın yerine konulmamalıdır.</w:t>
      </w:r>
    </w:p>
    <w:p>
      <w:pPr>
        <w:pStyle w:val="Heading1"/>
        <w:pageBreakBefore/>
      </w:pPr>
      <w:bookmarkStart w:id="14" w:name="References"/>
      <w:r>
        <w:t xml:space="preserve">Kaynakça</w:t>
      </w:r>
      <w:bookmarkEnd w:id="14"/>
    </w:p>
    <w:p>
      <w:pPr/>
      <w:r>
        <w:t>Bu kaynakça, raporda doğrudan adı geçen veya bibliyografik kaydı açık biçimde belirlenebilen temel akademik çalışmalar ile kurumsal çerçeveleri bir araya getirmektedir. Metin içinde yalnızca erişim bağlantısı üzerinden izlenen bazı güncel çevrimiçi tarama ve kurumsal kaynaklar ilgili hiperbağlantılarında korunmuştur. Kaynaklar bu çalışma sürümünde tek bir okunabilir liste altında toplanmıştır.</w:t>
      </w:r>
    </w:p>
    <w:p>
      <w:pPr>
        <w:spacing w:after="80"/>
        <w:ind w:left="360" w:hanging="360"/>
      </w:pPr>
      <w:r>
        <w:t>Abrami ve ark. (2015). Strategies for Teaching Students to Think Critically: A Meta-Analysis. Review of Educational Research, 85(2). DOI: 10.3102/0034654314551063.</w:t>
      </w:r>
    </w:p>
    <w:p>
      <w:pPr>
        <w:spacing w:after="80"/>
        <w:ind w:left="360" w:hanging="360"/>
      </w:pPr>
      <w:r>
        <w:t>Agarwal, P. K., Nunes, L. D. ve Blunt, J. R. (2021). Retrieval Practice Consistently Benefits Student Learning: a Systematic Review of Applied Research in Schools and Classrooms. Educational Psychology Review, 33, 1409–1453. DOI: 10.1007/s10648-021-09595-9.</w:t>
      </w:r>
    </w:p>
    <w:p>
      <w:pPr>
        <w:spacing w:after="80"/>
        <w:ind w:left="360" w:hanging="360"/>
      </w:pPr>
      <w:r>
        <w:t>Akcaoglu ve Green. (2019). Teaching systems thinking through game design. DOI: 10.1007/s11423-018-9596-8.</w:t>
      </w:r>
    </w:p>
    <w:p>
      <w:pPr>
        <w:spacing w:after="80"/>
        <w:ind w:left="360" w:hanging="360"/>
      </w:pPr>
      <w:r>
        <w:t>Alfieri, L., Brooks, P. J., Aldrich, N. J. ve Tenenbaum, H. R. (2011). Does Discovery-Based Instruction Enhance Learning? Journal of Educational Psychology, 103(1), 1–18. DOI: 10.1037/a0021017.</w:t>
      </w:r>
    </w:p>
    <w:p>
      <w:pPr>
        <w:spacing w:after="80"/>
        <w:ind w:left="360" w:hanging="360"/>
      </w:pPr>
      <w:r>
        <w:t>Anthony, L. (2019). Physical dimensions of children's touchscreen interactions: Lessons from five years of study on the MTAGIC project. International Journal of Human-Computer Studies, 128, 71–89. DOI: 10.1016/j.ijhcs.2019.02.005.</w:t>
      </w:r>
    </w:p>
    <w:p>
      <w:pPr>
        <w:spacing w:after="80"/>
        <w:ind w:left="360" w:hanging="360"/>
      </w:pPr>
      <w:r>
        <w:t>Arnold, R. D. ve Wade, J. P. (2015). A Definition of Systems Thinking: A Systems Approach. Procedia Computer Science, 44, 669–678. DOI: 10.1016/j.procs.2015.03.050.</w:t>
      </w:r>
    </w:p>
    <w:p>
      <w:pPr>
        <w:spacing w:after="80"/>
        <w:ind w:left="360" w:hanging="360"/>
      </w:pPr>
      <w:r>
        <w:t>Assaraf ve Orion. (2005). Development of system thinking skills in the context of earth system education. DOI: 10.1002/tea.20061.</w:t>
      </w:r>
    </w:p>
    <w:p>
      <w:pPr>
        <w:spacing w:after="80"/>
        <w:ind w:left="360" w:hanging="360"/>
      </w:pPr>
      <w:r>
        <w:t>Atit, K., Grossnickle Peterson, E., Gilligan-Lee, K., Hawes, Z. ve Lee, J. (2026). How spatial skills relate to science achievement: A meta-analytic review. Psychological Bulletin, 152(4), 355–379. DOI: 10.1037/bul0000524.</w:t>
      </w:r>
    </w:p>
    <w:p>
      <w:pPr>
        <w:spacing w:after="80"/>
        <w:ind w:left="360" w:hanging="360"/>
      </w:pPr>
      <w:r>
        <w:t>Atit, K., Power, J. R., Pigott, T., Lee, J., Geer, E. A., Uttal, D. H., Ganley, C. M. ve Sorby, S. A. (2022). Examining the relations between spatial skills and mathematical performance: A meta-analysis. Psychonomic Bulletin &amp; Review, 29(3), 699–720. DOI: 10.3758/s13423-021-02012-w.</w:t>
      </w:r>
    </w:p>
    <w:p>
      <w:pPr>
        <w:spacing w:after="80"/>
        <w:ind w:left="360" w:hanging="360"/>
      </w:pPr>
      <w:r>
        <w:t>Bianchi, G., Pisiotis, U. ve Cabrera Giraldez, M. (2022). GreenComp: The European Sustainability Competence Framework. Publications Office of the European Union. https://doi.org/10.2760/13286.</w:t>
      </w:r>
    </w:p>
    <w:p>
      <w:pPr>
        <w:spacing w:after="80"/>
        <w:ind w:left="360" w:hanging="360"/>
      </w:pPr>
      <w:r>
        <w:t>Bimpeh, Y. ve Miller, S. (2023). Exploring the concept of 21st century skills: a review of the literature. AQA.</w:t>
      </w:r>
    </w:p>
    <w:p>
      <w:pPr>
        <w:spacing w:after="80"/>
        <w:ind w:left="360" w:hanging="360"/>
      </w:pPr>
      <w:r>
        <w:t>Boulahmel, A., Djelil, F. ve Smits, G. (2025). Investigating Self-Regulated Learning Measurement Based on Trace Data: A Systematic Literature Review. Technology, Knowledge and Learning, 30, 119–156. DOI: 10.1007/s10758-025-09816-y.</w:t>
      </w:r>
    </w:p>
    <w:p>
      <w:pPr>
        <w:spacing w:after="80"/>
        <w:ind w:left="360" w:hanging="360"/>
      </w:pPr>
      <w:r>
        <w:t>Burns ve ark. (2025). Review of Education. DOI: 10.1002/rev3.70079.</w:t>
      </w:r>
    </w:p>
    <w:p>
      <w:pPr>
        <w:spacing w:after="80"/>
        <w:ind w:left="360" w:hanging="360"/>
      </w:pPr>
      <w:r>
        <w:t>Cai ve ark. (2025). Journal of Computer Assisted Learning, 41(2), e70002. DOI: 10.1111/jcal.70002.</w:t>
      </w:r>
    </w:p>
    <w:p>
      <w:pPr>
        <w:spacing w:after="80"/>
        <w:ind w:left="360" w:hanging="360"/>
      </w:pPr>
      <w:r>
        <w:t>Cai, C., Mei, Z., Wang, Z. ve Luo, S. (2025). School-based interventions for resilience in children and adolescents: a systematic review and meta-analysis of randomized controlled trials. Frontiers in Psychiatry, 16, 1594658. DOI: 10.3389/fpsyt.2025.1594658.</w:t>
      </w:r>
    </w:p>
    <w:p>
      <w:pPr>
        <w:spacing w:after="80"/>
        <w:ind w:left="360" w:hanging="360"/>
      </w:pPr>
      <w:r>
        <w:t>CAST. (2024). Universal Design for Learning Guidelines version 3.0. CAST.</w:t>
      </w:r>
    </w:p>
    <w:p>
      <w:pPr>
        <w:spacing w:after="80"/>
        <w:ind w:left="360" w:hanging="360"/>
      </w:pPr>
      <w:r>
        <w:t>Cipriano, C. ve ark. (2023). The state of evidence for social and emotional learning: A contemporary meta-analysis of universal school-based SEL interventions. Child Development, 94(5), 1181–1204. DOI: 10.1111/cdev.13968.</w:t>
      </w:r>
    </w:p>
    <w:p>
      <w:pPr>
        <w:spacing w:after="80"/>
        <w:ind w:left="360" w:hanging="360"/>
      </w:pPr>
      <w:r>
        <w:t>Committee on the Rights of the Child. (2021). General comment No. 25 (2021) on children’s rights in relation to the digital environment (CRC/C/GC/25). United Nations.</w:t>
      </w:r>
    </w:p>
    <w:p>
      <w:pPr>
        <w:spacing w:after="80"/>
        <w:ind w:left="360" w:hanging="360"/>
      </w:pPr>
      <w:r>
        <w:t>Cosgrove, J. ve Cachia, R. (2025). DigComp 3.0: European Digital Competence Framework – Fifth Edition. Publications Office of the European Union. https://doi.org/10.2760/0001149.</w:t>
      </w:r>
    </w:p>
    <w:p>
      <w:pPr>
        <w:spacing w:after="80"/>
        <w:ind w:left="360" w:hanging="360"/>
      </w:pPr>
      <w:r>
        <w:t>Dent, A. L. ve Koenka, A. C. (2016). The Relation between Self-Regulated Learning and Academic Achievement across Childhood and Adolescence: A Meta-Analysis. Educational Psychology Review, 28(3), 425–474.</w:t>
      </w:r>
    </w:p>
    <w:p>
      <w:pPr>
        <w:spacing w:after="80"/>
        <w:ind w:left="360" w:hanging="360"/>
      </w:pPr>
      <w:r>
        <w:t>Dignath, C., Buettner, G. ve Langfeldt, H.-P. (2008). How Can Primary School Students Learn Self-Regulated Learning Strategies Most Effectively? A Meta-Analysis on Self-Regulation Training Programmes. Educational Research Review, 3(2), 101–129. DOI: 10.1016/j.edurev.2008.02.003.</w:t>
      </w:r>
    </w:p>
    <w:p>
      <w:pPr>
        <w:spacing w:after="80"/>
        <w:ind w:left="360" w:hanging="360"/>
      </w:pPr>
      <w:r>
        <w:t>Du, J., Hew, K. F. ve Liu, L. (2023). What can online traces tell us about students’ self-regulated learning? A systematic review of online trace data analysis. Computers &amp; Education, 201, 104828. DOI: 10.1016/j.compedu.2023.104828.</w:t>
      </w:r>
    </w:p>
    <w:p>
      <w:pPr>
        <w:spacing w:after="80"/>
        <w:ind w:left="360" w:hanging="360"/>
      </w:pPr>
      <w:r>
        <w:t>Durlak, J. A., Weissberg, R. P., Dymnicki, A. B., Taylor, R. D. ve Schellinger, K. B. (2011). The Impact of Enhancing Students’ Social and Emotional Learning: A Meta-Analysis of School-Based Universal Interventions. Child Development, 82(1), 405–432. DOI: 10.1111/j.1467-8624.2010.01564.x.</w:t>
      </w:r>
    </w:p>
    <w:p>
      <w:pPr>
        <w:spacing w:after="80"/>
        <w:ind w:left="360" w:hanging="360"/>
      </w:pPr>
      <w:r>
        <w:t>Eberhart, J., Ingendahl, F. ve Bryce, D. (2025). Are metacognition interventions in young children effective? Evidence from a series of meta-analyses. Metacognition and Learning, 20, Article 7. DOI: 10.1007/s11409-024-09405-x.</w:t>
      </w:r>
    </w:p>
    <w:p>
      <w:pPr>
        <w:spacing w:after="80"/>
        <w:ind w:left="360" w:hanging="360"/>
      </w:pPr>
      <w:r>
        <w:t>European Commission. (2025). Guidelines on measures to ensure a high level of privacy, safety and security for minors online under the Digital Services Act. European Commission, 14 July 2025.</w:t>
      </w:r>
    </w:p>
    <w:p>
      <w:pPr>
        <w:spacing w:after="80"/>
        <w:ind w:left="360" w:hanging="360"/>
      </w:pPr>
      <w:r>
        <w:t>Fabio ve Patafi. (2026). Assessing Critical Thinking in Young Children: Development and Validation of the Critical Thinking Assessment for Children. Europe's Journal of Psychology, 22(2). DOI: 10.5964/ejop.17833.</w:t>
      </w:r>
    </w:p>
    <w:p>
      <w:pPr>
        <w:spacing w:after="80"/>
        <w:ind w:left="360" w:hanging="360"/>
      </w:pPr>
      <w:r>
        <w:t>Fails, J. A., Guha, M. L. ve Druin, A. (2013). Methods and techniques for involving children in the design of new technology for children. Foundations and Trends in Human–Computer Interaction, 6(2), 85–166. DOI: 10.1561/1100000018.</w:t>
      </w:r>
    </w:p>
    <w:p>
      <w:pPr>
        <w:spacing w:after="80"/>
        <w:ind w:left="360" w:hanging="360"/>
      </w:pPr>
      <w:r>
        <w:t>Feriver ve ark. (2019). Systems Thinking Skills of Preschool Children in Early Childhood Education Contexts from Turkey and Germany. DOI: 10.3390/su11051478.</w:t>
      </w:r>
    </w:p>
    <w:p>
      <w:pPr>
        <w:spacing w:after="80"/>
        <w:ind w:left="360" w:hanging="360"/>
      </w:pPr>
      <w:r>
        <w:t>Hawes, Z. C. K., Gilligan-Lee, K. A. ve Mix, K. S. (2022). Effects of spatial training on mathematics performance: A meta-analysis. Developmental Psychology, 58(1), 112–137. DOI: 10.1037/dev0001281.</w:t>
      </w:r>
    </w:p>
    <w:p>
      <w:pPr>
        <w:spacing w:after="80"/>
        <w:ind w:left="360" w:hanging="360"/>
      </w:pPr>
      <w:r>
        <w:t>Hokayem, Ma ve Jin. (2015). A Learning Progression for Feedback Loop Reasoning at Lower Elementary Level. DOI: 10.1080/00219266.2014.943789.</w:t>
      </w:r>
    </w:p>
    <w:p>
      <w:pPr>
        <w:spacing w:after="80"/>
        <w:ind w:left="360" w:hanging="360"/>
      </w:pPr>
      <w:r>
        <w:t>Jegstad ve ark. (2025). Approaches to critical thinking in primary education classrooms: A systematic review. Educational Research Review, 48, 100711. DOI: 10.1016/j.edurev.2025.100711.</w:t>
      </w:r>
    </w:p>
    <w:p>
      <w:pPr>
        <w:spacing w:after="80"/>
        <w:ind w:left="360" w:hanging="360"/>
      </w:pPr>
      <w:r>
        <w:t>Jonassen. (1997). Educational Technology Research and Development, 45(1), 65–94. DOI: 10.1007/BF02299613.</w:t>
      </w:r>
    </w:p>
    <w:p>
      <w:pPr>
        <w:spacing w:after="80"/>
        <w:ind w:left="360" w:hanging="360"/>
      </w:pPr>
      <w:r>
        <w:t>Kain, C., Koschmieder, C., Matischek-Jauk, M. ve Bergner, S. (2024). Mapping the landscape: A scoping review of 21st century skills literature in secondary education. Teaching and Teacher Education, 151, 104739. https://doi.org/10.1016/j.tate.2024.104739.</w:t>
      </w:r>
    </w:p>
    <w:p>
      <w:pPr>
        <w:spacing w:after="80"/>
        <w:ind w:left="360" w:hanging="360"/>
      </w:pPr>
      <w:r>
        <w:t>Lazonder, A. W. ve Harmsen, R. (2016). Meta-Analysis of Inquiry-Based Learning: Effects of Guidance. Review of Educational Research, 86(3), 681–718. DOI: 10.3102/0034654315627366.</w:t>
      </w:r>
    </w:p>
    <w:p>
      <w:pPr>
        <w:spacing w:after="80"/>
        <w:ind w:left="360" w:hanging="360"/>
      </w:pPr>
      <w:r>
        <w:t>Lehnert, F. K., Niess, J., Lallemand, C., Markopoulos, P., Fischbach, A. ve Koenig, V. (2022). Child–Computer Interaction: From a systematic review towards an integrated understanding of interaction design methods for children. International Journal of Child-Computer Interaction, 32, 100398. DOI: 10.1016/j.ijcci.2021.100398.</w:t>
      </w:r>
    </w:p>
    <w:p>
      <w:pPr>
        <w:spacing w:after="80"/>
        <w:ind w:left="360" w:hanging="360"/>
      </w:pPr>
      <w:r>
        <w:t>Liu, W., Chen, X. ve Abdul Razak, R. (2026). Child–Computer Interaction Quality Criteria for Preschool Educational Applications: A PRISMA-ScR-Informed Scoping Review. Computers, 15(8), 485. DOI: 10.3390/computers15080485.</w:t>
      </w:r>
    </w:p>
    <w:p>
      <w:pPr>
        <w:spacing w:after="80"/>
        <w:ind w:left="360" w:hanging="360"/>
      </w:pPr>
      <w:r>
        <w:t>Mambrey ve ark. (2020). The impact of system specifics on systems thinking. DOI: 10.1002/tea.21649.</w:t>
      </w:r>
    </w:p>
    <w:p>
      <w:pPr>
        <w:spacing w:after="80"/>
        <w:ind w:left="360" w:hanging="360"/>
      </w:pPr>
      <w:r>
        <w:t>Mammadov, S. ve Schroeder, K. (2023). A meta-analytic review of the relationships between autonomy support and positive learning outcomes. Contemporary Educational Psychology, 75, 102235. DOI: 10.1016/j.cedpsych.2023.102235.</w:t>
      </w:r>
    </w:p>
    <w:p>
      <w:pPr>
        <w:spacing w:after="80"/>
        <w:ind w:left="360" w:hanging="360"/>
      </w:pPr>
      <w:r>
        <w:t>Mao ve ark. (2022). Effects of Game-Based Learning on Students' Critical Thinking: A Meta-Analysis. Journal of Educational Computing Research, 59(8), 1682–1708. DOI: 10.1177/07356331211007098.</w:t>
      </w:r>
    </w:p>
    <w:p>
      <w:pPr>
        <w:spacing w:after="80"/>
        <w:ind w:left="360" w:hanging="360"/>
      </w:pPr>
      <w:r>
        <w:t>Mehren ve ark. (2018). System competence modelling. DOI: 10.1002/tea.21436.</w:t>
      </w:r>
    </w:p>
    <w:p>
      <w:pPr>
        <w:spacing w:after="80"/>
        <w:ind w:left="360" w:hanging="360"/>
      </w:pPr>
      <w:r>
        <w:t>Miao, F., Shiohira, K. ve Lao, N. (2024). AI Competency Framework for Students. UNESCO.</w:t>
      </w:r>
    </w:p>
    <w:p>
      <w:pPr>
        <w:spacing w:after="80"/>
        <w:ind w:left="360" w:hanging="360"/>
      </w:pPr>
      <w:r>
        <w:t>Millî Eğitim Bakanlığı. (2026). Yapay Zekâ Uygulamaları Etik Beyan Sistemi (YAZEK): Eğitimde yapay zekâ uygulamalarına ilişkin etik ilkeler ve uygulama rehberi. MEB.</w:t>
      </w:r>
    </w:p>
    <w:p>
      <w:pPr>
        <w:spacing w:after="80"/>
        <w:ind w:left="360" w:hanging="360"/>
      </w:pPr>
      <w:r>
        <w:t>Molnár, Greiff ve Csapó. (2013). Thinking Skills and Creativity, 9, 35–45. DOI: 10.1016/j.tsc.2013.03.002.</w:t>
      </w:r>
    </w:p>
    <w:p>
      <w:pPr>
        <w:spacing w:after="80"/>
        <w:ind w:left="360" w:hanging="360"/>
      </w:pPr>
      <w:r>
        <w:t>O'Reilly ve ark. (2022). Critical thinking in the preschool classroom – A systematic literature review. Thinking Skills and Creativity, 46, 101110. DOI: 10.1016/j.tsc.2022.101110.</w:t>
      </w:r>
    </w:p>
    <w:p>
      <w:pPr>
        <w:spacing w:after="80"/>
        <w:ind w:left="360" w:hanging="360"/>
      </w:pPr>
      <w:r>
        <w:t>OECD. (2013). PISA 2012 Assessment and Analytical Framework.</w:t>
      </w:r>
    </w:p>
    <w:p>
      <w:pPr>
        <w:spacing w:after="80"/>
        <w:ind w:left="360" w:hanging="360"/>
      </w:pPr>
      <w:r>
        <w:t>OECD. (2019). OECD Learning Compass 2030. OECD Future of Education and Skills 2030.</w:t>
      </w:r>
    </w:p>
    <w:p>
      <w:pPr>
        <w:spacing w:after="80"/>
        <w:ind w:left="360" w:hanging="360"/>
      </w:pPr>
      <w:r>
        <w:t>OECD. (2020). What Students Learn Matters: Towards a 21st Century Curriculum. OECD Publishing.</w:t>
      </w:r>
    </w:p>
    <w:p>
      <w:pPr>
        <w:spacing w:after="80"/>
        <w:ind w:left="360" w:hanging="360"/>
      </w:pPr>
      <w:r>
        <w:t>Peltier ve Vannest. (2017). Review of Educational Research, 87(5). DOI: 10.3102/0034654317720163.</w:t>
      </w:r>
    </w:p>
    <w:p>
      <w:pPr>
        <w:spacing w:after="80"/>
        <w:ind w:left="360" w:hanging="360"/>
      </w:pPr>
      <w:r>
        <w:t>Redman, A. ve Wiek, A. (2021). Competencies for Advancing Transformations Towards Sustainability. Frontiers in Education, 6, 785163. DOI: 10.3389/feduc.2021.785163.</w:t>
      </w:r>
    </w:p>
    <w:p>
      <w:pPr>
        <w:spacing w:after="80"/>
        <w:ind w:left="360" w:hanging="360"/>
      </w:pPr>
      <w:r>
        <w:t>Ruiz-del-Pino, B., Fernández-Martín, F. D. ve Arco-Tirado, J. L. (2022). Creativity training programs in primary education: A systematic review and meta-analysis. Thinking Skills and Creativity, 46, 101172. DOI: 10.1016/j.tsc.2022.101172.</w:t>
      </w:r>
    </w:p>
    <w:p>
      <w:pPr>
        <w:spacing w:after="80"/>
        <w:ind w:left="360" w:hanging="360"/>
      </w:pPr>
      <w:r>
        <w:t>Sala, A., Punie, Y., Garkov, V. ve Cabrera Giraldez, M. (2020). LifeComp: The European Framework for Personal, Social and Learning to Learn Key Competence. Publications Office of the European Union. https://doi.org/10.2760/302967.</w:t>
      </w:r>
    </w:p>
    <w:p>
      <w:pPr>
        <w:spacing w:after="80"/>
        <w:ind w:left="360" w:hanging="360"/>
      </w:pPr>
      <w:r>
        <w:t>Schoots-Snijder, A. ve ark. (2025). Curriculum guidelines for the development of student agency in secondary education: A systematic review. The Curriculum Journal. DOI: 10.1002/curj.318.</w:t>
      </w:r>
    </w:p>
    <w:p>
      <w:pPr>
        <w:spacing w:after="80"/>
        <w:ind w:left="360" w:hanging="360"/>
      </w:pPr>
      <w:r>
        <w:t>Schäfer ve ark. (2024). PLOS ONE, 19(8), e0309718. DOI: 10.1371/journal.pone.0309718.</w:t>
      </w:r>
    </w:p>
    <w:p>
      <w:pPr>
        <w:spacing w:after="80"/>
        <w:ind w:left="360" w:hanging="360"/>
      </w:pPr>
      <w:r>
        <w:t>Sio, U. N. ve Lortie-Forgues, H. (2024). The impact of creativity training on creative performance: A meta-analytic review and critical evaluation of 5 decades of creativity training studies. Psychological Bulletin, 150(5), 554–585. DOI: 10.1037/bul0000432.</w:t>
      </w:r>
    </w:p>
    <w:p>
      <w:pPr>
        <w:spacing w:after="80"/>
        <w:ind w:left="360" w:hanging="360"/>
      </w:pPr>
      <w:r>
        <w:t>Skene, K., O'Farrelly, C. M., Byrne, E. M., Kirby, N., Stevens, E. C. ve Ramchandani, P. G. (2022). Can guidance during play enhance children's learning and development in educational contexts? A systematic review and meta-analysis. Child Development, 93(4), 1162–1180. DOI: 10.1111/cdev.13730.</w:t>
      </w:r>
    </w:p>
    <w:p>
      <w:pPr>
        <w:spacing w:after="80"/>
        <w:ind w:left="360" w:hanging="360"/>
      </w:pPr>
      <w:r>
        <w:t>Sun ve ark. (2026). The Impact of Computational Modeling on Students' Systems Thinking in Science Education: A Meta-Analysis in K–16. DOI: 10.1002/tea.70028.</w:t>
      </w:r>
    </w:p>
    <w:p>
      <w:pPr>
        <w:spacing w:after="80"/>
        <w:ind w:left="360" w:hanging="360"/>
      </w:pPr>
      <w:r>
        <w:t>Sweller, J., van Merriënboer, J. J. G. ve Paas, F. (2019). Cognitive Architecture and Instructional Design: 20 Years Later. Educational Psychology Review, 31, 261–292. DOI: 10.1007/s10648-019-09465-5.</w:t>
      </w:r>
    </w:p>
    <w:p>
      <w:pPr>
        <w:spacing w:after="80"/>
        <w:ind w:left="360" w:hanging="360"/>
      </w:pPr>
      <w:r>
        <w:t>Tong, Wang ve Danovitch. (2020). The role of epistemic and social characteristics in children's selective trust: Three meta-analyses. Developmental Science, 23(2), e12895. DOI: 10.1111/desc.12895.</w:t>
      </w:r>
    </w:p>
    <w:p>
      <w:pPr>
        <w:spacing w:after="80"/>
        <w:ind w:left="360" w:hanging="360"/>
      </w:pPr>
      <w:r>
        <w:t>Türkiye Yüzyılı Maarif Modeli. Ulusal eğitim çerçevesi; ilgili alan ve okuryazarlık becerileri için erişim bağlantıları metinde verilmiştir.</w:t>
      </w:r>
    </w:p>
    <w:p>
      <w:pPr>
        <w:spacing w:after="80"/>
        <w:ind w:left="360" w:hanging="360"/>
      </w:pPr>
      <w:r>
        <w:t>UNICEF. (2019). Global Framework on Transferable Skills. UNICEF.</w:t>
      </w:r>
    </w:p>
    <w:p>
      <w:pPr>
        <w:spacing w:after="80"/>
        <w:ind w:left="360" w:hanging="360"/>
      </w:pPr>
      <w:r>
        <w:t>UNICEF. (2025). Guidance on AI and Children, Version 3.0: Recommendations for AI policies and systems that uphold child rights. UNICEF Office of Strategy and Evidence – Innocenti.</w:t>
      </w:r>
    </w:p>
    <w:p>
      <w:pPr>
        <w:spacing w:after="80"/>
        <w:ind w:left="360" w:hanging="360"/>
      </w:pPr>
      <w:r>
        <w:t>UNICEF. (2026). When AI becomes a friend: Child rights risks, harms, and regulatory responses to AI chatbots and companions. Policy brief. UNICEF.</w:t>
      </w:r>
    </w:p>
    <w:p>
      <w:pPr>
        <w:spacing w:after="80"/>
        <w:ind w:left="360" w:hanging="360"/>
      </w:pPr>
      <w:r>
        <w:t>Van Elsen ve ark. (2026). Review of Education. DOI: 10.1002/rev3.70181.</w:t>
      </w:r>
    </w:p>
    <w:p>
      <w:pPr>
        <w:spacing w:after="80"/>
        <w:ind w:left="360" w:hanging="360"/>
      </w:pPr>
      <w:r>
        <w:t>van Laar, E., van Deursen, A. J. A. M., van Dijk, J. A. G. M. ve de Haan, J. (2017). The relation between 21st-century skills and digital skills: A systematic literature review. Computers in Human Behavior, 72, 577–588. https://doi.org/10.1016/j.chb.2017.03.010.</w:t>
      </w:r>
    </w:p>
    <w:p>
      <w:pPr>
        <w:spacing w:after="80"/>
        <w:ind w:left="360" w:hanging="360"/>
      </w:pPr>
      <w:r>
        <w:t>Vessonen ve ark. (2025). International Journal of Educational Research, 132, 102642. DOI: 10.1016/j.ijer.2025.102642.</w:t>
      </w:r>
    </w:p>
    <w:p>
      <w:pPr>
        <w:spacing w:after="80"/>
        <w:ind w:left="360" w:hanging="360"/>
      </w:pPr>
      <w:r>
        <w:t>Wei ve Chen. (2025). The Effects of Philosophy for Children on Children's Cognitive Development: A Three-Level Meta-Analysis. Journal of Intelligence, 13(10), 130. DOI: 10.3390/jintelligence13100130.</w:t>
      </w:r>
    </w:p>
    <w:p>
      <w:pPr>
        <w:spacing w:after="80"/>
        <w:ind w:left="360" w:hanging="360"/>
      </w:pPr>
      <w:r>
        <w:t>Wisniewski, B., Zierer, K. ve Hattie, J. (2020). The Power of Feedback Revisited: A Meta-Analysis of Educational Feedback Research. Frontiers in Psychology, 10, 3087. DOI: 10.3389/fpsyg.2019.03087.</w:t>
      </w:r>
    </w:p>
    <w:p>
      <w:pPr>
        <w:spacing w:after="80"/>
        <w:ind w:left="360" w:hanging="360"/>
      </w:pPr>
      <w:r>
        <w:t>Yadav, S., Chakraborty, P., Meena, L., Yadav, D. ve Mittal, P. (2021). Children's interaction with touchscreen devices: Performance and validity of Fitts' law. Human Behavior and Emerging Technologies, 3(5), 1132–1140. DOI: 10.1002/hbe2.305.</w:t>
      </w:r>
    </w:p>
    <w:p>
      <w:pPr>
        <w:spacing w:after="80"/>
        <w:ind w:left="360" w:hanging="360"/>
      </w:pPr>
      <w:r>
        <w:t>Yang, W., Liu, H., Chen, N., Xu, P. ve Lin, X. (2020). Is Early Spatial Skills Training Effective? A Meta-Analysis. Frontiers in Psychology, 11, 1938. DOI: 10.3389/fpsyg.2020.01938.</w:t>
      </w:r>
    </w:p>
    <w:p>
      <w:pPr>
        <w:spacing w:after="80"/>
        <w:ind w:left="360" w:hanging="360"/>
      </w:pPr>
      <w:r>
        <w:t>Yim, I. H. Y. ve Su, J. (2025). Artificial intelligence literacy education in primary schools: a review. International Journal of Technology and Design Education, 35, 2175–2204. DOI: 10.1007/s10798-025-09979-w.</w:t>
      </w:r>
    </w:p>
    <w:sectPr>
      <w:footerReference w:type="default" r:id="rIdFooter"/>
      <w:type w:val="nextPage"/>
      <w:pgSz w:w="11906" w:h="16838"/>
      <w:pgMar w:top="1134" w:right="1134" w:bottom="1134" w:left="1134" w:header="567" w:footer="567" w:gut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üseyin Deniz" w:id="0" w:date="2026-09-08T09:23:05Z">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atıf</w:t>
      </w:r>
    </w:p>
  </w:comment>
  <w:comment w:author="Hüseyin Deniz" w:id="2" w:date="2026-09-08T09:24:09Z">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atıf</w:t>
      </w:r>
    </w:p>
  </w:comment>
  <w:comment w:author="Hüseyin Deniz" w:id="1" w:date="2026-09-08T09:23:14Z">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atıf</w:t>
      </w:r>
    </w:p>
  </w:comment>
</w:comments>
</file>

<file path=word/footer1.xml><?xml version="1.0" encoding="utf-8"?>
<w:ftr xmlns:w="http://schemas.openxmlformats.org/wordprocessingml/2006/main">
  <w:p>
    <w:pPr>
      <w:jc w:val="center"/>
    </w:pPr>
    <w:fldSimple w:instr="PAGE">
      <w:r>
        <w:rPr>
          <w:sz w:val="18"/>
        </w:rPr>
        <w:t xml:space="preserve">1</w:t>
      </w:r>
    </w:fldSimple>
  </w:p>
</w:ftr>
</file>

<file path=word/settings.xml><?xml version="1.0" encoding="utf-8"?>
<w:settings xmlns:w="http://schemas.openxmlformats.org/wordprocessingml/2006/main">
  <w:zoom w:percent="100"/>
  <w:defaultTabStop w:val="720"/>
  <w:updateFields w:val="true"/>
</w:settings>
</file>

<file path=word/styles.xml><?xml version="1.0" encoding="utf-8"?>
<w:styles xmlns:w="http://schemas.openxmlformats.org/wordprocessingml/2006/main">
  <w:docDefaults>
    <w:rPrDefault>
      <w:rPr>
        <w:rFonts w:ascii="Times New Roman" w:hAnsi="Times New Roman" w:cs="Times New Roman"/>
        <w:sz w:val="22"/>
        <w:lang w:val="tr-TR"/>
      </w:rPr>
    </w:rPrDefault>
    <w:pPrDefault>
      <w:pPr>
        <w:spacing w:after="110" w:line="264" w:lineRule="auto"/>
        <w:widowControl/>
      </w:pPr>
    </w:pPrDefault>
  </w:docDefaults>
  <w:style w:type="paragraph" w:styleId="Normal" w:default="1">
    <w:name w:val="Normal"/>
    <w:next w:val="Normal"/>
    <w:pPr/>
    <w:rPr>
      <w:sz w:val="22"/>
    </w:rPr>
  </w:style>
  <w:style w:type="paragraph" w:styleId="Title">
    <w:name w:val="Title"/>
    <w:basedOn w:val="Normal"/>
    <w:next w:val="Normal"/>
    <w:pPr>
      <w:spacing w:before="360" w:after="260"/>
      <w:keepNext/>
    </w:pPr>
    <w:rPr>
      <w:sz w:val="36"/>
      <w:b/>
      <w:rFonts w:ascii="Arial" w:hAnsi="Arial"/>
    </w:rPr>
  </w:style>
  <w:style w:type="paragraph" w:styleId="Heading1">
    <w:name w:val="heading 1"/>
    <w:basedOn w:val="Normal"/>
    <w:next w:val="Normal"/>
    <w:pPr>
      <w:keepNext/>
      <w:keepLines/>
      <w:outlineLvl w:val="0"/>
      <w:spacing w:before="210" w:after="100"/>
    </w:pPr>
    <w:rPr>
      <w:sz w:val="30"/>
      <w:b/>
      <w:rFonts w:ascii="Arial" w:hAnsi="Arial"/>
    </w:rPr>
  </w:style>
  <w:style w:type="paragraph" w:styleId="Heading2">
    <w:name w:val="heading 2"/>
    <w:basedOn w:val="Normal"/>
    <w:next w:val="Normal"/>
    <w:pPr>
      <w:keepNext/>
      <w:keepLines/>
      <w:outlineLvl w:val="1"/>
      <w:spacing w:before="210" w:after="100"/>
    </w:pPr>
    <w:rPr>
      <w:sz w:val="26"/>
      <w:b/>
      <w:rFonts w:ascii="Arial" w:hAnsi="Arial"/>
    </w:rPr>
  </w:style>
  <w:style w:type="paragraph" w:styleId="Heading3">
    <w:name w:val="heading 3"/>
    <w:basedOn w:val="Normal"/>
    <w:next w:val="Normal"/>
    <w:pPr>
      <w:keepNext/>
      <w:keepLines/>
      <w:outlineLvl w:val="2"/>
      <w:spacing w:before="210" w:after="100"/>
    </w:pPr>
    <w:rPr>
      <w:sz w:val="23"/>
      <w:b/>
      <w:rFonts w:ascii="Arial" w:hAnsi="Arial"/>
    </w:rPr>
  </w:style>
  <w:style w:type="paragraph" w:styleId="TOCEntry">
    <w:name w:val="Contents Entry"/>
    <w:basedOn w:val="Normal"/>
    <w:next w:val="Normal"/>
    <w:pPr/>
    <w:rPr>
      <w:sz w:val="22"/>
    </w:rPr>
  </w:style>
  <w:style w:type="paragraph" w:styleId="CommentText">
    <w:name w:val="Comment Text"/>
    <w:basedOn w:val="Normal"/>
    <w:next w:val="Normal"/>
    <w:pPr/>
    <w:rPr>
      <w:sz w:val="20"/>
    </w:rPr>
  </w:style>
  <w:style w:type="character" w:styleId="Hyperlink">
    <w:name w:val="Hyperlink"/>
    <w:rPr>
      <w:color w:val="285A87"/>
      <w:u w:val="single"/>
    </w:rPr>
  </w:style>
  <w:style w:type="character" w:styleId="CommentReference">
    <w:name w:val="CommentReference"/>
    <w:rPr>
      <w:vertAlign w:val="superscript"/>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Comments" Type="http://schemas.openxmlformats.org/officeDocument/2006/relationships/comments" Target="comments.xml"/><Relationship Id="rIdLink1" Type="http://schemas.openxmlformats.org/officeDocument/2006/relationships/hyperlink" Target="https://doi.org/10.2760/13286" TargetMode="External"/><Relationship Id="rIdLink2" Type="http://schemas.openxmlformats.org/officeDocument/2006/relationships/hyperlink" Target="https://doi.org/10.2760/0001149" TargetMode="External"/><Relationship Id="rIdLink3" Type="http://schemas.openxmlformats.org/officeDocument/2006/relationships/hyperlink" Target="https://doi.org/10.1016/j.edurev.2026.100794" TargetMode="External"/><Relationship Id="rIdLink4" Type="http://schemas.openxmlformats.org/officeDocument/2006/relationships/hyperlink" Target="https://link.springer.com/article/10.1007/s44217-026-01588-6" TargetMode="External"/><Relationship Id="rIdLink5" Type="http://schemas.openxmlformats.org/officeDocument/2006/relationships/hyperlink" Target="https://tymm.meb.gov.tr/beceriler/alan-becerileri" TargetMode="External"/><Relationship Id="rIdLink6" Type="http://schemas.openxmlformats.org/officeDocument/2006/relationships/hyperlink" Target="https://link.springer.com/article/10.1186/s40594-024-00510-6" TargetMode="External"/><Relationship Id="rIdLink7" Type="http://schemas.openxmlformats.org/officeDocument/2006/relationships/hyperlink" Target="https://onlinelibrary.wiley.com/doi/abs/10.1002/cae.70073" TargetMode="External"/><Relationship Id="rIdLink8" Type="http://schemas.openxmlformats.org/officeDocument/2006/relationships/hyperlink" Target="https://www.sciencedirect.com/science/article/pii/S2666557323000010" TargetMode="External"/><Relationship Id="rIdLink9" Type="http://schemas.openxmlformats.org/officeDocument/2006/relationships/hyperlink" Target="https://onlinelibrary.wiley.com/doi/full/10.1002/fer3.38" TargetMode="External"/><Relationship Id="rIdLink10" Type="http://schemas.openxmlformats.org/officeDocument/2006/relationships/hyperlink" Target="https://www.sciencedirect.com/science/article/pii/S1041608025000755" TargetMode="External"/><Relationship Id="rIdLink11" Type="http://schemas.openxmlformats.org/officeDocument/2006/relationships/hyperlink" Target="https://www.sciencedirect.com/science/article/pii/S1871187126001549" TargetMode="External"/><Relationship Id="rIdLink12" Type="http://schemas.openxmlformats.org/officeDocument/2006/relationships/hyperlink" Target="https://www.sciencedirect.com/science/article/pii/S187118712400066X" TargetMode="External"/><Relationship Id="rIdLink13" Type="http://schemas.openxmlformats.org/officeDocument/2006/relationships/hyperlink" Target="https://www.sciencedirect.com/science/article/pii/S0360131523002385" TargetMode="External"/><Relationship Id="rIdLink14" Type="http://schemas.openxmlformats.org/officeDocument/2006/relationships/hyperlink" Target="https://link.springer.com/article/10.1186/s40594-024-00517-z" TargetMode="External"/><Relationship Id="rIdLink15" Type="http://schemas.openxmlformats.org/officeDocument/2006/relationships/hyperlink" Target="https://www.mdpi.com/2227-7102/15/1/25" TargetMode="External"/><Relationship Id="rIdLink16" Type="http://schemas.openxmlformats.org/officeDocument/2006/relationships/hyperlink" Target="https://hdsr.mitpress.mit.edu/pub/cqncbp3l/release/5" TargetMode="External"/><Relationship Id="rIdLink17" Type="http://schemas.openxmlformats.org/officeDocument/2006/relationships/hyperlink" Target="https://tymm.meb.gov.tr/beceriler/okuryazarlik-becerileri" TargetMode="External"/><Relationship Id="rIdLink18" Type="http://schemas.openxmlformats.org/officeDocument/2006/relationships/hyperlink" Target="https://link.springer.com/article/10.1007/s11251-026-09803-5" TargetMode="External"/><Relationship Id="rIdLink19" Type="http://schemas.openxmlformats.org/officeDocument/2006/relationships/hyperlink" Target="https://doi.org/10.1016/j.edurev.2024.100663" TargetMode="External"/><Relationship Id="rIdLink20" Type="http://schemas.openxmlformats.org/officeDocument/2006/relationships/hyperlink" Target="https://www.sciencedirect.com/science/article/pii/S1747938X26000849" TargetMode="External"/><Relationship Id="rIdLink21" Type="http://schemas.openxmlformats.org/officeDocument/2006/relationships/hyperlink" Target="https://ijcses.org/index.php/ijcses/article/view/138" TargetMode="External"/><Relationship Id="rIdLink22" Type="http://schemas.openxmlformats.org/officeDocument/2006/relationships/hyperlink" Target="https://www.mdpi.com/2227-7102/15/8/985" TargetMode="External"/><Relationship Id="rIdLink23" Type="http://schemas.openxmlformats.org/officeDocument/2006/relationships/hyperlink" Target="https://publications.jrc.ec.europa.eu/repository/handle/JRC120911" TargetMode="External"/><Relationship Id="rIdLink24" Type="http://schemas.openxmlformats.org/officeDocument/2006/relationships/hyperlink" Target="https://tymm.meb.gov.tr/programlar-arasi-bilesenler" TargetMode="External"/><Relationship Id="rIdLink25" Type="http://schemas.openxmlformats.org/officeDocument/2006/relationships/hyperlink" Target="https://tymm.meb.gov.tr/upload/kilavuz/modul-2-yayin.pdf" TargetMode="External"/><Relationship Id="rIdLink26" Type="http://schemas.openxmlformats.org/officeDocument/2006/relationships/hyperlink" Target="https://tymm.meb.gov.tr/temel-yaklasim" TargetMode="External"/><Relationship Id="rIdLink27" Type="http://schemas.openxmlformats.org/officeDocument/2006/relationships/hyperlink" Target="https://pubmed.ncbi.nlm.nih.gov/26955206/" TargetMode="External"/><Relationship Id="rIdLink28" Type="http://schemas.openxmlformats.org/officeDocument/2006/relationships/hyperlink" Target="https://www.frontiersin.org/journals/psychology/articles/10.3389/fpsyg.2017.01040/full" TargetMode="External"/><Relationship Id="rIdLink29" Type="http://schemas.openxmlformats.org/officeDocument/2006/relationships/hyperlink" Target="https://pubmed.ncbi.nlm.nih.gov/33251895/" TargetMode="External"/><Relationship Id="rIdLink30" Type="http://schemas.openxmlformats.org/officeDocument/2006/relationships/hyperlink" Target="https://www.frontiersin.org/journals/education/articles/10.3389/feduc.2025.1673500/full" TargetMode="External"/><Relationship Id="rIdLink31" Type="http://schemas.openxmlformats.org/officeDocument/2006/relationships/hyperlink" Target="https://pubmed.ncbi.nlm.nih.gov/40458775/" TargetMode="External"/><Relationship Id="rIdLink32" Type="http://schemas.openxmlformats.org/officeDocument/2006/relationships/hyperlink" Target="https://www.frontiersin.org/journals/psychiatry/articles/10.3389/fpsyt.2025.1594658/full" TargetMode="External"/><Relationship Id="rIdLink33" Type="http://schemas.openxmlformats.org/officeDocument/2006/relationships/hyperlink" Target="https://www.oecd.org/en/data/tools/oecd-learning-compass-2030.html" TargetMode="External"/><Relationship Id="rIdLink34" Type="http://schemas.openxmlformats.org/officeDocument/2006/relationships/hyperlink" Target="https://bera-journals.onlinelibrary.wiley.com/doi/10.1002/curj.318" TargetMode="External"/><Relationship Id="rIdLink35" Type="http://schemas.openxmlformats.org/officeDocument/2006/relationships/hyperlink" Target="https://www.sciencedirect.com/science/article/pii/S0361476X23000899" TargetMode="External"/><Relationship Id="rIdLink36" Type="http://schemas.openxmlformats.org/officeDocument/2006/relationships/hyperlink" Target="https://www.oecd.org/en/publications/what-students-learn-matters_d86d4d9a-en/full-report/what-does-research-say_816c97c8.html" TargetMode="External"/><Relationship Id="rIdLink37" Type="http://schemas.openxmlformats.org/officeDocument/2006/relationships/hyperlink" Target="https://doi.org/10.1016/j.tate.2024.104739" TargetMode="External"/><Relationship Id="rIdLink38" Type="http://schemas.openxmlformats.org/officeDocument/2006/relationships/hyperlink" Target="https://doi.org/10.2760/302967" TargetMode="External"/><Relationship Id="rIdLink39" Type="http://schemas.openxmlformats.org/officeDocument/2006/relationships/hyperlink" Target="https://doi.org/10.1016/j.chb.2017.03.010?utm_source=chatgpt.com" TargetMode="External"/></Relationships>
</file>

<file path=docProps/core.xml><?xml version="1.0" encoding="utf-8"?>
<ns0:coreProperties xmlns:dc="http://purl.org/dc/elements/1.1/" xmlns:ns0="http://schemas.openxmlformats.org/package/2006/metadata/core-properties">
  <dc:title>2035–2040 İçin Çocuk Yetkinlikleri — A1–A3</dc:title>
  <dc:language>tr-TR</dc:language>
</ns0:coreProperties>
</file>