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rFonts w:ascii="Arial" w:hAnsi="Arial"/>
          <w:b/>
          <w:color w:val="1A365D"/>
          <w:sz w:val="42"/>
        </w:rPr>
        <w:t>2035–2040 Çocuk Yetkinlikleri Projesi</w:t>
      </w:r>
    </w:p>
    <w:p>
      <w:pPr>
        <w:widowControl/>
        <w:jc w:val="center"/>
      </w:pPr>
      <w:r>
        <w:rPr>
          <w:rFonts w:ascii="Arial" w:hAnsi="Arial"/>
          <w:b/>
          <w:color w:val="1F4E79"/>
          <w:sz w:val="36"/>
        </w:rPr>
        <w:t>B — Pazar, Rakip ve Fırsat Analizi</w:t>
      </w:r>
    </w:p>
    <w:p>
      <w:pPr>
        <w:widowControl/>
        <w:spacing w:before="200"/>
        <w:jc w:val="center"/>
      </w:pPr>
      <w:r>
        <w:rPr>
          <w:rFonts w:ascii="Arial" w:hAnsi="Arial"/>
          <w:sz w:val="22"/>
        </w:rPr>
        <w:t>Akademik A1–A3 sentezinden ürün seçimine geçiş için karar odaklı masa başı araştırması</w:t>
      </w:r>
    </w:p>
    <w:tbl>
      <w:tblPr>
        <w:tblW w:type="auto" w:w="0"/>
        <w:jc w:val="center"/>
        <w:tblLayout w:type="fixed"/>
        <w:tblLook w:firstColumn="1" w:firstRow="1" w:lastColumn="0" w:lastRow="0" w:noHBand="0" w:noVBand="1" w:val="04A0"/>
      </w:tblPr>
      <w:tblGrid>
        <w:gridCol w:w="9216"/>
      </w:tblGrid>
      <w:tr>
        <w:trPr>
          <w:trHeight w:hRule="atLeast"/>
        </w:trPr>
        <w:tc>
          <w:tcPr>
            <w:tcW w:type="dxa" w:w="9792"/>
            <w:shd w:fill="F2F2F2"/>
            <w:tcMar>
              <w:top w:w="120" w:type="dxa"/>
              <w:start w:w="140" w:type="dxa"/>
              <w:bottom w:w="120" w:type="dxa"/>
              <w:end w:w="140" w:type="dxa"/>
            </w:tcMar>
          </w:tcPr>
          <w:p>
            <w:pPr>
              <w:widowControl/>
              <w:spacing w:after="80"/>
            </w:pPr>
            <w:r/>
            <w:r>
              <w:rPr>
                <w:rFonts w:ascii="Arial" w:hAnsi="Arial"/>
                <w:b/>
                <w:sz w:val="21"/>
              </w:rPr>
              <w:t>Araştırma sınırı</w:t>
            </w:r>
          </w:p>
          <w:p>
            <w:pPr>
              <w:widowControl/>
              <w:spacing w:after="0" w:line="259" w:lineRule="auto"/>
            </w:pPr>
            <w:r>
              <w:rPr>
                <w:rFonts w:ascii="Arial" w:hAnsi="Arial"/>
                <w:sz w:val="20"/>
              </w:rPr>
              <w:t>Bu B bölümü kapsamlı bir yatırım/TAM raporu değildir. Amaç, A3’te belirlenen sekiz yetkinlik kümesini güncel ürünlerle karşılaştırmak, Türkiye ve global pazardaki yoğunlukları/boşlukları görünür kılmak ve demo için üç somut fırsat alanını önceliklendirmektir. Fiyat ve paket bilgileri 9 Eylül 2026 tarihinde erişilebilen kamuya açık sayfalardan alınmış olup değişebilir.</w:t>
            </w:r>
          </w:p>
        </w:tc>
      </w:tr>
    </w:tbl>
    <w:p>
      <w:pPr>
        <w:widowControl/>
        <w:spacing w:after="0"/>
      </w:pPr>
    </w:p>
    <w:p>
      <w:pPr>
        <w:pStyle w:val="SmallNote"/>
        <w:widowControl/>
        <w:spacing w:before="700"/>
        <w:jc w:val="center"/>
      </w:pPr>
      <w:r>
        <w:t>Sürüm 1.0 — 9 Eylül 2026</w:t>
      </w:r>
    </w:p>
    <w:p>
      <w:pPr>
        <w:widowControl/>
      </w:pPr>
      <w:r>
        <w:br w:type="page"/>
      </w:r>
    </w:p>
    <w:p>
      <w:pPr>
        <w:pStyle w:val="Heading1"/>
        <w:keepNext/>
        <w:widowControl/>
      </w:pPr>
      <w:r>
        <w:t>Yönetici Özeti</w:t>
      </w:r>
    </w:p>
    <w:p>
      <w:pPr>
        <w:widowControl/>
      </w:pPr>
      <w:r>
        <w:rPr>
          <w:b w:val="0"/>
        </w:rPr>
        <w:t xml:space="preserve">A1–A3 akademik raporu, </w:t>
      </w:r>
      <w:r>
        <w:rPr>
          <w:b/>
        </w:rPr>
        <w:t>tek bir “gelecek becerisi” seçmek yerine sekiz ilişkili araştırma kümesi</w:t>
      </w:r>
      <w:r>
        <w:t xml:space="preserve"> ortaya koymuştur. Özellikle açık uçlu problem çözme, sistem düşüncesi, eleştirel kanıt değerlendirme, yaratıcı düşünme, üstbiliş/eyleyicilik ve süreç temelli ölçme ortak bir eksende kesişmektedir [A0].</w:t>
      </w:r>
    </w:p>
    <w:p>
      <w:pPr>
        <w:pStyle w:val="ListBullet"/>
        <w:widowControl/>
        <w:spacing w:after="60"/>
      </w:pPr>
      <w:r>
        <w:t>Global pazarda kodlama, matematik pratiği, müfredat destek ve genel dijital okuryazarlık alanları güçlü ve kalabalıktır. Scratch, Tynker, Code.org, Brilliant, DragonBox ve Prodigy bu yoğunluğu gösterir.</w:t>
      </w:r>
    </w:p>
    <w:p>
      <w:pPr>
        <w:pStyle w:val="ListBullet"/>
        <w:widowControl/>
        <w:spacing w:after="60"/>
      </w:pPr>
      <w:r>
        <w:t>Açık uçlu, tek doğru cevabı olmayan, sonuçların zaman içinde değiştiği problem/sistem deneyimleri daha az sayıdadır. Synthesis, Minecraft Education, Quandary, Tinybop ve Twin bu yönün farklı parçalarını temsil eder.</w:t>
      </w:r>
    </w:p>
    <w:p>
      <w:pPr>
        <w:pStyle w:val="ListBullet"/>
        <w:widowControl/>
        <w:spacing w:after="60"/>
      </w:pPr>
      <w:r>
        <w:t>Türkiye’de pazar daha çok MEB uyumlu içerik/sınav desteği (Morpa, Okulistik, Derslig), bilişsel mini oyunlar (MentalUP) ve kodlama/STEM (Kodris, Twin) çevresinde yoğunlaşmaktadır.</w:t>
      </w:r>
    </w:p>
    <w:p>
      <w:pPr>
        <w:pStyle w:val="ListBullet"/>
        <w:widowControl/>
        <w:spacing w:after="60"/>
      </w:pPr>
      <w:r>
        <w:t>Kamuya açık ürün anlatımlarında “düşünme sürecinin geçerli biçimde ölçülmesi” nadirdir. İlerleme, skor, mastery, test ve performans raporları yaygındır; ancak keşif, kanıt arama, strateji değişimi, yardım arama, gecikmiş sonuçları fark etme gibi süreçlerden doğrulanmış çoklu-yetkinlik profili çıkarma görünür bir pazar standardı değildir.</w:t>
      </w:r>
    </w:p>
    <w:p>
      <w:pPr>
        <w:pStyle w:val="ListBullet"/>
        <w:widowControl/>
        <w:spacing w:after="60"/>
      </w:pPr>
      <w:r>
        <w:t>Bu taramada en güçlü üç fırsat: (A) 2D açık uçlu sistem simülasyonu, (B) AI/bilgi güvenilirliği için “Kanıt Avcıları”, (C) iş birlikli problem çözme “Görev Ekibi”. A seçeneği 91/100 ile ilk demo için en yüksek önceliği almıştır.</w:t>
      </w:r>
    </w:p>
    <w:tbl>
      <w:tblPr>
        <w:tblW w:type="auto" w:w="0"/>
        <w:jc w:val="center"/>
        <w:tblLayout w:type="fixed"/>
        <w:tblLook w:firstColumn="1" w:firstRow="1" w:lastColumn="0" w:lastRow="0" w:noHBand="0" w:noVBand="1" w:val="04A0"/>
      </w:tblPr>
      <w:tblGrid>
        <w:gridCol w:w="9216"/>
      </w:tblGrid>
      <w:tr>
        <w:trPr>
          <w:trHeight w:hRule="atLeast"/>
        </w:trPr>
        <w:tc>
          <w:tcPr>
            <w:tcW w:type="dxa" w:w="9792"/>
            <w:shd w:fill="E2F0D9"/>
            <w:tcMar>
              <w:top w:w="120" w:type="dxa"/>
              <w:start w:w="140" w:type="dxa"/>
              <w:bottom w:w="120" w:type="dxa"/>
              <w:end w:w="140" w:type="dxa"/>
            </w:tcMar>
          </w:tcPr>
          <w:p>
            <w:pPr>
              <w:widowControl/>
              <w:spacing w:after="80"/>
            </w:pPr>
            <w:r/>
            <w:r>
              <w:rPr>
                <w:rFonts w:ascii="Arial" w:hAnsi="Arial"/>
                <w:b/>
                <w:sz w:val="21"/>
              </w:rPr>
              <w:t>Önerilen yön</w:t>
            </w:r>
          </w:p>
          <w:p>
            <w:pPr>
              <w:widowControl/>
              <w:spacing w:after="0" w:line="259" w:lineRule="auto"/>
            </w:pPr>
            <w:r>
              <w:rPr>
                <w:rFonts w:ascii="Arial" w:hAnsi="Arial"/>
                <w:sz w:val="20"/>
              </w:rPr>
              <w:t>B bölümünün sonucu, ilk demoda 8–12 yaş için yazılım-öncelikli bir 2D “açık uçlu problem + sistem simülasyonu” geliştirilmesinin en dengeli seçenek olduğudur. Nihai ürün kararı bir sonraki adımda, bu rapordaki puanlamanın birlikte gözden geçirilmesiyle verilmelidir.</w:t>
            </w:r>
          </w:p>
        </w:tc>
      </w:tr>
    </w:tbl>
    <w:p>
      <w:pPr>
        <w:widowControl/>
        <w:spacing w:after="0"/>
      </w:pPr>
    </w:p>
    <w:p>
      <w:pPr>
        <w:pStyle w:val="Heading1"/>
        <w:keepNext/>
        <w:widowControl/>
      </w:pPr>
      <w:r>
        <w:t>B0. Amaç, Kapsam ve Yöntem</w:t>
      </w:r>
    </w:p>
    <w:p>
      <w:pPr>
        <w:widowControl/>
      </w:pPr>
      <w:r>
        <w:t>Bu bölüm, A3’teki akademik sentezin doğrudan devamıdır. A3 sekiz araştırma kümesini tanımlamış ve alanlar arasında ortak araştırma problemini yalnızca nihai yanıtı değil düşünme/karar verme süreçlerini de değerlendirmek olarak belirlemiştir [A0]. Bu nedenle pazar taramasında ürünlerin yalnızca “hangi konuyu öğrettiğine” değil, çocuğa hangi davranışları yaptırdığına ve neyi ölçtüğüne bakılmıştır.</w:t>
      </w:r>
    </w:p>
    <w:p>
      <w:pPr>
        <w:pStyle w:val="Heading2"/>
        <w:keepNext/>
        <w:widowControl/>
      </w:pPr>
      <w:r>
        <w:t>B0.1. İncelenen sekiz yetkinlik kümesi</w:t>
      </w:r>
    </w:p>
    <w:tbl>
      <w:tblPr>
        <w:tblStyle w:val="TableGrid"/>
        <w:tblW w:type="auto" w:w="0"/>
        <w:jc w:val="center"/>
        <w:tblLook w:firstColumn="1" w:firstRow="1" w:lastColumn="0" w:lastRow="0" w:noHBand="0" w:noVBand="1" w:val="04A0"/>
      </w:tblPr>
      <w:tblGrid>
        <w:gridCol w:w="4896"/>
        <w:gridCol w:w="4896"/>
      </w:tblGrid>
      <w:tr>
        <w:trPr>
          <w:trHeight w:hRule="atLeast"/>
        </w:trPr>
        <w:tc>
          <w:tcPr>
            <w:tcW w:type="dxa" w:w="4896"/>
            <w:tcMar>
              <w:top w:w="55" w:type="dxa"/>
              <w:start w:w="70" w:type="dxa"/>
              <w:bottom w:w="55" w:type="dxa"/>
              <w:end w:w="70" w:type="dxa"/>
            </w:tcMar>
          </w:tcPr>
          <w:p>
            <w:pPr>
              <w:widowControl/>
              <w:spacing w:after="20" w:line="240" w:lineRule="auto"/>
            </w:pPr>
            <w:r/>
            <w:r>
              <w:rPr>
                <w:rFonts w:ascii="Arial" w:hAnsi="Arial"/>
                <w:b/>
                <w:sz w:val="17"/>
              </w:rPr>
              <w:t xml:space="preserve">1. Critical Thinking &amp; Evidence Evaluation: </w:t>
            </w:r>
            <w:r>
              <w:rPr>
                <w:rFonts w:ascii="Arial" w:hAnsi="Arial"/>
                <w:sz w:val="17"/>
              </w:rPr>
              <w:t>Kaynak değerlendirme, misinformation, evidence reasoning.</w:t>
            </w:r>
          </w:p>
        </w:tc>
        <w:tc>
          <w:tcPr>
            <w:tcW w:type="dxa" w:w="4896"/>
            <w:tcMar>
              <w:top w:w="55" w:type="dxa"/>
              <w:start w:w="70" w:type="dxa"/>
              <w:bottom w:w="55" w:type="dxa"/>
              <w:end w:w="70" w:type="dxa"/>
            </w:tcMar>
          </w:tcPr>
          <w:p>
            <w:pPr>
              <w:widowControl/>
              <w:spacing w:after="20" w:line="240" w:lineRule="auto"/>
            </w:pPr>
            <w:r/>
            <w:r>
              <w:rPr>
                <w:rFonts w:ascii="Arial" w:hAnsi="Arial"/>
                <w:b/>
                <w:sz w:val="17"/>
              </w:rPr>
              <w:t xml:space="preserve">2. Open-Ended Problem Solving &amp; Systems Thinking: </w:t>
            </w:r>
            <w:r>
              <w:rPr>
                <w:rFonts w:ascii="Arial" w:hAnsi="Arial"/>
                <w:sz w:val="17"/>
              </w:rPr>
              <w:t>Ill-structured problems, simulation, causal reasoning, feedback, consequences.</w:t>
            </w:r>
          </w:p>
        </w:tc>
      </w:tr>
      <w:tr>
        <w:trPr>
          <w:trHeight w:hRule="atLeast"/>
        </w:trPr>
        <w:tc>
          <w:tcPr>
            <w:tcW w:type="dxa" w:w="4896"/>
            <w:tcMar>
              <w:top w:w="55" w:type="dxa"/>
              <w:start w:w="70" w:type="dxa"/>
              <w:bottom w:w="55" w:type="dxa"/>
              <w:end w:w="70" w:type="dxa"/>
            </w:tcMar>
          </w:tcPr>
          <w:p>
            <w:pPr>
              <w:widowControl/>
              <w:spacing w:after="20" w:line="240" w:lineRule="auto"/>
            </w:pPr>
            <w:r/>
            <w:r>
              <w:rPr>
                <w:rFonts w:ascii="Arial" w:hAnsi="Arial"/>
                <w:b/>
                <w:sz w:val="17"/>
              </w:rPr>
              <w:t xml:space="preserve">3. Creative Thinking &amp; Iterative Design: </w:t>
            </w:r>
            <w:r>
              <w:rPr>
                <w:rFonts w:ascii="Arial" w:hAnsi="Arial"/>
                <w:sz w:val="17"/>
              </w:rPr>
              <w:t>Divergent thinking, ideation, evaluation, prototyping/iteration.</w:t>
            </w:r>
          </w:p>
        </w:tc>
        <w:tc>
          <w:tcPr>
            <w:tcW w:type="dxa" w:w="4896"/>
            <w:tcMar>
              <w:top w:w="55" w:type="dxa"/>
              <w:start w:w="70" w:type="dxa"/>
              <w:bottom w:w="55" w:type="dxa"/>
              <w:end w:w="70" w:type="dxa"/>
            </w:tcMar>
          </w:tcPr>
          <w:p>
            <w:pPr>
              <w:widowControl/>
              <w:spacing w:after="20" w:line="240" w:lineRule="auto"/>
            </w:pPr>
            <w:r/>
            <w:r>
              <w:rPr>
                <w:rFonts w:ascii="Arial" w:hAnsi="Arial"/>
                <w:b/>
                <w:sz w:val="17"/>
              </w:rPr>
              <w:t xml:space="preserve">4. Metacognition, SRL &amp; Agency: </w:t>
            </w:r>
            <w:r>
              <w:rPr>
                <w:rFonts w:ascii="Arial" w:hAnsi="Arial"/>
                <w:sz w:val="17"/>
              </w:rPr>
              <w:t>Planning, monitoring, confidence calibration, help seeking, reflection, meaningful choice.</w:t>
            </w:r>
          </w:p>
        </w:tc>
      </w:tr>
      <w:tr>
        <w:trPr>
          <w:trHeight w:hRule="atLeast"/>
        </w:trPr>
        <w:tc>
          <w:tcPr>
            <w:tcW w:type="dxa" w:w="4896"/>
            <w:tcMar>
              <w:top w:w="55" w:type="dxa"/>
              <w:start w:w="70" w:type="dxa"/>
              <w:bottom w:w="55" w:type="dxa"/>
              <w:end w:w="70" w:type="dxa"/>
            </w:tcMar>
          </w:tcPr>
          <w:p>
            <w:pPr>
              <w:widowControl/>
              <w:spacing w:after="20" w:line="240" w:lineRule="auto"/>
            </w:pPr>
            <w:r/>
            <w:r>
              <w:rPr>
                <w:rFonts w:ascii="Arial" w:hAnsi="Arial"/>
                <w:b/>
                <w:sz w:val="17"/>
              </w:rPr>
              <w:t xml:space="preserve">5. Computational Thinking &amp; Data Literacy: </w:t>
            </w:r>
            <w:r>
              <w:rPr>
                <w:rFonts w:ascii="Arial" w:hAnsi="Arial"/>
                <w:sz w:val="17"/>
              </w:rPr>
              <w:t>Decomposition, abstraction, algorithms, debugging, data inquiry/interpretation.</w:t>
            </w:r>
          </w:p>
        </w:tc>
        <w:tc>
          <w:tcPr>
            <w:tcW w:type="dxa" w:w="4896"/>
            <w:tcMar>
              <w:top w:w="55" w:type="dxa"/>
              <w:start w:w="70" w:type="dxa"/>
              <w:bottom w:w="55" w:type="dxa"/>
              <w:end w:w="70" w:type="dxa"/>
            </w:tcMar>
          </w:tcPr>
          <w:p>
            <w:pPr>
              <w:widowControl/>
              <w:spacing w:after="20" w:line="240" w:lineRule="auto"/>
            </w:pPr>
            <w:r/>
            <w:r>
              <w:rPr>
                <w:rFonts w:ascii="Arial" w:hAnsi="Arial"/>
                <w:b/>
                <w:sz w:val="17"/>
              </w:rPr>
              <w:t xml:space="preserve">6. AI Literacy &amp; Calibrated Trust: </w:t>
            </w:r>
            <w:r>
              <w:rPr>
                <w:rFonts w:ascii="Arial" w:hAnsi="Arial"/>
                <w:sz w:val="17"/>
              </w:rPr>
              <w:t>AI concepts, errors, bias, verification, human agency, responsible use.</w:t>
            </w:r>
          </w:p>
        </w:tc>
      </w:tr>
      <w:tr>
        <w:trPr>
          <w:trHeight w:hRule="atLeast"/>
        </w:trPr>
        <w:tc>
          <w:tcPr>
            <w:tcW w:type="dxa" w:w="4896"/>
            <w:tcMar>
              <w:top w:w="55" w:type="dxa"/>
              <w:start w:w="70" w:type="dxa"/>
              <w:bottom w:w="55" w:type="dxa"/>
              <w:end w:w="70" w:type="dxa"/>
            </w:tcMar>
          </w:tcPr>
          <w:p>
            <w:pPr>
              <w:widowControl/>
              <w:spacing w:after="20" w:line="240" w:lineRule="auto"/>
            </w:pPr>
            <w:r/>
            <w:r>
              <w:rPr>
                <w:rFonts w:ascii="Arial" w:hAnsi="Arial"/>
                <w:b/>
                <w:sz w:val="17"/>
              </w:rPr>
              <w:t xml:space="preserve">7. Collaboration, Communication &amp; Empathy: </w:t>
            </w:r>
            <w:r>
              <w:rPr>
                <w:rFonts w:ascii="Arial" w:hAnsi="Arial"/>
                <w:sz w:val="17"/>
              </w:rPr>
              <w:t>Shared problem solving, information sharing, perspective taking, negotiation.</w:t>
            </w:r>
          </w:p>
        </w:tc>
        <w:tc>
          <w:tcPr>
            <w:tcW w:type="dxa" w:w="4896"/>
            <w:tcMar>
              <w:top w:w="55" w:type="dxa"/>
              <w:start w:w="70" w:type="dxa"/>
              <w:bottom w:w="55" w:type="dxa"/>
              <w:end w:w="70" w:type="dxa"/>
            </w:tcMar>
          </w:tcPr>
          <w:p>
            <w:pPr>
              <w:widowControl/>
              <w:spacing w:after="20" w:line="240" w:lineRule="auto"/>
            </w:pPr>
            <w:r/>
            <w:r>
              <w:rPr>
                <w:rFonts w:ascii="Arial" w:hAnsi="Arial"/>
                <w:b/>
                <w:sz w:val="17"/>
              </w:rPr>
              <w:t xml:space="preserve">8. Sustainability &amp; Futures Thinking: </w:t>
            </w:r>
            <w:r>
              <w:rPr>
                <w:rFonts w:ascii="Arial" w:hAnsi="Arial"/>
                <w:sz w:val="17"/>
              </w:rPr>
              <w:t>Trade-offs, long-term consequences, future scenarios, intergenerational reasoning.</w:t>
            </w:r>
          </w:p>
        </w:tc>
      </w:tr>
    </w:tbl>
    <w:p>
      <w:pPr>
        <w:pStyle w:val="Heading2"/>
        <w:keepNext/>
        <w:widowControl/>
      </w:pPr>
      <w:r>
        <w:t>B0.2. Rakip seçim kriterleri ve sınırlılıklar</w:t>
      </w:r>
    </w:p>
    <w:p>
      <w:pPr>
        <w:pStyle w:val="Compact"/>
        <w:widowControl/>
      </w:pPr>
      <w:r>
        <w:t>Seçilen ürünler çocuk/K–12 odağı, sekiz yetkinlik kümesinden en az biriyle anlamlı ilişki, pazar görünürlüğü ve kamuya açık ürün bilgisi ölçütleriyle belirlenmiştir; benzer ürünler içinde temsil gücü yüksek örnekler tercih edilmiştir.</w:t>
      </w:r>
    </w:p>
    <w:p>
      <w:pPr>
        <w:widowControl/>
        <w:sectPr>
          <w:footerReference w:type="default" r:id="rId9"/>
          <w:pgSz w:w="12240" w:h="15840"/>
          <w:pgMar w:top="1152" w:right="1224" w:bottom="1080" w:left="1224" w:header="720" w:footer="720" w:gutter="0"/>
          <w:cols w:space="720"/>
          <w:docGrid w:linePitch="360"/>
        </w:sectPr>
      </w:pPr>
    </w:p>
    <w:p>
      <w:pPr>
        <w:pStyle w:val="Heading1"/>
        <w:keepNext/>
        <w:widowControl/>
      </w:pPr>
      <w:r>
        <w:t>B1. Global EdTech Rakip Görünümü</w:t>
      </w:r>
    </w:p>
    <w:p>
      <w:pPr>
        <w:pStyle w:val="Compact"/>
        <w:widowControl/>
      </w:pPr>
      <w:r>
        <w:t>Aşağıdaki tablo, akademik kümelerle doğrudan ilişkili 13 temsilci global ürünü karşılaştırmaktadır. Liste, pazarın tamamını değil karar verme için yeterli çeşitliliği temsil etmeyi amaçlar.</w:t>
      </w:r>
    </w:p>
    <w:tbl>
      <w:tblPr>
        <w:tblStyle w:val="TableGrid"/>
        <w:tblW w:type="auto" w:w="0"/>
        <w:jc w:val="center"/>
        <w:tblLayout w:type="fixed"/>
        <w:tblLook w:firstColumn="1" w:firstRow="1" w:lastColumn="0" w:lastRow="0" w:noHBand="0" w:noVBand="1" w:val="04A0"/>
      </w:tblPr>
      <w:tblGrid>
        <w:gridCol w:w="1800"/>
        <w:gridCol w:w="1080"/>
        <w:gridCol w:w="2232"/>
        <w:gridCol w:w="2952"/>
        <w:gridCol w:w="2376"/>
        <w:gridCol w:w="3168"/>
        <w:gridCol w:w="792"/>
      </w:tblGrid>
      <w:tr>
        <w:trPr>
          <w:trHeight w:hRule="atLeast"/>
          <w:tblHeader w:val="true"/>
        </w:trPr>
        <w:tc>
          <w:tcPr>
            <w:tcW w:type="dxa" w:w="2179"/>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6"/>
              </w:rPr>
              <w:t>Ürün</w:t>
            </w:r>
          </w:p>
        </w:tc>
        <w:tc>
          <w:tcPr>
            <w:tcW w:type="dxa" w:w="2179"/>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6"/>
              </w:rPr>
              <w:t>Yaş</w:t>
            </w:r>
          </w:p>
        </w:tc>
        <w:tc>
          <w:tcPr>
            <w:tcW w:type="dxa" w:w="2179"/>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6"/>
              </w:rPr>
              <w:t>Ana format</w:t>
            </w:r>
          </w:p>
        </w:tc>
        <w:tc>
          <w:tcPr>
            <w:tcW w:type="dxa" w:w="2179"/>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6"/>
              </w:rPr>
              <w:t>Yetkinlik odağı</w:t>
            </w:r>
          </w:p>
        </w:tc>
        <w:tc>
          <w:tcPr>
            <w:tcW w:type="dxa" w:w="2179"/>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6"/>
              </w:rPr>
              <w:t>İş modeli / fiyat sinyali</w:t>
            </w:r>
          </w:p>
        </w:tc>
        <w:tc>
          <w:tcPr>
            <w:tcW w:type="dxa" w:w="2179"/>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6"/>
              </w:rPr>
              <w:t>Assessment / izleme</w:t>
            </w:r>
          </w:p>
        </w:tc>
        <w:tc>
          <w:tcPr>
            <w:tcW w:type="dxa" w:w="2179"/>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6"/>
              </w:rPr>
              <w:t>Kaynak</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Synthesis Teams</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8–14</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Canlı, koç eşliğinde takım oyunları</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Open-ended problem solving; iş birliği; yansıtma</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Aylık üyelik; $95/ay</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Portfolyo ve aylık ilerleme görünürlüğü; kamuya açık psikometrik geçerlik iddiası yok</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[S1]</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Minecraft Education</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K–12 / okul</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Açık dünya, inşa, çok oyunculu görevler</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Yaratıcılık; problem çözme; kodlama; iş birliği; sürdürülebilirlik dersleri</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Okul: $5.04/kullanıcı/yıl; ticari org.: $36/kullanıcı/yıl</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Ders/ödev ve öğretmen kullanım araçları; yetkinlik süreç ölçümü ürünün ana odağı değil</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[S2]</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Scratch</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Özellikle 8–16</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Üretim topluluğu ve blok tabanlı programlama</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Yaratıcı düşünme; computational thinking; iş birliği</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Ücretsiz</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Proje/ürün çıktısı ve topluluk etkileşimi; standart yetkinlik profili sunmuyor</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[S3]</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Tynker</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5–18</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Kendi hızında kodlama, oyun/mod geliştirme</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Computational thinking; yaratıcılık; problem çözme</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Ücretli aile planları; ör. yıllık £180 (bölge/kampanya değişebilir)</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Kişiselleştirilmiş değerlendirme/sertifika ve ebeveyn mastery paneli</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[S4]</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Code.org / CodeAI</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K–12</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Ücretsiz öğretim programı, interaktif etkinlikler</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CS; veri; AI literacy; problem çözme</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Ücretsiz</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Ders içi görevler ve öğretmen araçları; AI müfredatı 3–5, 6–8, 9–12 seviyelerine uzanıyor</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[S5]</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Tinybop</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4+</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Etkileşimli bilim modelleri ve açık uçlu dijital oyuncaklar</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Keşif; yaratıcı düşünme; problem çözme; temel sistem sezgisi</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Uygulama bazlı satın alma / paketler</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Serbest keşif ve ürün oluşturma; standart yetkinlik ölçümü görünür değil</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[S6]</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Quandary</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8–14</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Hikâye tabanlı etik ikilemler ve karar oyunu</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Critical thinking; karar verme; perspective-taking; sonuçları değerlendirme</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Ücretsiz</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Karar çerçevesi ve sınıf materyalleri; süreç psikometrisi ana ürün iddiası değil</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[S7]</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Common Sense Education</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K–12</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Ders, video ve etkinlik tabanlı dijital okuryazarlık</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Information/media literacy; AI literacy; dijital iyi oluş; sorumlu karar</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Ücretsiz</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Ders içi yansıtma ve etkinlikler; oyun tabanlı ana deneyim değil</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[S8]</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Checkology</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Ağırlıkla 6–12. sınıf</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Sanal sınıf, gerçek örnekler, game-like alıştırmalar</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News/media literacy; fact-checking; evidence evaluation</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Eğitimciler ve öğrenciler için ücretsiz</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Formative assessment, gradebook ve pre/post göstergeleri; ürün içi ölçüm diğer örneklerden daha görünür</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[S9]</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iCivics</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3. sınıf+; ağırlıkla 6–12</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Civics oyunları ve karar/sistem simülasyonları</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Karar verme; critical thinking; perspektif; kaynak ve bütçe yönetimi</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Ücretsiz</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Oyun sonuçları + ders uzantıları; yetkinlikten çok civics öğrenme hedefleri</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[S10]</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Brilliant</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Çoğu çocuk için ~10+</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Görsel-interaktif matematik ve kodlama problemleri</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Problem solving; mantık; STEM; bazı computational/data alanları</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Free tier; ABD web Premium ~$240/yıl</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İlerleme, kişiselleştirme ve Koji AI tutor; açık uçlu sosyal/sistem görevleri sınırlı</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[S11]</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DragonBox / Kahoot! Kids</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3–12+; ürüne göre</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Matematik ve okuma odaklı gerçek oyun mekanikleri</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Alan-özgül problem çözme; matematiksel akıl yürütme</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Kahoot! aboneliği veya uygulama bazlı tek seferlik satın alma</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Bölüm/oyun ilerlemesi; genel yetkinlik ölçümü iddiası değil</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[S12]</w:t>
            </w:r>
          </w:p>
        </w:tc>
      </w:tr>
      <w:tr>
        <w:trPr>
          <w:trHeight w:hRule="atLeast"/>
        </w:trPr>
        <w:tc>
          <w:tcPr>
            <w:tcW w:type="dxa" w:w="180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Prodigy Math</w:t>
            </w:r>
          </w:p>
        </w:tc>
        <w:tc>
          <w:tcPr>
            <w:tcW w:type="dxa" w:w="10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1–8. sınıf</w:t>
            </w:r>
          </w:p>
        </w:tc>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RPG katmanına gömülü adaptif matematik pratiği</w:t>
            </w:r>
          </w:p>
        </w:tc>
        <w:tc>
          <w:tcPr>
            <w:tcW w:type="dxa" w:w="29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Matematik pratiği; alan-özgül problem çözme</w:t>
            </w:r>
          </w:p>
        </w:tc>
        <w:tc>
          <w:tcPr>
            <w:tcW w:type="dxa" w:w="237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Eğitsel içerik ücretsiz; premium oyun avantajları</w:t>
            </w:r>
          </w:p>
        </w:tc>
        <w:tc>
          <w:tcPr>
            <w:tcW w:type="dxa" w:w="316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Adaptif soru ve öğretmen/ebeveyn raporları; oyun döngüsü ile öğrenme görevi kısmen ayrışıyor</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[S13]</w:t>
            </w:r>
          </w:p>
        </w:tc>
      </w:tr>
    </w:tbl>
    <w:p>
      <w:pPr>
        <w:widowControl/>
      </w:pPr>
    </w:p>
    <w:p>
      <w:pPr>
        <w:pStyle w:val="Heading2"/>
        <w:keepNext/>
        <w:widowControl/>
      </w:pPr>
      <w:r>
        <w:t>B1.1. Global pazarda öne çıkan kalıplar</w:t>
      </w:r>
    </w:p>
    <w:p>
      <w:pPr>
        <w:pStyle w:val="Compact"/>
        <w:widowControl/>
      </w:pPr>
      <w:r>
        <w:rPr>
          <w:b/>
        </w:rPr>
        <w:t xml:space="preserve">Kodlama ve matematik güçlü/kırmızı okyanus: </w:t>
      </w:r>
      <w:r>
        <w:t>Scratch, Tynker, Code.org, Brilliant, DragonBox ve Prodigy; coding, math ve problem practice tarafında ücretsiz ve ücretli güçlü alternatifler oluşturuyor. Bu alanlarda yalnızca “oyunlaştırılmış kodlama/matematik” ile ayrışmak zor.</w:t>
      </w:r>
    </w:p>
    <w:p>
      <w:pPr>
        <w:pStyle w:val="Compact"/>
        <w:widowControl/>
      </w:pPr>
      <w:r>
        <w:rPr>
          <w:b/>
        </w:rPr>
        <w:t xml:space="preserve">Açık uçlu problem çözmede az fakat güçlü örnekler var: </w:t>
      </w:r>
      <w:r>
        <w:t>Synthesis tek doğru cevapsız takım sorunlarını; Quandary etik ikilemleri; Minecraft yaratıcı açık dünya görevlerini; Tinybop serbest keşif ve yapımı; iCivics karar/sistem simülasyonlarını gösteriyor. Boşluk “hiç ürün yok” değil; parçalar hâlinde dağılmış bir pazar.</w:t>
      </w:r>
    </w:p>
    <w:p>
      <w:pPr>
        <w:pStyle w:val="Compact"/>
        <w:widowControl/>
      </w:pPr>
      <w:r>
        <w:rPr>
          <w:b/>
        </w:rPr>
        <w:t xml:space="preserve">AI literacy hızlı biçimde müfredata giriyor: </w:t>
      </w:r>
      <w:r>
        <w:t>Code.org, Common Sense ve Checkology AI/medya doğrulama içeriğini büyütüyor. Buna rağmen 8–12 yaşta oyunun ana mekaniği olarak kanıt arama + AI güven kalibrasyonu yapan örnekler bu taramada sınırlı.</w:t>
      </w:r>
    </w:p>
    <w:p>
      <w:pPr>
        <w:pStyle w:val="Compact"/>
        <w:widowControl/>
      </w:pPr>
      <w:r>
        <w:rPr>
          <w:b/>
        </w:rPr>
        <w:t xml:space="preserve">Assessment çoğunlukla mastery/ilerleme seviyesinde: </w:t>
      </w:r>
      <w:r>
        <w:t>Synthesis portfolio, Checkology formative assessment, Tynker mastery, Prodigy adaptive practice ve Brilliant progress/personalization sunuyor. Ancak A3’teki süreç göstergelerinin dış ölçütlerle doğrulanmış çoklu yetkinlik profiline dönüşmesi kamuya açık ürün anlatımlarında standart bir özellik değil.</w:t>
      </w:r>
    </w:p>
    <w:p>
      <w:pPr>
        <w:pStyle w:val="Heading2"/>
        <w:keepNext/>
        <w:widowControl/>
      </w:pPr>
      <w:r>
        <w:t>B1.2. Global ürünlerden kısa dersler</w:t>
      </w:r>
    </w:p>
    <w:p>
      <w:pPr>
        <w:widowControl/>
        <w:spacing w:after="100"/>
      </w:pPr>
      <w:r>
        <w:rPr>
          <w:b/>
        </w:rPr>
        <w:t xml:space="preserve">Synthesis Teams: </w:t>
      </w:r>
      <w:r>
        <w:t>Açık uçlu problem çözme ve collaboration için en yakın benchmark. Ürün, 8–14 yaşta strateji oyunlarını gerçek dünya benzeri karmaşık takım sorunlarının simülasyonu olarak kullanıyor ve refleksiyon/koçluk ekliyor. $95/ay ve İngilizce yeterliği gereksinimi, daha erişilebilir yerel/asenkron bir alternatif için alan bırakıyor [S1].</w:t>
      </w:r>
    </w:p>
    <w:p>
      <w:pPr>
        <w:widowControl/>
        <w:spacing w:after="100"/>
      </w:pPr>
      <w:r>
        <w:rPr>
          <w:b/>
        </w:rPr>
        <w:t xml:space="preserve">Quandary: </w:t>
      </w:r>
      <w:r>
        <w:t>“Tek doğru yok + kararın sonuçları var + farklı paydaşların perspektifi” modeli, bizim akademik ill-structured problem çerçevemizle çok iyi örtüşen bir ürün örneği. Ancak ana konu etik/civic decision making ve ürün sınırlı sayıda episode etrafında yapılandırılmış [S7].</w:t>
      </w:r>
    </w:p>
    <w:p>
      <w:pPr>
        <w:widowControl/>
        <w:spacing w:after="100"/>
      </w:pPr>
      <w:r>
        <w:rPr>
          <w:b/>
        </w:rPr>
        <w:t xml:space="preserve">Tinybop: </w:t>
      </w:r>
      <w:r>
        <w:t>4+ yaş için interaktif bilim modelleri ve Digital Toys yaklaşımı, “önce anlatım sonra quiz” yerine çocuğun sistemle oynayarak keşfetmesine dayanan güçlü bir UX benchmark’ı. Ölçme ve uzun dönem kişiselleştirme tarafı ana odak değil [S6].</w:t>
      </w:r>
    </w:p>
    <w:p>
      <w:pPr>
        <w:widowControl/>
        <w:spacing w:after="100"/>
      </w:pPr>
      <w:r>
        <w:rPr>
          <w:b/>
        </w:rPr>
        <w:t xml:space="preserve">Common Sense + Checkology: </w:t>
      </w:r>
      <w:r>
        <w:t>Bilgi güvenilirliği, misinformation ve AI literacy için içerik kalitesi yüksek benchmark’lardır. Ancak özellikle Common Sense ders/etkinlik ağırlıklı; Checkology ise daha çok ortaokul-lise ve sanal sınıf bağlamında konumlanıyor [S8][S9].</w:t>
      </w:r>
    </w:p>
    <w:p>
      <w:pPr>
        <w:widowControl/>
        <w:spacing w:after="100"/>
      </w:pPr>
      <w:r>
        <w:rPr>
          <w:b/>
        </w:rPr>
        <w:t xml:space="preserve">Minecraft Education: </w:t>
      </w:r>
      <w:r>
        <w:t>Açık dünya, yaratıcı üretim ve iş birliği için güçlü platform; fakat ürün genel amaçlı bir eğitim altyapısı. Bizim açımızdan ders/evren tasarımının güçlü olmasının tek başına süreç temelli yetkinlik ölçümü anlamına gelmediğini gösteriyor [S2].</w:t>
      </w:r>
    </w:p>
    <w:p>
      <w:pPr>
        <w:widowControl/>
        <w:sectPr>
          <w:pgSz w:w="16834" w:h="11909" w:orient="landscape"/>
          <w:pgMar w:top="864" w:right="792" w:bottom="864" w:left="792" w:header="720" w:footer="720" w:gutter="0"/>
          <w:cols w:space="720"/>
          <w:docGrid w:linePitch="360"/>
        </w:sectPr>
      </w:pPr>
    </w:p>
    <w:p>
      <w:pPr>
        <w:pStyle w:val="Heading1"/>
        <w:keepNext/>
        <w:widowControl/>
      </w:pPr>
      <w:r>
        <w:t>B2. Türkiye EdTech Görünümü</w:t>
      </w:r>
    </w:p>
    <w:p>
      <w:pPr>
        <w:pStyle w:val="Compact"/>
        <w:widowControl/>
      </w:pPr>
      <w:r>
        <w:t>Türkiye taraması; müfredat destek, bilişsel oyun, STEM/kodlama ve öğrenci takibi açısından farklılaşan altı temsilci ürüne odaklanmıştır.</w:t>
      </w:r>
    </w:p>
    <w:tbl>
      <w:tblPr>
        <w:tblStyle w:val="TableGrid"/>
        <w:tblW w:type="auto" w:w="0"/>
        <w:jc w:val="center"/>
        <w:tblLayout w:type="fixed"/>
        <w:tblLook w:firstColumn="1" w:firstRow="1" w:lastColumn="0" w:lastRow="0" w:noHBand="0" w:noVBand="1" w:val="04A0"/>
      </w:tblPr>
      <w:tblGrid>
        <w:gridCol w:w="1872"/>
        <w:gridCol w:w="1152"/>
        <w:gridCol w:w="2448"/>
        <w:gridCol w:w="2880"/>
        <w:gridCol w:w="2736"/>
        <w:gridCol w:w="3096"/>
        <w:gridCol w:w="792"/>
      </w:tblGrid>
      <w:tr>
        <w:trPr>
          <w:trHeight w:hRule="atLeast"/>
          <w:tblHeader w:val="true"/>
        </w:trPr>
        <w:tc>
          <w:tcPr>
            <w:tcW w:type="dxa" w:w="2179"/>
            <w:vAlign w:val="center"/>
            <w:tcMar>
              <w:top w:w="80" w:type="dxa"/>
              <w:start w:w="90" w:type="dxa"/>
              <w:bottom w:w="80" w:type="dxa"/>
              <w:end w:w="90" w:type="dxa"/>
            </w:tcMar>
            <w:shd w:fill="375623"/>
          </w:tcPr>
          <w:p>
            <w:pPr>
              <w:widowControl/>
              <w:spacing w:after="0" w:before="0" w:line="240" w:lineRule="auto"/>
              <w:jc w:val="center"/>
            </w:pPr>
            <w:r/>
            <w:r>
              <w:rPr>
                <w:rFonts w:ascii="Arial" w:hAnsi="Arial"/>
                <w:b/>
                <w:color w:val="FFFFFF"/>
                <w:sz w:val="16"/>
              </w:rPr>
              <w:t>Ürün</w:t>
            </w:r>
          </w:p>
        </w:tc>
        <w:tc>
          <w:tcPr>
            <w:tcW w:type="dxa" w:w="2179"/>
            <w:vAlign w:val="center"/>
            <w:tcMar>
              <w:top w:w="80" w:type="dxa"/>
              <w:start w:w="90" w:type="dxa"/>
              <w:bottom w:w="80" w:type="dxa"/>
              <w:end w:w="90" w:type="dxa"/>
            </w:tcMar>
            <w:shd w:fill="375623"/>
          </w:tcPr>
          <w:p>
            <w:pPr>
              <w:widowControl/>
              <w:spacing w:after="0" w:before="0" w:line="240" w:lineRule="auto"/>
              <w:jc w:val="center"/>
            </w:pPr>
            <w:r/>
            <w:r>
              <w:rPr>
                <w:rFonts w:ascii="Arial" w:hAnsi="Arial"/>
                <w:b/>
                <w:color w:val="FFFFFF"/>
                <w:sz w:val="16"/>
              </w:rPr>
              <w:t>Yaş/sınıf</w:t>
            </w:r>
          </w:p>
        </w:tc>
        <w:tc>
          <w:tcPr>
            <w:tcW w:type="dxa" w:w="2179"/>
            <w:vAlign w:val="center"/>
            <w:tcMar>
              <w:top w:w="80" w:type="dxa"/>
              <w:start w:w="90" w:type="dxa"/>
              <w:bottom w:w="80" w:type="dxa"/>
              <w:end w:w="90" w:type="dxa"/>
            </w:tcMar>
            <w:shd w:fill="375623"/>
          </w:tcPr>
          <w:p>
            <w:pPr>
              <w:widowControl/>
              <w:spacing w:after="0" w:before="0" w:line="240" w:lineRule="auto"/>
              <w:jc w:val="center"/>
            </w:pPr>
            <w:r/>
            <w:r>
              <w:rPr>
                <w:rFonts w:ascii="Arial" w:hAnsi="Arial"/>
                <w:b/>
                <w:color w:val="FFFFFF"/>
                <w:sz w:val="16"/>
              </w:rPr>
              <w:t>Ana format</w:t>
            </w:r>
          </w:p>
        </w:tc>
        <w:tc>
          <w:tcPr>
            <w:tcW w:type="dxa" w:w="2179"/>
            <w:vAlign w:val="center"/>
            <w:tcMar>
              <w:top w:w="80" w:type="dxa"/>
              <w:start w:w="90" w:type="dxa"/>
              <w:bottom w:w="80" w:type="dxa"/>
              <w:end w:w="90" w:type="dxa"/>
            </w:tcMar>
            <w:shd w:fill="375623"/>
          </w:tcPr>
          <w:p>
            <w:pPr>
              <w:widowControl/>
              <w:spacing w:after="0" w:before="0" w:line="240" w:lineRule="auto"/>
              <w:jc w:val="center"/>
            </w:pPr>
            <w:r/>
            <w:r>
              <w:rPr>
                <w:rFonts w:ascii="Arial" w:hAnsi="Arial"/>
                <w:b/>
                <w:color w:val="FFFFFF"/>
                <w:sz w:val="16"/>
              </w:rPr>
              <w:t>Yetkinlik odağı</w:t>
            </w:r>
          </w:p>
        </w:tc>
        <w:tc>
          <w:tcPr>
            <w:tcW w:type="dxa" w:w="2179"/>
            <w:vAlign w:val="center"/>
            <w:tcMar>
              <w:top w:w="80" w:type="dxa"/>
              <w:start w:w="90" w:type="dxa"/>
              <w:bottom w:w="80" w:type="dxa"/>
              <w:end w:w="90" w:type="dxa"/>
            </w:tcMar>
            <w:shd w:fill="375623"/>
          </w:tcPr>
          <w:p>
            <w:pPr>
              <w:widowControl/>
              <w:spacing w:after="0" w:before="0" w:line="240" w:lineRule="auto"/>
              <w:jc w:val="center"/>
            </w:pPr>
            <w:r/>
            <w:r>
              <w:rPr>
                <w:rFonts w:ascii="Arial" w:hAnsi="Arial"/>
                <w:b/>
                <w:color w:val="FFFFFF"/>
                <w:sz w:val="16"/>
              </w:rPr>
              <w:t>İş modeli / kamuya açık fiyat</w:t>
            </w:r>
          </w:p>
        </w:tc>
        <w:tc>
          <w:tcPr>
            <w:tcW w:type="dxa" w:w="2179"/>
            <w:vAlign w:val="center"/>
            <w:tcMar>
              <w:top w:w="80" w:type="dxa"/>
              <w:start w:w="90" w:type="dxa"/>
              <w:bottom w:w="80" w:type="dxa"/>
              <w:end w:w="90" w:type="dxa"/>
            </w:tcMar>
            <w:shd w:fill="375623"/>
          </w:tcPr>
          <w:p>
            <w:pPr>
              <w:widowControl/>
              <w:spacing w:after="0" w:before="0" w:line="240" w:lineRule="auto"/>
              <w:jc w:val="center"/>
            </w:pPr>
            <w:r/>
            <w:r>
              <w:rPr>
                <w:rFonts w:ascii="Arial" w:hAnsi="Arial"/>
                <w:b/>
                <w:color w:val="FFFFFF"/>
                <w:sz w:val="16"/>
              </w:rPr>
              <w:t>Assessment / izleme</w:t>
            </w:r>
          </w:p>
        </w:tc>
        <w:tc>
          <w:tcPr>
            <w:tcW w:type="dxa" w:w="2179"/>
            <w:vAlign w:val="center"/>
            <w:tcMar>
              <w:top w:w="80" w:type="dxa"/>
              <w:start w:w="90" w:type="dxa"/>
              <w:bottom w:w="80" w:type="dxa"/>
              <w:end w:w="90" w:type="dxa"/>
            </w:tcMar>
            <w:shd w:fill="375623"/>
          </w:tcPr>
          <w:p>
            <w:pPr>
              <w:widowControl/>
              <w:spacing w:after="0" w:before="0" w:line="240" w:lineRule="auto"/>
              <w:jc w:val="center"/>
            </w:pPr>
            <w:r/>
            <w:r>
              <w:rPr>
                <w:rFonts w:ascii="Arial" w:hAnsi="Arial"/>
                <w:b/>
                <w:color w:val="FFFFFF"/>
                <w:sz w:val="16"/>
              </w:rPr>
              <w:t>Kaynak</w:t>
            </w:r>
          </w:p>
        </w:tc>
      </w:tr>
      <w:tr>
        <w:trPr>
          <w:trHeight w:hRule="atLeast"/>
        </w:trPr>
        <w:tc>
          <w:tcPr>
            <w:tcW w:type="dxa" w:w="187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MentalUP</w:t>
            </w:r>
          </w:p>
        </w:tc>
        <w:tc>
          <w:tcPr>
            <w:tcW w:type="dxa" w:w="11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4–13+</w:t>
            </w:r>
          </w:p>
        </w:tc>
        <w:tc>
          <w:tcPr>
            <w:tcW w:type="dxa" w:w="244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Zekâ oyunları, egzersiz, yarışma</w:t>
            </w:r>
          </w:p>
        </w:tc>
        <w:tc>
          <w:tcPr>
            <w:tcW w:type="dxa" w:w="28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Dikkat, hafıza, mantık, görsel/sözel beceriler</w:t>
            </w:r>
          </w:p>
        </w:tc>
        <w:tc>
          <w:tcPr>
            <w:tcW w:type="dxa" w:w="273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Freemium; kampanyalı tam sürüm örnekleri ~2.500 TL/yıl</w:t>
            </w:r>
          </w:p>
        </w:tc>
        <w:tc>
          <w:tcPr>
            <w:tcW w:type="dxa" w:w="309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Yaşıt karşılaştırmalı performans ve gelişim raporları; mini-game ağırlıklı</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[T1]</w:t>
            </w:r>
          </w:p>
        </w:tc>
      </w:tr>
      <w:tr>
        <w:trPr>
          <w:trHeight w:hRule="atLeast"/>
        </w:trPr>
        <w:tc>
          <w:tcPr>
            <w:tcW w:type="dxa" w:w="187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Twin Science &amp; Robotics</w:t>
            </w:r>
          </w:p>
        </w:tc>
        <w:tc>
          <w:tcPr>
            <w:tcW w:type="dxa" w:w="11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6–14</w:t>
            </w:r>
          </w:p>
        </w:tc>
        <w:tc>
          <w:tcPr>
            <w:tcW w:type="dxa" w:w="244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STEM/AI platformu + kit + sürdürülebilirlik projeleri</w:t>
            </w:r>
          </w:p>
        </w:tc>
        <w:tc>
          <w:tcPr>
            <w:tcW w:type="dxa" w:w="28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STEM, AI literacy, yaratıcılık, problem çözme, sustainability</w:t>
            </w:r>
          </w:p>
        </w:tc>
        <w:tc>
          <w:tcPr>
            <w:tcW w:type="dxa" w:w="273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Okul/B2B; teklif bazlı</w:t>
            </w:r>
          </w:p>
        </w:tc>
        <w:tc>
          <w:tcPr>
            <w:tcW w:type="dxa" w:w="309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Öğrenci uygulaması, öğretmen platformu ve skill reports; fiziksel-dijital hibrit</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[T2]</w:t>
            </w:r>
          </w:p>
        </w:tc>
      </w:tr>
      <w:tr>
        <w:trPr>
          <w:trHeight w:hRule="atLeast"/>
        </w:trPr>
        <w:tc>
          <w:tcPr>
            <w:tcW w:type="dxa" w:w="187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Morpa Kampüs</w:t>
            </w:r>
          </w:p>
        </w:tc>
        <w:tc>
          <w:tcPr>
            <w:tcW w:type="dxa" w:w="11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1–8. sınıf</w:t>
            </w:r>
          </w:p>
        </w:tc>
        <w:tc>
          <w:tcPr>
            <w:tcW w:type="dxa" w:w="244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MEB uyumlu konu anlatımı, test, içerik</w:t>
            </w:r>
          </w:p>
        </w:tc>
        <w:tc>
          <w:tcPr>
            <w:tcW w:type="dxa" w:w="28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Müfredat başarısı; temel beceri ve konu tekrarı</w:t>
            </w:r>
          </w:p>
        </w:tc>
        <w:tc>
          <w:tcPr>
            <w:tcW w:type="dxa" w:w="273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Bireysel yıllık 7.200 TL</w:t>
            </w:r>
          </w:p>
        </w:tc>
        <w:tc>
          <w:tcPr>
            <w:tcW w:type="dxa" w:w="309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Test/ilerleme takibi; açık uçlu gelecek yetkinlikleri ana ürün pozisyonu değil</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[T3]</w:t>
            </w:r>
          </w:p>
        </w:tc>
      </w:tr>
      <w:tr>
        <w:trPr>
          <w:trHeight w:hRule="atLeast"/>
        </w:trPr>
        <w:tc>
          <w:tcPr>
            <w:tcW w:type="dxa" w:w="187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Okulistik</w:t>
            </w:r>
          </w:p>
        </w:tc>
        <w:tc>
          <w:tcPr>
            <w:tcW w:type="dxa" w:w="11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1–8. sınıf</w:t>
            </w:r>
          </w:p>
        </w:tc>
        <w:tc>
          <w:tcPr>
            <w:tcW w:type="dxa" w:w="244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MEB uyumlu dijital ders içeriği ve ölçme</w:t>
            </w:r>
          </w:p>
        </w:tc>
        <w:tc>
          <w:tcPr>
            <w:tcW w:type="dxa" w:w="28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Müfredat öğrenimi; soru çözme</w:t>
            </w:r>
          </w:p>
        </w:tc>
        <w:tc>
          <w:tcPr>
            <w:tcW w:type="dxa" w:w="273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Kurum paketleri sayfada 8.500–10.500 TL bandında listeleniyor; kapsam için teklif gerekli</w:t>
            </w:r>
          </w:p>
        </w:tc>
        <w:tc>
          <w:tcPr>
            <w:tcW w:type="dxa" w:w="309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Öğrenci başarısı/ölçme araçları; okul ve öğretmen entegrasyonu güçlü</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[T4]</w:t>
            </w:r>
          </w:p>
        </w:tc>
      </w:tr>
      <w:tr>
        <w:trPr>
          <w:trHeight w:hRule="atLeast"/>
        </w:trPr>
        <w:tc>
          <w:tcPr>
            <w:tcW w:type="dxa" w:w="187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Derslig</w:t>
            </w:r>
          </w:p>
        </w:tc>
        <w:tc>
          <w:tcPr>
            <w:tcW w:type="dxa" w:w="11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1–12. sınıf</w:t>
            </w:r>
          </w:p>
        </w:tc>
        <w:tc>
          <w:tcPr>
            <w:tcW w:type="dxa" w:w="244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MEB içerikleri, interaktif etkinlik, akıllı soru bankası</w:t>
            </w:r>
          </w:p>
        </w:tc>
        <w:tc>
          <w:tcPr>
            <w:tcW w:type="dxa" w:w="28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Müfredat öğrenimi; öz çalışma; sınav hazırlığı</w:t>
            </w:r>
          </w:p>
        </w:tc>
        <w:tc>
          <w:tcPr>
            <w:tcW w:type="dxa" w:w="273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Örn. 1. sınıf 12 aylık Pro: 515 TL/ay; paket ve sınıfa göre değişir</w:t>
            </w:r>
          </w:p>
        </w:tc>
        <w:tc>
          <w:tcPr>
            <w:tcW w:type="dxa" w:w="309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Performans analizi, veli raporu, AI destekli program/öneri; yetkinlikten çok kazanım odaklı</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[T5]</w:t>
            </w:r>
          </w:p>
        </w:tc>
      </w:tr>
      <w:tr>
        <w:trPr>
          <w:trHeight w:hRule="atLeast"/>
        </w:trPr>
        <w:tc>
          <w:tcPr>
            <w:tcW w:type="dxa" w:w="187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Kodris</w:t>
            </w:r>
          </w:p>
        </w:tc>
        <w:tc>
          <w:tcPr>
            <w:tcW w:type="dxa" w:w="115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8–16</w:t>
            </w:r>
          </w:p>
        </w:tc>
        <w:tc>
          <w:tcPr>
            <w:tcW w:type="dxa" w:w="2448"/>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Oyunlaştırılmış çevrim içi gerçek kodlama</w:t>
            </w:r>
          </w:p>
        </w:tc>
        <w:tc>
          <w:tcPr>
            <w:tcW w:type="dxa" w:w="2880"/>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Computational/algorithmic thinking; coding; problem solving</w:t>
            </w:r>
          </w:p>
        </w:tc>
        <w:tc>
          <w:tcPr>
            <w:tcW w:type="dxa" w:w="273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Bireysel ve okul modeli; kamuya açık net fiyat bu taramada görülmedi</w:t>
            </w:r>
          </w:p>
        </w:tc>
        <w:tc>
          <w:tcPr>
            <w:tcW w:type="dxa" w:w="3096"/>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Öğretmen sınıf takibi ve sahne ilerlemesi; açık uçlu çoklu-yetkinlik ölçümü ana odak değil</w:t>
            </w:r>
          </w:p>
        </w:tc>
        <w:tc>
          <w:tcPr>
            <w:tcW w:type="dxa" w:w="792"/>
            <w:vAlign w:val="center"/>
            <w:tcMar>
              <w:top w:w="80" w:type="dxa"/>
              <w:start w:w="90" w:type="dxa"/>
              <w:bottom w:w="80" w:type="dxa"/>
              <w:end w:w="90" w:type="dxa"/>
            </w:tcMar>
          </w:tcPr>
          <w:p>
            <w:pPr>
              <w:widowControl/>
              <w:spacing w:after="0" w:before="0" w:line="240" w:lineRule="auto"/>
              <w:jc w:val="left"/>
            </w:pPr>
            <w:r/>
            <w:r>
              <w:rPr>
                <w:rFonts w:ascii="Arial" w:hAnsi="Arial"/>
                <w:b w:val="0"/>
                <w:sz w:val="15"/>
              </w:rPr>
              <w:t>[T6]</w:t>
            </w:r>
          </w:p>
        </w:tc>
      </w:tr>
    </w:tbl>
    <w:p>
      <w:pPr>
        <w:widowControl/>
      </w:pPr>
    </w:p>
    <w:p>
      <w:pPr>
        <w:pStyle w:val="Heading2"/>
        <w:keepNext/>
        <w:widowControl/>
      </w:pPr>
      <w:r>
        <w:t>B2.1. Türkiye pazarında ana kalıplar</w:t>
      </w:r>
    </w:p>
    <w:p>
      <w:pPr>
        <w:pStyle w:val="Compact"/>
        <w:widowControl/>
      </w:pPr>
      <w:r>
        <w:rPr>
          <w:b/>
        </w:rPr>
        <w:t xml:space="preserve">Müfredat ve sınav başarısı baskın: </w:t>
      </w:r>
      <w:r>
        <w:t>Morpa Kampüs, Okulistik ve Derslig güçlü biçimde MEB uyumu, konu anlatımı, soru çözme, eksik tespiti ve sınav başarısı etrafında konumlanıyor.</w:t>
      </w:r>
    </w:p>
    <w:p>
      <w:pPr>
        <w:pStyle w:val="Compact"/>
        <w:widowControl/>
      </w:pPr>
      <w:r>
        <w:rPr>
          <w:b/>
        </w:rPr>
        <w:t xml:space="preserve">Bilişsel mini-game pazarı doğrulanmış: </w:t>
      </w:r>
      <w:r>
        <w:t>MentalUP 4–13 yaş segmentinde mini oyun + rapor modelinin büyük ölçekli bir kullanıcı kitlesine ulaştığını gösteriyor. Ancak açık uçlu uzun görev döngüsü yerine kısa egzersiz/oyun yapısı baskın.</w:t>
      </w:r>
    </w:p>
    <w:p>
      <w:pPr>
        <w:pStyle w:val="Compact"/>
        <w:widowControl/>
      </w:pPr>
      <w:r>
        <w:rPr>
          <w:b/>
        </w:rPr>
        <w:t xml:space="preserve">Kodlama/STEM’de yerli örnekler var: </w:t>
      </w:r>
      <w:r>
        <w:t>Kodris coding/algorithmic thinking; Twin ise STEM + sustainability + AI ekseninde güçlü. Dolayısıyla “yerli coding app” veya “genel STEM platformu” tek başına yeterli farklılaşma sağlamaz.</w:t>
      </w:r>
    </w:p>
    <w:p>
      <w:pPr>
        <w:pStyle w:val="Compact"/>
        <w:widowControl/>
      </w:pPr>
      <w:r>
        <w:rPr>
          <w:b/>
        </w:rPr>
        <w:t xml:space="preserve">Açık uçlu çoklu-yetkinlik simülasyonu görünürlüğü düşük: </w:t>
      </w:r>
      <w:r>
        <w:t>Bu taramada Türkiye odaklı ürünlerin çoğu kazanım/müfredat, mini-game veya coding ekseninde. 8–12 yaş için hikâye tabanlı 2D ill-structured sistem problemleri ve süreç değerlendirmesini çekirdek değer önerisi yapan doğrudan örnek sınırlı.</w:t>
      </w:r>
    </w:p>
    <w:p>
      <w:pPr>
        <w:widowControl/>
        <w:sectPr>
          <w:pgSz w:w="16834" w:h="11909" w:orient="landscape"/>
          <w:pgMar w:top="864" w:right="792" w:bottom="864" w:left="792" w:header="720" w:footer="720" w:gutter="0"/>
          <w:cols w:space="720"/>
          <w:docGrid w:linePitch="360"/>
        </w:sectPr>
      </w:pPr>
    </w:p>
    <w:p>
      <w:pPr>
        <w:pStyle w:val="Heading1"/>
        <w:keepNext/>
        <w:widowControl/>
      </w:pPr>
      <w:r>
        <w:t>B3. Competitor × Competency Matrix</w:t>
      </w:r>
    </w:p>
    <w:p>
      <w:pPr>
        <w:pStyle w:val="Compact"/>
        <w:widowControl/>
      </w:pPr>
      <w:r>
        <w:t>Kodlama: ● doğrudan/çekirdek; ◐ anlamlı fakat kısmi/ikincil; — bu taramada merkezî değil. Matris, kamuya açık ürün içeriklerinin araştırmacı sentezidir; bilimsel etkililik ölçümü değildir.</w:t>
      </w:r>
    </w:p>
    <w:tbl>
      <w:tblPr>
        <w:tblStyle w:val="TableGrid"/>
        <w:tblW w:type="auto" w:w="0"/>
        <w:jc w:val="center"/>
        <w:tblLayout w:type="fixed"/>
        <w:tblLook w:firstColumn="1" w:firstRow="1" w:lastColumn="0" w:lastRow="0" w:noHBand="0" w:noVBand="1" w:val="04A0"/>
      </w:tblPr>
      <w:tblGrid>
        <w:gridCol w:w="2232"/>
        <w:gridCol w:w="1469"/>
        <w:gridCol w:w="1469"/>
        <w:gridCol w:w="1469"/>
        <w:gridCol w:w="1469"/>
        <w:gridCol w:w="1469"/>
        <w:gridCol w:w="1469"/>
        <w:gridCol w:w="1469"/>
        <w:gridCol w:w="1469"/>
      </w:tblGrid>
      <w:tr>
        <w:trPr>
          <w:trHeight w:hRule="atLeast"/>
          <w:tblHeader w:val="true"/>
        </w:trPr>
        <w:tc>
          <w:tcPr>
            <w:tcW w:type="dxa" w:w="2232"/>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Ürün</w:t>
            </w:r>
          </w:p>
        </w:tc>
        <w:tc>
          <w:tcPr>
            <w:tcW w:type="dxa" w:w="1469"/>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CT / Kanıt</w:t>
            </w:r>
          </w:p>
        </w:tc>
        <w:tc>
          <w:tcPr>
            <w:tcW w:type="dxa" w:w="1469"/>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Problem / Sistem</w:t>
            </w:r>
          </w:p>
        </w:tc>
        <w:tc>
          <w:tcPr>
            <w:tcW w:type="dxa" w:w="1469"/>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Yaratıcılık</w:t>
            </w:r>
          </w:p>
        </w:tc>
        <w:tc>
          <w:tcPr>
            <w:tcW w:type="dxa" w:w="1469"/>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Meta / SRL</w:t>
            </w:r>
          </w:p>
        </w:tc>
        <w:tc>
          <w:tcPr>
            <w:tcW w:type="dxa" w:w="1469"/>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CT / Veri</w:t>
            </w:r>
          </w:p>
        </w:tc>
        <w:tc>
          <w:tcPr>
            <w:tcW w:type="dxa" w:w="1469"/>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AI / Güven</w:t>
            </w:r>
          </w:p>
        </w:tc>
        <w:tc>
          <w:tcPr>
            <w:tcW w:type="dxa" w:w="1469"/>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Sosyal / Empati</w:t>
            </w:r>
          </w:p>
        </w:tc>
        <w:tc>
          <w:tcPr>
            <w:tcW w:type="dxa" w:w="1469"/>
            <w:vAlign w:val="center"/>
            <w:tcMar>
              <w:top w:w="80" w:type="dxa"/>
              <w:start w:w="90" w:type="dxa"/>
              <w:bottom w:w="80" w:type="dxa"/>
              <w:end w:w="90" w:type="dxa"/>
            </w:tcMar>
            <w:shd w:fill="5B6573"/>
          </w:tcPr>
          <w:p>
            <w:pPr>
              <w:widowControl/>
              <w:spacing w:after="0" w:before="0" w:line="240" w:lineRule="auto"/>
              <w:jc w:val="center"/>
            </w:pPr>
            <w:r/>
            <w:r>
              <w:rPr>
                <w:rFonts w:ascii="Arial" w:hAnsi="Arial"/>
                <w:b/>
                <w:color w:val="FFFFFF"/>
                <w:sz w:val="14"/>
              </w:rPr>
              <w:t>Sürdürülebilirlik / Gelecek</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Synthesis Teams</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Minecraft Education</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Scratch</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Tynker</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Code.org / CodeAI</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Tinybop</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Quandary</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Common Sense Education</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Checkology</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iCivics</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Brilliant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DragonBox / Kahoot! Kids</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Prodigy Math</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MentalUP</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Twin Science &amp; Robotics</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Morpa Kampüs</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Okulistik</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Derslig</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r>
        <w:trPr>
          <w:trHeight w:hRule="atLeast"/>
        </w:trPr>
        <w:tc>
          <w:tcPr>
            <w:tcW w:type="dxa" w:w="2232"/>
            <w:vAlign w:val="center"/>
            <w:tcMar>
              <w:top w:w="80" w:type="dxa"/>
              <w:start w:w="90" w:type="dxa"/>
              <w:bottom w:w="80" w:type="dxa"/>
              <w:end w:w="90" w:type="dxa"/>
            </w:tcMar>
          </w:tcPr>
          <w:p>
            <w:pPr>
              <w:widowControl/>
              <w:spacing w:after="0" w:before="0" w:line="240" w:lineRule="auto"/>
              <w:jc w:val="left"/>
            </w:pPr>
            <w:r/>
            <w:r>
              <w:rPr>
                <w:rFonts w:ascii="Arial" w:hAnsi="Arial"/>
                <w:b/>
                <w:sz w:val="14"/>
              </w:rPr>
              <w:t>Kodris</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c>
          <w:tcPr>
            <w:tcW w:type="dxa" w:w="1469"/>
            <w:vAlign w:val="center"/>
            <w:tcMar>
              <w:top w:w="80" w:type="dxa"/>
              <w:start w:w="90" w:type="dxa"/>
              <w:bottom w:w="80" w:type="dxa"/>
              <w:end w:w="90" w:type="dxa"/>
            </w:tcMar>
            <w:shd w:fill="F2F2F2"/>
          </w:tcPr>
          <w:p>
            <w:pPr>
              <w:widowControl/>
              <w:spacing w:after="0" w:before="0" w:line="240" w:lineRule="auto"/>
              <w:jc w:val="center"/>
            </w:pPr>
            <w:r/>
            <w:r>
              <w:rPr>
                <w:rFonts w:ascii="Arial" w:hAnsi="Arial"/>
                <w:b/>
                <w:sz w:val="19"/>
              </w:rPr>
              <w:t>—</w:t>
            </w:r>
          </w:p>
        </w:tc>
      </w:tr>
    </w:tbl>
    <w:p>
      <w:pPr>
        <w:widowControl/>
        <w:sectPr>
          <w:pgSz w:w="16834" w:h="11909" w:orient="landscape"/>
          <w:pgMar w:top="792" w:right="648" w:bottom="792" w:left="648" w:header="720" w:footer="720" w:gutter="0"/>
          <w:cols w:space="720"/>
          <w:docGrid w:linePitch="360"/>
        </w:sectPr>
      </w:pPr>
    </w:p>
    <w:p>
      <w:pPr>
        <w:pStyle w:val="Heading2"/>
        <w:keepNext/>
        <w:widowControl/>
      </w:pPr>
      <w:r>
        <w:t>B3.1. Matristen çıkarılan sonuçlar</w:t>
      </w:r>
    </w:p>
    <w:p>
      <w:pPr>
        <w:widowControl/>
      </w:pPr>
      <w:r>
        <w:rPr>
          <w:b/>
        </w:rPr>
        <w:t xml:space="preserve">En kalabalık alanlar: </w:t>
      </w:r>
      <w:r>
        <w:t>Computational thinking/coding, alan-özgül problem çözme, müfredat/akademik içerik ve genel yaratıcı üretim. Bu alanlarda ücretsiz veya güçlü marka avantajına sahip rakipler mevcut.</w:t>
      </w:r>
    </w:p>
    <w:p>
      <w:pPr>
        <w:widowControl/>
      </w:pPr>
      <w:r>
        <w:rPr>
          <w:b/>
        </w:rPr>
        <w:t xml:space="preserve">Orta yoğunlukta alanlar: </w:t>
      </w:r>
      <w:r>
        <w:t>Critical thinking/media literacy ve collaboration. Ürünler mevcut fakat yaş, bağlam ve pedagojik format parçalı; özellikle alt/orta ilkokul için oyun çekirdeği olan örnekler daha az.</w:t>
      </w:r>
    </w:p>
    <w:p>
      <w:pPr>
        <w:widowControl/>
      </w:pPr>
      <w:r>
        <w:rPr>
          <w:b/>
        </w:rPr>
        <w:t xml:space="preserve">Daha seyrek kombinasyon: </w:t>
      </w:r>
      <w:r>
        <w:t>Systems thinking + futures/sustainability + open-ended problem solving + metacognitive reflection aynı deneyimde nadiren birleşiyor.</w:t>
      </w:r>
    </w:p>
    <w:p>
      <w:pPr>
        <w:widowControl/>
      </w:pPr>
      <w:r>
        <w:rPr>
          <w:b/>
        </w:rPr>
        <w:t xml:space="preserve">En belirgin yatay boşluk: </w:t>
      </w:r>
      <w:r>
        <w:t>Birden fazla yetkinliği aynı görevde kullandırırken davranış sürecini ölçmeye çalışma. Piyasada rapor ve mastery bol; ancak süreç verisinin geçerli yetkinlik göstergesine dönüştürülmesi görünür bir standart değil.</w:t>
      </w:r>
    </w:p>
    <w:p>
      <w:pPr>
        <w:widowControl/>
      </w:pPr>
      <w:r>
        <w:rPr>
          <w:b/>
        </w:rPr>
        <w:t xml:space="preserve">Türkiye için özel boşluk: </w:t>
      </w:r>
      <w:r>
        <w:t>Türkçe, 8–12 yaş, MEB ile ilişkilendirilebilir fakat ders/quiz formuna sıkışmayan; hikâye ve 2D simülasyonla gerçek kararlar/trade-off’lar sunan ürün görünürlüğü düşük.</w:t>
      </w:r>
    </w:p>
    <w:p>
      <w:pPr>
        <w:pStyle w:val="Heading1"/>
        <w:keepNext/>
        <w:widowControl/>
      </w:pPr>
      <w:r>
        <w:t>B4. Market Gap ve Opportunity Map</w:t>
      </w:r>
    </w:p>
    <w:p>
      <w:pPr>
        <w:widowControl/>
      </w:pPr>
      <w:r>
        <w:t>Bir alan yalnızca “rakip az” olduğu için fırsat olarak kabul edilmemiştir. Fırsat değerlendirmesinde dört koşul birlikte aranmıştır: (1) A1–A3 akademik önemi, (2) çocuk için anlamlı problem/deneyim, (3) mevcut çözümlerde görünür eksik veya parçalanma, (4) ekip ve demo uygulanabilirliği.</w:t>
      </w:r>
    </w:p>
    <w:tbl>
      <w:tblPr>
        <w:tblStyle w:val="TableGrid"/>
        <w:tblW w:type="auto" w:w="0"/>
        <w:jc w:val="center"/>
        <w:tblLook w:firstColumn="1" w:firstRow="1" w:lastColumn="0" w:lastRow="0" w:noHBand="0" w:noVBand="1" w:val="04A0"/>
      </w:tblPr>
      <w:tblGrid>
        <w:gridCol w:w="1892"/>
        <w:gridCol w:w="1892"/>
        <w:gridCol w:w="1892"/>
        <w:gridCol w:w="1892"/>
        <w:gridCol w:w="1892"/>
      </w:tblGrid>
      <w:tr>
        <w:trPr>
          <w:trHeight w:hRule="atLeast"/>
          <w:tblHeader w:val="true"/>
        </w:trPr>
        <w:tc>
          <w:tcPr>
            <w:tcW w:type="dxa" w:w="1892"/>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7"/>
              </w:rPr>
              <w:t>Gap</w:t>
            </w:r>
          </w:p>
        </w:tc>
        <w:tc>
          <w:tcPr>
            <w:tcW w:type="dxa" w:w="1892"/>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7"/>
              </w:rPr>
              <w:t>Akademik uyum</w:t>
            </w:r>
          </w:p>
        </w:tc>
        <w:tc>
          <w:tcPr>
            <w:tcW w:type="dxa" w:w="1892"/>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7"/>
              </w:rPr>
              <w:t>Rakip durumu</w:t>
            </w:r>
          </w:p>
        </w:tc>
        <w:tc>
          <w:tcPr>
            <w:tcW w:type="dxa" w:w="1892"/>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7"/>
              </w:rPr>
              <w:t>Pazar boşluğu</w:t>
            </w:r>
          </w:p>
        </w:tc>
        <w:tc>
          <w:tcPr>
            <w:tcW w:type="dxa" w:w="1892"/>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7"/>
              </w:rPr>
              <w:t>Ekip/demo uyumu</w:t>
            </w:r>
          </w:p>
        </w:tc>
      </w:tr>
      <w:tr>
        <w:trPr>
          <w:trHeight w:hRule="atLeast"/>
        </w:trPr>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G1 — Açık uçlu 2D sistem problemleri</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Yüksek</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Synthesis/Quandary/Minecraft/Twin parçalı benchmarklar var; doğrudan Türkçe 2D süreç-odaklı eşleşme az</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Yüksek</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Çok yüksek</w:t>
            </w:r>
          </w:p>
        </w:tc>
      </w:tr>
      <w:tr>
        <w:trPr>
          <w:trHeight w:hRule="atLeast"/>
        </w:trPr>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G2 — 8–12 yaş AI cevaplarını kanıtla doğrulama</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Yüksek</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Common Sense/Checkology/Code.org içerik güçlü; oyun çekirdeği ve alt yaş segmenti daha sınırlı</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Orta-yüksek</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Yüksek</w:t>
            </w:r>
          </w:p>
        </w:tc>
      </w:tr>
      <w:tr>
        <w:trPr>
          <w:trHeight w:hRule="atLeast"/>
        </w:trPr>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G3 — İş birlikli problem çözmenin erişilebilir/asenkron versiyonu</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Yüksek</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Synthesis güçlü doğrudan rakip; yerel/ucuz/asenkron seçenek alanı var</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Orta</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Orta</w:t>
            </w:r>
          </w:p>
        </w:tc>
      </w:tr>
      <w:tr>
        <w:trPr>
          <w:trHeight w:hRule="atLeast"/>
        </w:trPr>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G4 — Process-based competency assessment</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Çok yüksek Ar-Ge değeri</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Çok sayıda ürün ilerleme raporu sunuyor; doğrulanmış çoklu-yetkinlik süreç profili görünür değil</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Yüksek</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Orta-yüksek (validasyon gerekir)</w:t>
            </w:r>
          </w:p>
        </w:tc>
      </w:tr>
      <w:tr>
        <w:trPr>
          <w:trHeight w:hRule="atLeast"/>
        </w:trPr>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G5 — Genel coding/math oyunu</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Orta</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Çok kalabalık ve güçlü ücretsiz/ücretli rakipler</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Düşük</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Yüksek ama farklılaşma zayıf</w:t>
            </w:r>
          </w:p>
        </w:tc>
      </w:tr>
      <w:tr>
        <w:trPr>
          <w:trHeight w:hRule="atLeast"/>
        </w:trPr>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G6 — MEB konu anlatımı + test platformu</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Orta</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Türkiye’de güçlü yerleşik oyuncular</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Düşük</w:t>
            </w:r>
          </w:p>
        </w:tc>
        <w:tc>
          <w:tcPr>
            <w:tcW w:type="dxa" w:w="1892"/>
            <w:vAlign w:val="center"/>
            <w:tcMar>
              <w:top w:w="80" w:type="dxa"/>
              <w:start w:w="90" w:type="dxa"/>
              <w:bottom w:w="80" w:type="dxa"/>
              <w:end w:w="90" w:type="dxa"/>
            </w:tcMar>
          </w:tcPr>
          <w:p>
            <w:pPr>
              <w:widowControl/>
              <w:spacing w:after="0" w:before="0" w:line="240" w:lineRule="auto"/>
              <w:jc w:val="left"/>
            </w:pPr>
            <w:r/>
            <w:r>
              <w:rPr>
                <w:rFonts w:ascii="Arial" w:hAnsi="Arial"/>
                <w:b w:val="0"/>
                <w:sz w:val="16"/>
              </w:rPr>
              <w:t>Yüksek ama pazar avantajı zayıf</w:t>
            </w:r>
          </w:p>
        </w:tc>
      </w:tr>
    </w:tbl>
    <w:tbl>
      <w:tblPr>
        <w:tblW w:type="auto" w:w="0"/>
        <w:jc w:val="center"/>
        <w:tblLayout w:type="fixed"/>
        <w:tblLook w:firstColumn="1" w:firstRow="1" w:lastColumn="0" w:lastRow="0" w:noHBand="0" w:noVBand="1" w:val="04A0"/>
      </w:tblPr>
      <w:tblGrid>
        <w:gridCol w:w="9216"/>
      </w:tblGrid>
      <w:tr>
        <w:trPr>
          <w:trHeight w:hRule="atLeast"/>
        </w:trPr>
        <w:tc>
          <w:tcPr>
            <w:tcW w:type="dxa" w:w="9461"/>
            <w:shd w:fill="EAF2F8"/>
            <w:tcMar>
              <w:top w:w="120" w:type="dxa"/>
              <w:start w:w="140" w:type="dxa"/>
              <w:bottom w:w="120" w:type="dxa"/>
              <w:end w:w="140" w:type="dxa"/>
            </w:tcMar>
          </w:tcPr>
          <w:p>
            <w:pPr>
              <w:widowControl/>
              <w:spacing w:after="80"/>
            </w:pPr>
            <w:r/>
            <w:r>
              <w:rPr>
                <w:rFonts w:ascii="Arial" w:hAnsi="Arial"/>
                <w:b/>
                <w:sz w:val="21"/>
              </w:rPr>
              <w:t>Opportunity Map’in ana sonucu</w:t>
            </w:r>
          </w:p>
          <w:p>
            <w:pPr>
              <w:widowControl/>
              <w:spacing w:after="0" w:line="259" w:lineRule="auto"/>
            </w:pPr>
            <w:r>
              <w:rPr>
                <w:rFonts w:ascii="Arial" w:hAnsi="Arial"/>
                <w:sz w:val="20"/>
              </w:rPr>
              <w:t>Kodlama, matematik pratiği ve MEB içerik platformu üretmek teknik olarak yapılabilir; fakat pazar farklılaşması daha zayıftır. En kuvvetli yön, “açık uçlu problem ortamı + sistem sonuçları + karar/yansıtma + süreç verisi” birleşimidir. Bu birleşim, akademik A3 senteziyle de doğrudan örtüşmektedir [A0].</w:t>
            </w:r>
          </w:p>
        </w:tc>
      </w:tr>
    </w:tbl>
    <w:p>
      <w:pPr>
        <w:widowControl/>
        <w:spacing w:after="0"/>
      </w:pPr>
    </w:p>
    <w:p>
      <w:pPr>
        <w:pStyle w:val="Heading1"/>
        <w:keepNext/>
        <w:widowControl/>
      </w:pPr>
      <w:r>
        <w:t>B5. Üç Ürün / Proje Fırsatı</w:t>
      </w:r>
    </w:p>
    <w:p>
      <w:pPr>
        <w:pStyle w:val="Heading2"/>
        <w:keepNext/>
        <w:widowControl/>
      </w:pPr>
      <w:r>
        <w:t>A — 2D Açık Uçlu Sistem Simülasyonu</w:t>
      </w:r>
    </w:p>
    <w:p>
      <w:pPr>
        <w:pStyle w:val="Compact"/>
        <w:widowControl/>
      </w:pPr>
      <w:r>
        <w:rPr>
          <w:b/>
        </w:rPr>
        <w:t xml:space="preserve">Hedef yaş (ön hipotez): </w:t>
      </w:r>
      <w:r>
        <w:t>8–12</w:t>
      </w:r>
    </w:p>
    <w:p>
      <w:pPr>
        <w:pStyle w:val="Compact"/>
        <w:widowControl/>
      </w:pPr>
      <w:r>
        <w:rPr>
          <w:b/>
        </w:rPr>
        <w:t xml:space="preserve">Çekirdek deneyim: </w:t>
      </w:r>
      <w:r>
        <w:t>Çocuk bir şehir/ekosistem/kaynak sistemi içinde problemi keşfeder; bilgi toplar; birden fazla çözüm üretir; karar verir; kısa ve gecikmeli sonuçları görür; stratejisini değiştirir. Tek doğru cevap yerine trade-off ve ikinci dereceden sonuçlar bulunur.</w:t>
      </w:r>
    </w:p>
    <w:p>
      <w:pPr>
        <w:pStyle w:val="Compact"/>
        <w:widowControl/>
      </w:pPr>
      <w:r>
        <w:rPr>
          <w:b/>
        </w:rPr>
        <w:t xml:space="preserve">Yetkinlik mimarisi: </w:t>
      </w:r>
      <w:r>
        <w:t>Problem Solving &amp; Systems Thinking merkez; Critical Thinking, Creativity, Metacognition, Agency ve Futures/Sustainability destekleyici.</w:t>
      </w:r>
    </w:p>
    <w:p>
      <w:pPr>
        <w:pStyle w:val="Compact"/>
        <w:widowControl/>
      </w:pPr>
      <w:r>
        <w:rPr>
          <w:b/>
        </w:rPr>
        <w:t xml:space="preserve">Pazar gerekçesi: </w:t>
      </w:r>
      <w:r>
        <w:t>Piyasada Synthesis, Minecraft, Quandary ve Twin bu alanın parçalarını gösteriyor; ancak yazılım-öncelikli, Türkçe, 8–12 yaşa odaklı, 2D anlatı/simülasyon ve süreç verisini aynı çekirdekte birleştiren doğrudan eşleşme sınırlı.</w:t>
      </w:r>
    </w:p>
    <w:p>
      <w:pPr>
        <w:pStyle w:val="Compact"/>
        <w:widowControl/>
      </w:pPr>
      <w:r>
        <w:rPr>
          <w:b/>
        </w:rPr>
        <w:t xml:space="preserve">Ekip / demo değerlendirmesi: </w:t>
      </w:r>
      <w:r>
        <w:t>İlk demo için en uygun aday. Multiplayer veya fiziksel kit gerektirmeden üretilebilir; Deniz’in 2D tasarım gücü ve yazılım geliştirme tarafı doğrudan kullanılabilir.</w:t>
      </w:r>
    </w:p>
    <w:tbl>
      <w:tblPr>
        <w:tblW w:type="auto" w:w="0"/>
        <w:jc w:val="center"/>
        <w:tblLayout w:type="fixed"/>
        <w:tblLook w:firstColumn="1" w:firstRow="1" w:lastColumn="0" w:lastRow="0" w:noHBand="0" w:noVBand="1" w:val="04A0"/>
      </w:tblPr>
      <w:tblGrid>
        <w:gridCol w:w="9216"/>
      </w:tblGrid>
      <w:tr>
        <w:trPr>
          <w:trHeight w:hRule="atLeast"/>
        </w:trPr>
        <w:tc>
          <w:tcPr>
            <w:tcW w:type="dxa" w:w="9461"/>
            <w:shd w:fill="F3F9F1"/>
            <w:tcMar>
              <w:top w:w="120" w:type="dxa"/>
              <w:start w:w="140" w:type="dxa"/>
              <w:bottom w:w="120" w:type="dxa"/>
              <w:end w:w="140" w:type="dxa"/>
            </w:tcMar>
          </w:tcPr>
          <w:p>
            <w:pPr>
              <w:widowControl/>
              <w:spacing w:after="80"/>
            </w:pPr>
            <w:r/>
            <w:r>
              <w:rPr>
                <w:rFonts w:ascii="Arial" w:hAnsi="Arial"/>
                <w:b/>
                <w:sz w:val="21"/>
              </w:rPr>
              <w:t>Örnek ilk demo senaryosu</w:t>
            </w:r>
          </w:p>
          <w:p>
            <w:pPr>
              <w:widowControl/>
              <w:spacing w:after="0" w:line="259" w:lineRule="auto"/>
            </w:pPr>
            <w:r>
              <w:rPr>
                <w:rFonts w:ascii="Arial" w:hAnsi="Arial"/>
                <w:sz w:val="20"/>
              </w:rPr>
              <w:t>“Su Krizi”: Küçük bir kasabada su azalıyor. Oyuncu tarım, haneler, sanayi ve ekosistem arasında veri toplar; farklı karakterleri dinler; bütçe ve su kotası gibi araçları kullanır; kararların kısa ve uzun vadeli sonuçlarını görür. Oyun, doğru cevabı değil keşif, kaynak kullanımı, alternatif çözüm, yeniden planlama ve trade-off farkındalığını kaydeder.</w:t>
            </w:r>
          </w:p>
        </w:tc>
      </w:tr>
    </w:tbl>
    <w:p>
      <w:pPr>
        <w:widowControl/>
        <w:spacing w:after="0"/>
      </w:pPr>
    </w:p>
    <w:p>
      <w:pPr>
        <w:pStyle w:val="Heading2"/>
        <w:keepNext/>
        <w:widowControl/>
      </w:pPr>
      <w:r>
        <w:t>B — Kanıt Avcıları: AI &amp; Bilgi Güvenilirliği Oyunu</w:t>
      </w:r>
    </w:p>
    <w:p>
      <w:pPr>
        <w:pStyle w:val="Compact"/>
        <w:widowControl/>
      </w:pPr>
      <w:r>
        <w:rPr>
          <w:b/>
        </w:rPr>
        <w:t xml:space="preserve">Hedef yaş (ön hipotez): </w:t>
      </w:r>
      <w:r>
        <w:t>8–12</w:t>
      </w:r>
    </w:p>
    <w:p>
      <w:pPr>
        <w:pStyle w:val="Compact"/>
        <w:widowControl/>
      </w:pPr>
      <w:r>
        <w:rPr>
          <w:b/>
        </w:rPr>
        <w:t xml:space="preserve">Çekirdek deneyim: </w:t>
      </w:r>
      <w:r>
        <w:t>Çocuk farklı karakter, web içeriği ve AI yanıtlarından gelen iddiaları karşılaştırır; kanıt arar; kaynak geçmişini inceler; çelişki fark eder; güven düzeyini ayarlar ve yeni kanıtla kararını günceller.</w:t>
      </w:r>
    </w:p>
    <w:p>
      <w:pPr>
        <w:pStyle w:val="Compact"/>
        <w:widowControl/>
      </w:pPr>
      <w:r>
        <w:rPr>
          <w:b/>
        </w:rPr>
        <w:t xml:space="preserve">Yetkinlik mimarisi: </w:t>
      </w:r>
      <w:r>
        <w:t>Critical Thinking &amp; Evidence Evaluation + AI Literacy &amp; Calibrated Trust; metacognition ve agency destekleyici.</w:t>
      </w:r>
    </w:p>
    <w:p>
      <w:pPr>
        <w:pStyle w:val="Compact"/>
        <w:widowControl/>
      </w:pPr>
      <w:r>
        <w:rPr>
          <w:b/>
        </w:rPr>
        <w:t xml:space="preserve">Pazar gerekçesi: </w:t>
      </w:r>
      <w:r>
        <w:t>Common Sense ve Checkology güçlü içerik/müfredat örnekleri; Quandary karar yapısı sağlar. Buna karşın alt/orta ilkokula uygun, oyun çekirdeği içinde AI cevabı doğrulama ve güven kalibrasyonu yapan ürün görünürlüğü düşüktür.</w:t>
      </w:r>
    </w:p>
    <w:p>
      <w:pPr>
        <w:pStyle w:val="Compact"/>
        <w:widowControl/>
      </w:pPr>
      <w:r>
        <w:rPr>
          <w:b/>
        </w:rPr>
        <w:t xml:space="preserve">Ekip / demo değerlendirmesi: </w:t>
      </w:r>
      <w:r>
        <w:t>Farklılaşma güçlü; ancak çocuk güvenliği, gerçek/sentetik içerik kullanımı ve AI entegrasyonu nedeniyle içerik doğrulama ve etik tasarım yükü A seçeneğinden daha yüksek.</w:t>
      </w:r>
    </w:p>
    <w:p>
      <w:pPr>
        <w:pStyle w:val="Heading2"/>
        <w:keepNext/>
        <w:widowControl/>
      </w:pPr>
      <w:r>
        <w:t>C — Görev Ekibi: İş Birlikli Problem Çözme</w:t>
      </w:r>
    </w:p>
    <w:p>
      <w:pPr>
        <w:pStyle w:val="Compact"/>
        <w:widowControl/>
      </w:pPr>
      <w:r>
        <w:rPr>
          <w:b/>
        </w:rPr>
        <w:t xml:space="preserve">Hedef yaş (ön hipotez): </w:t>
      </w:r>
      <w:r>
        <w:t>8–12</w:t>
      </w:r>
    </w:p>
    <w:p>
      <w:pPr>
        <w:pStyle w:val="Compact"/>
        <w:widowControl/>
      </w:pPr>
      <w:r>
        <w:rPr>
          <w:b/>
        </w:rPr>
        <w:t xml:space="preserve">Çekirdek deneyim: </w:t>
      </w:r>
      <w:r>
        <w:t>Çocuk farklı bilgiye sahip AI/NPC karakterleri veya sınırlı çok oyunculu takım arkadaşlarıyla ortak görevi çözer; bilgi paylaşır, rol seçer, anlaşmazlık yönetir, ortak karar verir ve sonuç üzerine yansır.</w:t>
      </w:r>
    </w:p>
    <w:p>
      <w:pPr>
        <w:pStyle w:val="Compact"/>
        <w:widowControl/>
      </w:pPr>
      <w:r>
        <w:rPr>
          <w:b/>
        </w:rPr>
        <w:t xml:space="preserve">Yetkinlik mimarisi: </w:t>
      </w:r>
      <w:r>
        <w:t>Collaboration, Communication &amp; Empathy + Problem Solving; agency ve metacognition destekleyici.</w:t>
      </w:r>
    </w:p>
    <w:p>
      <w:pPr>
        <w:pStyle w:val="Compact"/>
        <w:widowControl/>
      </w:pPr>
      <w:r>
        <w:rPr>
          <w:b/>
        </w:rPr>
        <w:t xml:space="preserve">Pazar gerekçesi: </w:t>
      </w:r>
      <w:r>
        <w:t>Synthesis bu alanın en güçlü doğrudan örneği; ancak canlı koç, İngilizce yeterlik ve aylık ücret gerektiriyor. Daha erişilebilir/asenkron ve Türkçe bir deneyim için boşluk bulunabilir.</w:t>
      </w:r>
    </w:p>
    <w:p>
      <w:pPr>
        <w:pStyle w:val="Compact"/>
        <w:widowControl/>
      </w:pPr>
      <w:r>
        <w:rPr>
          <w:b/>
        </w:rPr>
        <w:t xml:space="preserve">Ekip / demo değerlendirmesi: </w:t>
      </w:r>
      <w:r>
        <w:t>Eğlence potansiyeli yüksek; fakat gerçek zamanlı multiplayer, moderasyon ve çocuk güvenliği MVP karmaşıklığını artırır. İlk demoda NPC/ajanlarla başlanabilir.</w:t>
      </w:r>
    </w:p>
    <w:p>
      <w:pPr>
        <w:pStyle w:val="Heading1"/>
        <w:keepNext/>
        <w:widowControl/>
      </w:pPr>
      <w:r>
        <w:t>B6. Ağırlıklı Fırsat Puanlaması</w:t>
      </w:r>
    </w:p>
    <w:p>
      <w:pPr>
        <w:widowControl/>
      </w:pPr>
      <w:r>
        <w:t>A1’de belirlenen karar sistemi korunmuştur: Eğitimsel önem %20; akademik kanıt %15; ölçülebilirlik %15; pazar boşluğu %15; eğlence %10; farklılaşma %10; ekip uyumu %10; regülasyon/güvenlik %5. Aşağıdaki puanlar bu B araştırmasının karar destek kodlamasıdır; finansal değerleme değildir.</w:t>
      </w:r>
    </w:p>
    <w:tbl>
      <w:tblPr>
        <w:tblStyle w:val="TableGrid"/>
        <w:tblW w:type="auto" w:w="0"/>
        <w:jc w:val="center"/>
        <w:tblLayout w:type="autofit"/>
        <w:tblLook w:firstColumn="1" w:firstRow="1" w:lastColumn="0" w:lastRow="0" w:noHBand="0" w:noVBand="1" w:val="04A0"/>
      </w:tblPr>
      <w:tblGrid>
        <w:gridCol w:w="946"/>
        <w:gridCol w:w="946"/>
        <w:gridCol w:w="946"/>
        <w:gridCol w:w="946"/>
        <w:gridCol w:w="946"/>
        <w:gridCol w:w="946"/>
        <w:gridCol w:w="946"/>
        <w:gridCol w:w="946"/>
        <w:gridCol w:w="946"/>
        <w:gridCol w:w="946"/>
      </w:tblGrid>
      <w:tr>
        <w:trPr>
          <w:trHeight w:hRule="atLeast"/>
          <w:tblHeader w:val="true"/>
        </w:trPr>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Konsept</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Eğitim %20</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Kanıt %15</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Ölçüm %15</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Gap %15</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Eğlence %10</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Fark %10</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Ekip %10</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Risk %5</w:t>
            </w:r>
          </w:p>
        </w:tc>
        <w:tc>
          <w:tcPr>
            <w:tcW w:type="dxa" w:w="946"/>
            <w:vAlign w:val="center"/>
            <w:tcMar>
              <w:top w:w="80" w:type="dxa"/>
              <w:start w:w="90" w:type="dxa"/>
              <w:bottom w:w="80" w:type="dxa"/>
              <w:end w:w="90" w:type="dxa"/>
            </w:tcMar>
            <w:shd w:fill="7030A0"/>
          </w:tcPr>
          <w:p>
            <w:pPr>
              <w:widowControl/>
              <w:spacing w:after="0" w:before="0" w:line="240" w:lineRule="auto"/>
              <w:jc w:val="center"/>
            </w:pPr>
            <w:r/>
            <w:r>
              <w:rPr>
                <w:rFonts w:ascii="Arial" w:hAnsi="Arial"/>
                <w:b/>
                <w:color w:val="FFFFFF"/>
                <w:sz w:val="14"/>
              </w:rPr>
              <w:t>Toplam</w:t>
            </w:r>
          </w:p>
        </w:tc>
      </w:tr>
      <w:tr>
        <w:trPr>
          <w:trHeight w:hRule="atLeast"/>
        </w:trPr>
        <w:tc>
          <w:tcPr>
            <w:tcW w:type="dxa" w:w="946"/>
            <w:vAlign w:val="center"/>
            <w:tcMar>
              <w:top w:w="80" w:type="dxa"/>
              <w:start w:w="90" w:type="dxa"/>
              <w:bottom w:w="80" w:type="dxa"/>
              <w:end w:w="90" w:type="dxa"/>
            </w:tcMar>
          </w:tcPr>
          <w:p>
            <w:pPr>
              <w:widowControl/>
              <w:spacing w:after="0" w:before="0" w:line="240" w:lineRule="auto"/>
              <w:jc w:val="left"/>
            </w:pPr>
            <w:r/>
            <w:r>
              <w:rPr>
                <w:rFonts w:ascii="Arial" w:hAnsi="Arial"/>
                <w:b/>
                <w:sz w:val="15"/>
              </w:rPr>
              <w:t>A — 2D Açık Uçlu Sistem Simülasyonu</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95</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90</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88</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92</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90</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90</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95</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80</w:t>
            </w:r>
          </w:p>
        </w:tc>
        <w:tc>
          <w:tcPr>
            <w:tcW w:type="dxa" w:w="946"/>
            <w:vAlign w:val="center"/>
            <w:tcMar>
              <w:top w:w="80" w:type="dxa"/>
              <w:start w:w="90" w:type="dxa"/>
              <w:bottom w:w="80" w:type="dxa"/>
              <w:end w:w="90" w:type="dxa"/>
            </w:tcMar>
            <w:shd w:fill="D9EAD3"/>
          </w:tcPr>
          <w:p>
            <w:pPr>
              <w:widowControl/>
              <w:spacing w:after="0" w:before="0" w:line="240" w:lineRule="auto"/>
              <w:jc w:val="center"/>
            </w:pPr>
            <w:r/>
            <w:r>
              <w:rPr>
                <w:rFonts w:ascii="Arial" w:hAnsi="Arial"/>
                <w:b/>
                <w:sz w:val="15"/>
              </w:rPr>
              <w:t>91.0</w:t>
            </w:r>
          </w:p>
        </w:tc>
      </w:tr>
      <w:tr>
        <w:trPr>
          <w:trHeight w:hRule="atLeast"/>
        </w:trPr>
        <w:tc>
          <w:tcPr>
            <w:tcW w:type="dxa" w:w="946"/>
            <w:vAlign w:val="center"/>
            <w:tcMar>
              <w:top w:w="80" w:type="dxa"/>
              <w:start w:w="90" w:type="dxa"/>
              <w:bottom w:w="80" w:type="dxa"/>
              <w:end w:w="90" w:type="dxa"/>
            </w:tcMar>
          </w:tcPr>
          <w:p>
            <w:pPr>
              <w:widowControl/>
              <w:spacing w:after="0" w:before="0" w:line="240" w:lineRule="auto"/>
              <w:jc w:val="left"/>
            </w:pPr>
            <w:r/>
            <w:r>
              <w:rPr>
                <w:rFonts w:ascii="Arial" w:hAnsi="Arial"/>
                <w:b/>
                <w:sz w:val="15"/>
              </w:rPr>
              <w:t>B — Kanıt Avcıları</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95</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88</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90</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88</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82</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92</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90</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70</w:t>
            </w:r>
          </w:p>
        </w:tc>
        <w:tc>
          <w:tcPr>
            <w:tcW w:type="dxa" w:w="946"/>
            <w:vAlign w:val="center"/>
            <w:tcMar>
              <w:top w:w="80" w:type="dxa"/>
              <w:start w:w="90" w:type="dxa"/>
              <w:bottom w:w="80" w:type="dxa"/>
              <w:end w:w="90" w:type="dxa"/>
            </w:tcMar>
            <w:shd w:fill="FFF2CC"/>
          </w:tcPr>
          <w:p>
            <w:pPr>
              <w:widowControl/>
              <w:spacing w:after="0" w:before="0" w:line="240" w:lineRule="auto"/>
              <w:jc w:val="center"/>
            </w:pPr>
            <w:r/>
            <w:r>
              <w:rPr>
                <w:rFonts w:ascii="Arial" w:hAnsi="Arial"/>
                <w:b/>
                <w:sz w:val="15"/>
              </w:rPr>
              <w:t>88.8</w:t>
            </w:r>
          </w:p>
        </w:tc>
      </w:tr>
      <w:tr>
        <w:trPr>
          <w:trHeight w:hRule="atLeast"/>
        </w:trPr>
        <w:tc>
          <w:tcPr>
            <w:tcW w:type="dxa" w:w="946"/>
            <w:vAlign w:val="center"/>
            <w:tcMar>
              <w:top w:w="80" w:type="dxa"/>
              <w:start w:w="90" w:type="dxa"/>
              <w:bottom w:w="80" w:type="dxa"/>
              <w:end w:w="90" w:type="dxa"/>
            </w:tcMar>
          </w:tcPr>
          <w:p>
            <w:pPr>
              <w:widowControl/>
              <w:spacing w:after="0" w:before="0" w:line="240" w:lineRule="auto"/>
              <w:jc w:val="left"/>
            </w:pPr>
            <w:r/>
            <w:r>
              <w:rPr>
                <w:rFonts w:ascii="Arial" w:hAnsi="Arial"/>
                <w:b/>
                <w:sz w:val="15"/>
              </w:rPr>
              <w:t>C — Görev Ekibi</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90</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90</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78</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82</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92</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86</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80</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val="0"/>
                <w:sz w:val="15"/>
              </w:rPr>
              <w:t>65</w:t>
            </w:r>
          </w:p>
        </w:tc>
        <w:tc>
          <w:tcPr>
            <w:tcW w:type="dxa" w:w="946"/>
            <w:vAlign w:val="center"/>
            <w:tcMar>
              <w:top w:w="80" w:type="dxa"/>
              <w:start w:w="90" w:type="dxa"/>
              <w:bottom w:w="80" w:type="dxa"/>
              <w:end w:w="90" w:type="dxa"/>
            </w:tcMar>
          </w:tcPr>
          <w:p>
            <w:pPr>
              <w:widowControl/>
              <w:spacing w:after="0" w:before="0" w:line="240" w:lineRule="auto"/>
              <w:jc w:val="center"/>
            </w:pPr>
            <w:r/>
            <w:r>
              <w:rPr>
                <w:rFonts w:ascii="Arial" w:hAnsi="Arial"/>
                <w:b/>
                <w:sz w:val="15"/>
              </w:rPr>
              <w:t>84.6</w:t>
            </w:r>
          </w:p>
        </w:tc>
      </w:tr>
    </w:tbl>
    <w:tbl>
      <w:tblPr>
        <w:tblW w:type="auto" w:w="0"/>
        <w:jc w:val="center"/>
        <w:tblLayout w:type="fixed"/>
        <w:tblLook w:firstColumn="1" w:firstRow="1" w:lastColumn="0" w:lastRow="0" w:noHBand="0" w:noVBand="1" w:val="04A0"/>
      </w:tblPr>
      <w:tblGrid>
        <w:gridCol w:w="9216"/>
      </w:tblGrid>
      <w:tr>
        <w:trPr>
          <w:trHeight w:hRule="atLeast"/>
        </w:trPr>
        <w:tc>
          <w:tcPr>
            <w:tcW w:type="dxa" w:w="9461"/>
            <w:shd w:fill="E2F0D9"/>
            <w:tcMar>
              <w:top w:w="120" w:type="dxa"/>
              <w:start w:w="140" w:type="dxa"/>
              <w:bottom w:w="120" w:type="dxa"/>
              <w:end w:w="140" w:type="dxa"/>
            </w:tcMar>
          </w:tcPr>
          <w:p>
            <w:pPr>
              <w:widowControl/>
              <w:spacing w:after="80"/>
            </w:pPr>
            <w:r/>
            <w:r>
              <w:rPr>
                <w:rFonts w:ascii="Arial" w:hAnsi="Arial"/>
                <w:b/>
                <w:sz w:val="21"/>
              </w:rPr>
              <w:t>Öncelik 1: A — 2D Açık Uçlu Sistem Simülasyonu</w:t>
            </w:r>
          </w:p>
          <w:p>
            <w:pPr>
              <w:widowControl/>
              <w:spacing w:after="0" w:line="259" w:lineRule="auto"/>
            </w:pPr>
            <w:r>
              <w:rPr>
                <w:rFonts w:ascii="Arial" w:hAnsi="Arial"/>
                <w:sz w:val="20"/>
              </w:rPr>
              <w:t>91.0/100. Akademik olarak problem solving + systems thinking çekirdeği güçlü; yaratıcı ve metacognitive süreçleri doğal biçimde içine alabiliyor. Market tarafında parçalı rakipler mevcut ancak aynı kombinasyonu yazılım-öncelikli, 8–12 yaş ve Türkçe/yerelleştirilebilir 2D deneyimde birleştiren doğrudan benchmark az. Ayrıca ilk demo multiplayer, canlı koç veya fiziksel kit gerektirmeden yapılabilir.</w:t>
            </w:r>
          </w:p>
        </w:tc>
      </w:tr>
    </w:tbl>
    <w:p>
      <w:pPr>
        <w:widowControl/>
        <w:spacing w:after="0"/>
      </w:pPr>
    </w:p>
    <w:p>
      <w:pPr>
        <w:pStyle w:val="Heading2"/>
        <w:keepNext/>
        <w:widowControl/>
      </w:pPr>
      <w:r>
        <w:t>B6.1. Neden doğrudan “AI çocuk uygulaması” ile başlamıyoruz?</w:t>
      </w:r>
    </w:p>
    <w:p>
      <w:pPr>
        <w:widowControl/>
      </w:pPr>
      <w:r>
        <w:t>AI literacy çok yüksek gelecek önemine sahiptir; ancak A3’te çocuklara özgü ampirik ve ölçüm kanıtı daha yeni olarak sınıflandırılmıştır. Pazar tarafında da Code.org, Common Sense, Checkology ve Twin AI eğitimine hızla giriyor. Bu nedenle AI’yı ürünün tek değer önerisi yapmak yerine, ilk üründe gerektiğinde bilgi kaynağı/NPC/geri bildirim bileşeni olarak sınırlı kullanmak daha kontrollü bir MVP sağlar. B konsepti ikinci güçlü ürün hattı olarak saklanmalıdır.</w:t>
      </w:r>
    </w:p>
    <w:p>
      <w:pPr>
        <w:pStyle w:val="Heading2"/>
        <w:keepNext/>
        <w:widowControl/>
      </w:pPr>
      <w:r>
        <w:t>B6.2. Ön hedef yaş: neden 8–12?</w:t>
      </w:r>
    </w:p>
    <w:p>
      <w:pPr>
        <w:widowControl/>
      </w:pPr>
      <w:r>
        <w:t>Bu yaş aralığı kesin ürün kararı değildir; akademik ve pazar verilerinin kesişiminden çıkan çalışma hipotezidir. A3, 8–12 yaşta daha karmaşık kanıt değerlendirme, planlama, iş birliği, sistem muhakemesi ve üstbilişsel görevlerin incelenebildiğini belirtmektedir [A0]. Synthesis 8–14, Quandary 8–14, Scratch 8–16 ve Brilliant çoğu çocuk için yaklaşık 10+ yaş segmentinde konumlanırken; Türkiye’de 1–8 sınıf ve 4–13 yaş aralığında güçlü dijital ürün kullanımı zaten bulunmaktadır [S1][S3][S7][S11][T1]. Bu nedenle 8–12, hem bilişsel görev karmaşıklığı hem de dijital ürün alışkanlığı açısından makul bir ilk demo segmentidir.</w:t>
      </w:r>
    </w:p>
    <w:p>
      <w:pPr>
        <w:pStyle w:val="Heading1"/>
        <w:keepNext/>
        <w:widowControl/>
      </w:pPr>
      <w:r>
        <w:t>B7. B Sonrası Demo Aşamasına Geçiş</w:t>
      </w:r>
    </w:p>
    <w:p>
      <w:pPr>
        <w:widowControl/>
      </w:pPr>
      <w:r>
        <w:t>B bölümü ürün fikrini sınırsız biçimde genişletmek için değil, demo kararını daraltmak için hazırlanmıştır. Bir sonraki aşamada önerilen süreç şöyledir:</w:t>
      </w:r>
    </w:p>
    <w:p>
      <w:pPr>
        <w:pStyle w:val="ListNumber"/>
        <w:widowControl/>
        <w:spacing w:after="60"/>
      </w:pPr>
      <w:r>
        <w:t>Üç konseptin puanlarını ekip olarak doğrula; A seçeneğini varsayılan demo adayı kabul et.</w:t>
      </w:r>
    </w:p>
    <w:p>
      <w:pPr>
        <w:pStyle w:val="ListNumber"/>
        <w:widowControl/>
        <w:spacing w:after="60"/>
      </w:pPr>
      <w:r>
        <w:t>Tek hedef kullanıcı personası seç: ör. 8–10 veya 10–12; okumaya dayalı yük ve görev karmaşıklığını buna göre ayarla.</w:t>
      </w:r>
    </w:p>
    <w:p>
      <w:pPr>
        <w:pStyle w:val="ListNumber"/>
        <w:widowControl/>
        <w:spacing w:after="60"/>
      </w:pPr>
      <w:r>
        <w:t>Tek senaryo seç: su yönetimi, şehir ulaşımı, enerji, ekosistem/polinizasyon veya benzeri. Demo yalnızca bir “vertical slice” olsun.</w:t>
      </w:r>
    </w:p>
    <w:p>
      <w:pPr>
        <w:pStyle w:val="ListNumber"/>
        <w:widowControl/>
        <w:spacing w:after="60"/>
      </w:pPr>
      <w:r>
        <w:t>Core loop’u sabitle: Explore → Understand/Structure → Generate/Plan → Act/Test → Observe → Adapt → Reflect.</w:t>
      </w:r>
    </w:p>
    <w:p>
      <w:pPr>
        <w:pStyle w:val="ListNumber"/>
        <w:widowControl/>
        <w:spacing w:after="60"/>
      </w:pPr>
      <w:r>
        <w:t>İlk sürümde 5–7 süreç göstergesi kaydet: bilgi kaynağı kullanımı, alternatif çözüm sayısı, strateji değişimi, geri bildirim sonrası uyarlama, gerekçelendirme, gecikmiş sonucu fark etme, görev sonrası yansıtma.</w:t>
      </w:r>
    </w:p>
    <w:p>
      <w:pPr>
        <w:pStyle w:val="ListNumber"/>
        <w:widowControl/>
        <w:spacing w:after="60"/>
      </w:pPr>
      <w:r>
        <w:t>Bu göstergeleri “yetkinlik puanı” olarak pazarlama; önce davranışsal/process indicator olarak tut. Sonraki Ar-Ge aşamasında geçerlik çalışması planla.</w:t>
      </w:r>
    </w:p>
    <w:p>
      <w:pPr>
        <w:pStyle w:val="ListNumber"/>
        <w:widowControl/>
        <w:spacing w:after="60"/>
      </w:pPr>
      <w:r>
        <w:t>MVP’de gerçek zamanlı multiplayer, açık uçlu generative AI sohbeti, kapsamlı öğretmen paneli ve çok sayıda senaryo ekleme. Bunları ikinci faza bırak.</w:t>
      </w:r>
    </w:p>
    <w:tbl>
      <w:tblPr>
        <w:tblStyle w:val="TableGrid"/>
        <w:tblW w:type="auto" w:w="0"/>
        <w:jc w:val="center"/>
        <w:tblLook w:firstColumn="1" w:firstRow="1" w:lastColumn="0" w:lastRow="0" w:noHBand="0" w:noVBand="1" w:val="04A0"/>
      </w:tblPr>
      <w:tblGrid>
        <w:gridCol w:w="4730"/>
        <w:gridCol w:w="4730"/>
      </w:tblGrid>
      <w:tr>
        <w:trPr>
          <w:trHeight w:hRule="atLeast"/>
          <w:tblHeader w:val="true"/>
        </w:trPr>
        <w:tc>
          <w:tcPr>
            <w:tcW w:type="dxa" w:w="4730"/>
            <w:vAlign w:val="center"/>
            <w:tcMar>
              <w:top w:w="80" w:type="dxa"/>
              <w:start w:w="90" w:type="dxa"/>
              <w:bottom w:w="80" w:type="dxa"/>
              <w:end w:w="90" w:type="dxa"/>
            </w:tcMar>
            <w:shd w:fill="1F4E79"/>
          </w:tcPr>
          <w:p>
            <w:pPr>
              <w:widowControl/>
              <w:spacing w:after="0" w:before="0" w:line="240" w:lineRule="auto"/>
              <w:jc w:val="center"/>
            </w:pPr>
            <w:r/>
            <w:r>
              <w:rPr>
                <w:rFonts w:ascii="Arial" w:hAnsi="Arial"/>
                <w:b/>
                <w:color w:val="FFFFFF"/>
                <w:sz w:val="18"/>
              </w:rPr>
              <w:t>İlk demoda OLSUN</w:t>
            </w:r>
          </w:p>
        </w:tc>
        <w:tc>
          <w:tcPr>
            <w:tcW w:type="dxa" w:w="4730"/>
            <w:vAlign w:val="center"/>
            <w:tcMar>
              <w:top w:w="80" w:type="dxa"/>
              <w:start w:w="90" w:type="dxa"/>
              <w:bottom w:w="80" w:type="dxa"/>
              <w:end w:w="90" w:type="dxa"/>
            </w:tcMar>
            <w:shd w:fill="A61C00"/>
          </w:tcPr>
          <w:p>
            <w:pPr>
              <w:widowControl/>
              <w:spacing w:after="0" w:before="0" w:line="240" w:lineRule="auto"/>
              <w:jc w:val="center"/>
            </w:pPr>
            <w:r/>
            <w:r>
              <w:rPr>
                <w:rFonts w:ascii="Arial" w:hAnsi="Arial"/>
                <w:b/>
                <w:color w:val="FFFFFF"/>
                <w:sz w:val="18"/>
              </w:rPr>
              <w:t>İlk demoda OLMASIN</w:t>
            </w:r>
          </w:p>
        </w:tc>
      </w:tr>
      <w:tr>
        <w:trPr>
          <w:trHeight w:hRule="atLeast"/>
        </w:trPr>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1 güçlü senaryo</w:t>
            </w:r>
          </w:p>
        </w:tc>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10+ senaryo</w:t>
            </w:r>
          </w:p>
        </w:tc>
      </w:tr>
      <w:tr>
        <w:trPr>
          <w:trHeight w:hRule="atLeast"/>
        </w:trPr>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2D etkileşimli harita/ortam</w:t>
            </w:r>
          </w:p>
        </w:tc>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gerçek zamanlı multiplayer</w:t>
            </w:r>
          </w:p>
        </w:tc>
      </w:tr>
      <w:tr>
        <w:trPr>
          <w:trHeight w:hRule="atLeast"/>
        </w:trPr>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3–4 paydaş/karakter</w:t>
            </w:r>
          </w:p>
        </w:tc>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serbest açık internet</w:t>
            </w:r>
          </w:p>
        </w:tc>
      </w:tr>
      <w:tr>
        <w:trPr>
          <w:trHeight w:hRule="atLeast"/>
        </w:trPr>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çoklu karar ve trade-off</w:t>
            </w:r>
          </w:p>
        </w:tc>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çocuğa açık genel chatbot</w:t>
            </w:r>
          </w:p>
        </w:tc>
      </w:tr>
      <w:tr>
        <w:trPr>
          <w:trHeight w:hRule="atLeast"/>
        </w:trPr>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gecikmeli/ikinci dereceden sonuç</w:t>
            </w:r>
          </w:p>
        </w:tc>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“AI skoruyla kişilik/yetenek teşhisi”</w:t>
            </w:r>
          </w:p>
        </w:tc>
      </w:tr>
      <w:tr>
        <w:trPr>
          <w:trHeight w:hRule="atLeast"/>
        </w:trPr>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process log</w:t>
            </w:r>
          </w:p>
        </w:tc>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karmaşık ödeme/abonelik sistemi</w:t>
            </w:r>
          </w:p>
        </w:tc>
      </w:tr>
      <w:tr>
        <w:trPr>
          <w:trHeight w:hRule="atLeast"/>
        </w:trPr>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kısa reflection ekranı</w:t>
            </w:r>
          </w:p>
        </w:tc>
        <w:tc>
          <w:tcPr>
            <w:tcW w:type="dxa" w:w="4730"/>
            <w:vAlign w:val="center"/>
            <w:tcMar>
              <w:top w:w="80" w:type="dxa"/>
              <w:start w:w="90" w:type="dxa"/>
              <w:bottom w:w="80" w:type="dxa"/>
              <w:end w:w="90" w:type="dxa"/>
            </w:tcMar>
          </w:tcPr>
          <w:p>
            <w:pPr>
              <w:widowControl/>
              <w:spacing w:after="0" w:before="0" w:line="240" w:lineRule="auto"/>
              <w:jc w:val="left"/>
            </w:pPr>
            <w:r/>
            <w:r>
              <w:rPr>
                <w:rFonts w:ascii="Arial" w:hAnsi="Arial"/>
                <w:b w:val="0"/>
                <w:sz w:val="17"/>
              </w:rPr>
              <w:t>tam okul yönetim paneli</w:t>
            </w:r>
          </w:p>
        </w:tc>
      </w:tr>
    </w:tbl>
    <w:p>
      <w:pPr>
        <w:pStyle w:val="Heading1"/>
        <w:keepNext/>
        <w:widowControl/>
      </w:pPr>
      <w:r>
        <w:t>B8. Sonuç</w:t>
      </w:r>
    </w:p>
    <w:p>
      <w:pPr>
        <w:widowControl/>
      </w:pPr>
      <w:r>
        <w:t>Pazar araştırması, A1–A3 akademik sonuçlarını tersine çevirmemekte; aksine hangi akademik kümelerde farklılaşmanın daha mümkün olduğunu göstermektedir. Kodlama, matematik pratiği ve MEB içerik platformu gibi alanlarda pazar doğrulanmış fakat rekabet yüksektir. Critical thinking/media literacy tarafında güçlü içerik platformları vardır. Açık uçlu problem çözme ve sistem simülasyonu tarafında ise iyi benchmarklar bulunmasına rağmen çözüm parçalıdır; Türkiye’de yazılım-öncelikli, 2D, 8–12 yaşa dönük ve süreç davranışını araştırma verisi olarak kullanan doğrudan bir konumlandırma daha az görünmektedir.</w:t>
      </w:r>
    </w:p>
    <w:p>
      <w:pPr>
        <w:widowControl/>
      </w:pPr>
      <w:r>
        <w:t>Bu nedenle B bölümü, demo için birinci aday olarak “2D Açık Uçlu Sistem Simülasyonu”nu; ikinci ürün hattı olarak “Kanıt Avcıları: AI &amp; Bilgi Güvenilirliği”ni; daha karmaşık üçüncü hat olarak “Görev Ekibi: İş Birlikli Problem Çözme”yi önermektedir. Bir sonraki çalışma artık yeni bir geniş literatür/pazar taraması değil, ürün kararı ve vertical-slice demo tanımı olmalıdır.</w:t>
      </w:r>
    </w:p>
    <w:p>
      <w:pPr>
        <w:widowControl/>
        <w:sectPr>
          <w:pgSz w:w="11909" w:h="16834"/>
          <w:pgMar w:top="1152" w:right="1224" w:bottom="1080" w:left="1224" w:header="720" w:footer="720" w:gutter="0"/>
          <w:cols w:space="720"/>
          <w:docGrid w:linePitch="360"/>
        </w:sectPr>
      </w:pPr>
    </w:p>
    <w:p>
      <w:pPr>
        <w:pStyle w:val="Heading1"/>
        <w:keepNext/>
        <w:widowControl/>
      </w:pPr>
      <w:r>
        <w:t>Kaynaklar ve Erişim Notları</w:t>
      </w:r>
    </w:p>
    <w:p>
      <w:pPr>
        <w:pStyle w:val="Compact"/>
        <w:widowControl/>
      </w:pPr>
      <w:r>
        <w:t>Web kaynakları 9 Eylül 2026 tarihinde erişilebilen kamuya açık sayfalardır. Fiyat, paket ve özellikler zaman içinde değişebilir. Rapor, mümkün olduğunca ürünlerin resmî sayfalarını kullanmıştır; Twin için resmî web sitesi tarama sırasında erişim kısıtı verdiğinden MIT Solve ürün açıklaması ve ürünün yayımladığı Notion materyali destekleyici kaynak olarak kullanılmıştır.</w:t>
      </w:r>
    </w:p>
    <w:p>
      <w:pPr>
        <w:pStyle w:val="Compact"/>
        <w:widowControl/>
      </w:pPr>
      <w:r>
        <w:rPr>
          <w:b/>
        </w:rPr>
        <w:t xml:space="preserve">[A0] Etkim_A1-A3_Duzenlenmis_Rapor_v1.docx, özellikle A3: akademik araştırma kümeleri ve ortak araştırma problemi.. </w:t>
      </w:r>
      <w:r>
        <w:t>İç kaynak; 09.09.2026 sürümü.</w:t>
      </w:r>
    </w:p>
    <w:p>
      <w:pPr>
        <w:pStyle w:val="Compact"/>
        <w:widowControl/>
      </w:pPr>
      <w:r>
        <w:rPr>
          <w:b/>
        </w:rPr>
        <w:t xml:space="preserve">[S1] Synthesis Teams ve FAQ. </w:t>
      </w:r>
      <w:hyperlink r:id="rId10">
        <w:r>
          <w:rPr>
            <w:color w:val="0563C1"/>
            <w:u w:val="single"/>
          </w:rPr>
          <w:t>https://www.synthesis.com/teams/</w:t>
        </w:r>
      </w:hyperlink>
      <w:r>
        <w:t xml:space="preserve"> ; </w:t>
      </w:r>
      <w:hyperlink r:id="rId11">
        <w:r>
          <w:rPr>
            <w:color w:val="0563C1"/>
            <w:u w:val="single"/>
          </w:rPr>
          <w:t>https://www.synthesis.com/learn/kb/synthesis-teams/</w:t>
        </w:r>
      </w:hyperlink>
    </w:p>
    <w:p>
      <w:pPr>
        <w:pStyle w:val="Compact"/>
        <w:widowControl/>
      </w:pPr>
      <w:r>
        <w:rPr>
          <w:b/>
        </w:rPr>
        <w:t xml:space="preserve">[S2] Minecraft Education — Licensing. </w:t>
      </w:r>
      <w:hyperlink r:id="rId12">
        <w:r>
          <w:rPr>
            <w:color w:val="0563C1"/>
            <w:u w:val="single"/>
          </w:rPr>
          <w:t>https://education.minecraft.net/en-us/licensing</w:t>
        </w:r>
      </w:hyperlink>
    </w:p>
    <w:p>
      <w:pPr>
        <w:pStyle w:val="Compact"/>
        <w:widowControl/>
      </w:pPr>
      <w:r>
        <w:rPr>
          <w:b/>
        </w:rPr>
        <w:t xml:space="preserve">[S3] Scratch — For Parents / About Scratch. </w:t>
      </w:r>
      <w:hyperlink r:id="rId13">
        <w:r>
          <w:rPr>
            <w:color w:val="0563C1"/>
            <w:u w:val="single"/>
          </w:rPr>
          <w:t>https://scratch.mit.edu/help/parents/</w:t>
        </w:r>
      </w:hyperlink>
      <w:r>
        <w:t xml:space="preserve"> ; </w:t>
      </w:r>
      <w:hyperlink r:id="rId14">
        <w:r>
          <w:rPr>
            <w:color w:val="0563C1"/>
            <w:u w:val="single"/>
          </w:rPr>
          <w:t>https://scratch.mit.edu/help/about/</w:t>
        </w:r>
      </w:hyperlink>
    </w:p>
    <w:p>
      <w:pPr>
        <w:pStyle w:val="Compact"/>
        <w:widowControl/>
      </w:pPr>
      <w:r>
        <w:rPr>
          <w:b/>
        </w:rPr>
        <w:t xml:space="preserve">[S4] Tynker — Plans and Pricing. </w:t>
      </w:r>
      <w:hyperlink r:id="rId15">
        <w:r>
          <w:rPr>
            <w:color w:val="0563C1"/>
            <w:u w:val="single"/>
          </w:rPr>
          <w:t>https://www.tynker.com/parents/pricing/</w:t>
        </w:r>
      </w:hyperlink>
    </w:p>
    <w:p>
      <w:pPr>
        <w:pStyle w:val="Compact"/>
        <w:widowControl/>
      </w:pPr>
      <w:r>
        <w:rPr>
          <w:b/>
        </w:rPr>
        <w:t xml:space="preserve">[S5] Code.org / CodeAI — Curriculum &amp; AI. </w:t>
      </w:r>
      <w:hyperlink r:id="rId16">
        <w:r>
          <w:rPr>
            <w:color w:val="0563C1"/>
            <w:u w:val="single"/>
          </w:rPr>
          <w:t>https://code.org/cs/curriculum</w:t>
        </w:r>
      </w:hyperlink>
      <w:r>
        <w:t xml:space="preserve"> ; </w:t>
      </w:r>
      <w:hyperlink r:id="rId17">
        <w:r>
          <w:rPr>
            <w:color w:val="0563C1"/>
            <w:u w:val="single"/>
          </w:rPr>
          <w:t>https://code.org/tr/artificial-intelligence</w:t>
        </w:r>
      </w:hyperlink>
    </w:p>
    <w:p>
      <w:pPr>
        <w:pStyle w:val="Compact"/>
        <w:widowControl/>
      </w:pPr>
      <w:r>
        <w:rPr>
          <w:b/>
        </w:rPr>
        <w:t xml:space="preserve">[S6] Tinybop — Apps. </w:t>
      </w:r>
      <w:hyperlink r:id="rId18">
        <w:r>
          <w:rPr>
            <w:color w:val="0563C1"/>
            <w:u w:val="single"/>
          </w:rPr>
          <w:t>https://tinybop.com/apps</w:t>
        </w:r>
      </w:hyperlink>
    </w:p>
    <w:p>
      <w:pPr>
        <w:pStyle w:val="Compact"/>
        <w:widowControl/>
      </w:pPr>
      <w:r>
        <w:rPr>
          <w:b/>
        </w:rPr>
        <w:t xml:space="preserve">[S7] Quandary — FAQ ve Curriculum Intro. </w:t>
      </w:r>
      <w:hyperlink r:id="rId19">
        <w:r>
          <w:rPr>
            <w:color w:val="0563C1"/>
            <w:u w:val="single"/>
          </w:rPr>
          <w:t>https://quandarygame.org/faq?language_content_entity=en</w:t>
        </w:r>
      </w:hyperlink>
      <w:r>
        <w:t xml:space="preserve"> ; </w:t>
      </w:r>
      <w:hyperlink r:id="rId20">
        <w:r>
          <w:rPr>
            <w:color w:val="0563C1"/>
            <w:u w:val="single"/>
          </w:rPr>
          <w:t>https://quandarygame.org/media/21?language_content_entity=en</w:t>
        </w:r>
      </w:hyperlink>
    </w:p>
    <w:p>
      <w:pPr>
        <w:pStyle w:val="Compact"/>
        <w:widowControl/>
      </w:pPr>
      <w:r>
        <w:rPr>
          <w:b/>
        </w:rPr>
        <w:t xml:space="preserve">[S8] Common Sense Education — Digital Literacy &amp; Well-Being. </w:t>
      </w:r>
      <w:hyperlink r:id="rId21">
        <w:r>
          <w:rPr>
            <w:color w:val="0563C1"/>
            <w:u w:val="single"/>
          </w:rPr>
          <w:t>https://www.commonsense.org/education/digital-literacy</w:t>
        </w:r>
      </w:hyperlink>
    </w:p>
    <w:p>
      <w:pPr>
        <w:pStyle w:val="Compact"/>
        <w:widowControl/>
      </w:pPr>
      <w:r>
        <w:rPr>
          <w:b/>
        </w:rPr>
        <w:t xml:space="preserve">[S9] Checkology ve 2024–2025 Assessment Summary. </w:t>
      </w:r>
      <w:hyperlink r:id="rId22">
        <w:r>
          <w:rPr>
            <w:color w:val="0563C1"/>
            <w:u w:val="single"/>
          </w:rPr>
          <w:t>https://checkology.org/</w:t>
        </w:r>
      </w:hyperlink>
      <w:r>
        <w:t xml:space="preserve"> ; </w:t>
      </w:r>
      <w:hyperlink r:id="rId23">
        <w:r>
          <w:rPr>
            <w:color w:val="0563C1"/>
            <w:u w:val="single"/>
          </w:rPr>
          <w:t>https://get.checkology.org/wp-content/uploads/2025/09/24-25ExecutiveSummary.pdf</w:t>
        </w:r>
      </w:hyperlink>
    </w:p>
    <w:p>
      <w:pPr>
        <w:pStyle w:val="Compact"/>
        <w:widowControl/>
      </w:pPr>
      <w:r>
        <w:rPr>
          <w:b/>
        </w:rPr>
        <w:t xml:space="preserve">[S10] iCivics — Education / Student Games. </w:t>
      </w:r>
      <w:hyperlink r:id="rId24">
        <w:r>
          <w:rPr>
            <w:color w:val="0563C1"/>
            <w:u w:val="single"/>
          </w:rPr>
          <w:t>https://vision.icivics.org/education/</w:t>
        </w:r>
      </w:hyperlink>
      <w:r>
        <w:t xml:space="preserve"> ; </w:t>
      </w:r>
      <w:hyperlink r:id="rId25">
        <w:r>
          <w:rPr>
            <w:color w:val="0563C1"/>
            <w:u w:val="single"/>
          </w:rPr>
          <w:t>https://ed.icivics.org/students</w:t>
        </w:r>
      </w:hyperlink>
    </w:p>
    <w:p>
      <w:pPr>
        <w:pStyle w:val="Compact"/>
        <w:widowControl/>
      </w:pPr>
      <w:r>
        <w:rPr>
          <w:b/>
        </w:rPr>
        <w:t xml:space="preserve">[S11] Brilliant — Who is Brilliant for? / Pricing. </w:t>
      </w:r>
      <w:hyperlink r:id="rId26">
        <w:r>
          <w:rPr>
            <w:color w:val="0563C1"/>
            <w:u w:val="single"/>
          </w:rPr>
          <w:t>https://brilliant.org/help/using-brilliant/who-is-brilliant-for/</w:t>
        </w:r>
      </w:hyperlink>
      <w:r>
        <w:t xml:space="preserve"> ; </w:t>
      </w:r>
      <w:hyperlink r:id="rId27">
        <w:r>
          <w:rPr>
            <w:color w:val="0563C1"/>
            <w:u w:val="single"/>
          </w:rPr>
          <w:t>https://brilliant.org/resources/choosing-brilliant/is-brilliant-worth-it/</w:t>
        </w:r>
      </w:hyperlink>
    </w:p>
    <w:p>
      <w:pPr>
        <w:pStyle w:val="Compact"/>
        <w:widowControl/>
      </w:pPr>
      <w:r>
        <w:rPr>
          <w:b/>
        </w:rPr>
        <w:t xml:space="preserve">[S12] DragonBox / Kahoot! learning apps. </w:t>
      </w:r>
      <w:hyperlink r:id="rId28">
        <w:r>
          <w:rPr>
            <w:color w:val="0563C1"/>
            <w:u w:val="single"/>
          </w:rPr>
          <w:t>https://support.kahoot.com/hc/en-us/articles/4786930773907-DragonBox-learning-apps</w:t>
        </w:r>
      </w:hyperlink>
      <w:r>
        <w:t xml:space="preserve"> ; </w:t>
      </w:r>
      <w:hyperlink r:id="rId29">
        <w:r>
          <w:rPr>
            <w:color w:val="0563C1"/>
            <w:u w:val="single"/>
          </w:rPr>
          <w:t>https://kahoot.com/home/learning-apps/</w:t>
        </w:r>
      </w:hyperlink>
    </w:p>
    <w:p>
      <w:pPr>
        <w:pStyle w:val="Compact"/>
        <w:widowControl/>
      </w:pPr>
      <w:r>
        <w:rPr>
          <w:b/>
        </w:rPr>
        <w:t xml:space="preserve">[S13] Prodigy Math. </w:t>
      </w:r>
      <w:hyperlink r:id="rId30">
        <w:r>
          <w:rPr>
            <w:color w:val="0563C1"/>
            <w:u w:val="single"/>
          </w:rPr>
          <w:t>https://www.prodigygame.com/main-en/prodigy-math</w:t>
        </w:r>
      </w:hyperlink>
    </w:p>
    <w:p>
      <w:pPr>
        <w:pStyle w:val="Compact"/>
        <w:widowControl/>
      </w:pPr>
      <w:r>
        <w:rPr>
          <w:b/>
        </w:rPr>
        <w:t xml:space="preserve">[T1] MentalUP — ürün ve fiyatlandırma. </w:t>
      </w:r>
      <w:hyperlink r:id="rId31">
        <w:r>
          <w:rPr>
            <w:color w:val="0563C1"/>
            <w:u w:val="single"/>
          </w:rPr>
          <w:t>https://www.mentalup.net/</w:t>
        </w:r>
      </w:hyperlink>
      <w:r>
        <w:t xml:space="preserve"> ; </w:t>
      </w:r>
      <w:hyperlink r:id="rId32">
        <w:r>
          <w:rPr>
            <w:color w:val="0563C1"/>
            <w:u w:val="single"/>
          </w:rPr>
          <w:t>https://www.mentalup.net/uygulama-ucreti-ve-fiyatlandirmasi</w:t>
        </w:r>
      </w:hyperlink>
    </w:p>
    <w:p>
      <w:pPr>
        <w:pStyle w:val="Compact"/>
        <w:widowControl/>
      </w:pPr>
      <w:r>
        <w:rPr>
          <w:b/>
        </w:rPr>
        <w:t xml:space="preserve">[T2] Twin Science &amp; Robotics — STEM for Sustainability / Student App. </w:t>
      </w:r>
      <w:hyperlink r:id="rId33">
        <w:r>
          <w:rPr>
            <w:color w:val="0563C1"/>
            <w:u w:val="single"/>
          </w:rPr>
          <w:t>https://solve.mit.edu/solutions/102670</w:t>
        </w:r>
      </w:hyperlink>
      <w:r>
        <w:t xml:space="preserve"> ; </w:t>
      </w:r>
      <w:hyperlink r:id="rId34">
        <w:r>
          <w:rPr>
            <w:color w:val="0563C1"/>
            <w:u w:val="single"/>
          </w:rPr>
          <w:t>https://twin-science.notion.site/Description-Twin-App-a6d2bd797b554c0096010ae95e77d056</w:t>
        </w:r>
      </w:hyperlink>
    </w:p>
    <w:p>
      <w:pPr>
        <w:pStyle w:val="Compact"/>
        <w:widowControl/>
      </w:pPr>
      <w:r>
        <w:rPr>
          <w:b/>
        </w:rPr>
        <w:t xml:space="preserve">[T3] Morpa Kampüs — ana sayfa / SSS. </w:t>
      </w:r>
      <w:hyperlink r:id="rId35">
        <w:r>
          <w:rPr>
            <w:color w:val="0563C1"/>
            <w:u w:val="single"/>
          </w:rPr>
          <w:t>https://www.morpakampus.com/anasayfa</w:t>
        </w:r>
      </w:hyperlink>
      <w:r>
        <w:t xml:space="preserve"> ; </w:t>
      </w:r>
      <w:hyperlink r:id="rId36">
        <w:r>
          <w:rPr>
            <w:color w:val="0563C1"/>
            <w:u w:val="single"/>
          </w:rPr>
          <w:t>https://www.morpakampus.com/sss</w:t>
        </w:r>
      </w:hyperlink>
    </w:p>
    <w:p>
      <w:pPr>
        <w:pStyle w:val="Compact"/>
        <w:widowControl/>
      </w:pPr>
      <w:r>
        <w:rPr>
          <w:b/>
        </w:rPr>
        <w:t xml:space="preserve">[T4] Okulistik — ana sayfa. </w:t>
      </w:r>
      <w:hyperlink r:id="rId37">
        <w:r>
          <w:rPr>
            <w:color w:val="0563C1"/>
            <w:u w:val="single"/>
          </w:rPr>
          <w:t>https://www.okulistik.com/anasayfa/</w:t>
        </w:r>
      </w:hyperlink>
    </w:p>
    <w:p>
      <w:pPr>
        <w:pStyle w:val="Compact"/>
        <w:widowControl/>
      </w:pPr>
      <w:r>
        <w:rPr>
          <w:b/>
        </w:rPr>
        <w:t xml:space="preserve">[T5] Derslig — ana sayfa / Pro. </w:t>
      </w:r>
      <w:hyperlink r:id="rId38">
        <w:r>
          <w:rPr>
            <w:color w:val="0563C1"/>
            <w:u w:val="single"/>
          </w:rPr>
          <w:t>https://www.derslig.com/</w:t>
        </w:r>
      </w:hyperlink>
      <w:r>
        <w:t xml:space="preserve"> ; </w:t>
      </w:r>
      <w:hyperlink r:id="rId39">
        <w:r>
          <w:rPr>
            <w:color w:val="0563C1"/>
            <w:u w:val="single"/>
          </w:rPr>
          <w:t>https://www.derslig.com/pro</w:t>
        </w:r>
      </w:hyperlink>
    </w:p>
    <w:p>
      <w:pPr>
        <w:pStyle w:val="Compact"/>
        <w:widowControl/>
      </w:pPr>
      <w:r>
        <w:rPr>
          <w:b/>
        </w:rPr>
        <w:t xml:space="preserve">[T6] Kodris — kayıt / kurumsal profil. </w:t>
      </w:r>
      <w:hyperlink r:id="rId40">
        <w:r>
          <w:rPr>
            <w:color w:val="0563C1"/>
            <w:u w:val="single"/>
          </w:rPr>
          <w:t>https://panel.kodris.com/signup?lang=tr</w:t>
        </w:r>
      </w:hyperlink>
      <w:r>
        <w:t xml:space="preserve"> ; </w:t>
      </w:r>
      <w:hyperlink r:id="rId41">
        <w:r>
          <w:rPr>
            <w:color w:val="0563C1"/>
            <w:u w:val="single"/>
          </w:rPr>
          <w:t>https://tr.linkedin.com/company/kodris-edutech</w:t>
        </w:r>
      </w:hyperlink>
    </w:p>
    <w:sectPr w:rsidR="00FC693F" w:rsidRPr="0006063C" w:rsidSect="00034616">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A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A5A5A"/>
      <w:sz w:val="17"/>
    </w:rPr>
  </w:style>
  <w:style w:type="paragraph" w:customStyle="1" w:styleId="Compact">
    <w:name w:val="Compact"/>
    <w:pPr>
      <w:spacing w:after="60" w:line="245" w:lineRule="auto"/>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ynthesis.com/teams/" TargetMode="External"/><Relationship Id="rId11" Type="http://schemas.openxmlformats.org/officeDocument/2006/relationships/hyperlink" Target="https://www.synthesis.com/learn/kb/synthesis-teams/" TargetMode="External"/><Relationship Id="rId12" Type="http://schemas.openxmlformats.org/officeDocument/2006/relationships/hyperlink" Target="https://education.minecraft.net/en-us/licensing" TargetMode="External"/><Relationship Id="rId13" Type="http://schemas.openxmlformats.org/officeDocument/2006/relationships/hyperlink" Target="https://scratch.mit.edu/help/parents/" TargetMode="External"/><Relationship Id="rId14" Type="http://schemas.openxmlformats.org/officeDocument/2006/relationships/hyperlink" Target="https://scratch.mit.edu/help/about/" TargetMode="External"/><Relationship Id="rId15" Type="http://schemas.openxmlformats.org/officeDocument/2006/relationships/hyperlink" Target="https://www.tynker.com/parents/pricing/" TargetMode="External"/><Relationship Id="rId16" Type="http://schemas.openxmlformats.org/officeDocument/2006/relationships/hyperlink" Target="https://code.org/cs/curriculum" TargetMode="External"/><Relationship Id="rId17" Type="http://schemas.openxmlformats.org/officeDocument/2006/relationships/hyperlink" Target="https://code.org/tr/artificial-intelligence" TargetMode="External"/><Relationship Id="rId18" Type="http://schemas.openxmlformats.org/officeDocument/2006/relationships/hyperlink" Target="https://tinybop.com/apps" TargetMode="External"/><Relationship Id="rId19" Type="http://schemas.openxmlformats.org/officeDocument/2006/relationships/hyperlink" Target="https://quandarygame.org/faq?language_content_entity=en" TargetMode="External"/><Relationship Id="rId20" Type="http://schemas.openxmlformats.org/officeDocument/2006/relationships/hyperlink" Target="https://quandarygame.org/media/21?language_content_entity=en" TargetMode="External"/><Relationship Id="rId21" Type="http://schemas.openxmlformats.org/officeDocument/2006/relationships/hyperlink" Target="https://www.commonsense.org/education/digital-literacy" TargetMode="External"/><Relationship Id="rId22" Type="http://schemas.openxmlformats.org/officeDocument/2006/relationships/hyperlink" Target="https://checkology.org/" TargetMode="External"/><Relationship Id="rId23" Type="http://schemas.openxmlformats.org/officeDocument/2006/relationships/hyperlink" Target="https://get.checkology.org/wp-content/uploads/2025/09/24-25ExecutiveSummary.pdf" TargetMode="External"/><Relationship Id="rId24" Type="http://schemas.openxmlformats.org/officeDocument/2006/relationships/hyperlink" Target="https://vision.icivics.org/education/" TargetMode="External"/><Relationship Id="rId25" Type="http://schemas.openxmlformats.org/officeDocument/2006/relationships/hyperlink" Target="https://ed.icivics.org/students" TargetMode="External"/><Relationship Id="rId26" Type="http://schemas.openxmlformats.org/officeDocument/2006/relationships/hyperlink" Target="https://brilliant.org/help/using-brilliant/who-is-brilliant-for/" TargetMode="External"/><Relationship Id="rId27" Type="http://schemas.openxmlformats.org/officeDocument/2006/relationships/hyperlink" Target="https://brilliant.org/resources/choosing-brilliant/is-brilliant-worth-it/" TargetMode="External"/><Relationship Id="rId28" Type="http://schemas.openxmlformats.org/officeDocument/2006/relationships/hyperlink" Target="https://support.kahoot.com/hc/en-us/articles/4786930773907-DragonBox-learning-apps" TargetMode="External"/><Relationship Id="rId29" Type="http://schemas.openxmlformats.org/officeDocument/2006/relationships/hyperlink" Target="https://kahoot.com/home/learning-apps/" TargetMode="External"/><Relationship Id="rId30" Type="http://schemas.openxmlformats.org/officeDocument/2006/relationships/hyperlink" Target="https://www.prodigygame.com/main-en/prodigy-math" TargetMode="External"/><Relationship Id="rId31" Type="http://schemas.openxmlformats.org/officeDocument/2006/relationships/hyperlink" Target="https://www.mentalup.net/" TargetMode="External"/><Relationship Id="rId32" Type="http://schemas.openxmlformats.org/officeDocument/2006/relationships/hyperlink" Target="https://www.mentalup.net/uygulama-ucreti-ve-fiyatlandirmasi" TargetMode="External"/><Relationship Id="rId33" Type="http://schemas.openxmlformats.org/officeDocument/2006/relationships/hyperlink" Target="https://solve.mit.edu/solutions/102670" TargetMode="External"/><Relationship Id="rId34" Type="http://schemas.openxmlformats.org/officeDocument/2006/relationships/hyperlink" Target="https://twin-science.notion.site/Description-Twin-App-a6d2bd797b554c0096010ae95e77d056" TargetMode="External"/><Relationship Id="rId35" Type="http://schemas.openxmlformats.org/officeDocument/2006/relationships/hyperlink" Target="https://www.morpakampus.com/anasayfa" TargetMode="External"/><Relationship Id="rId36" Type="http://schemas.openxmlformats.org/officeDocument/2006/relationships/hyperlink" Target="https://www.morpakampus.com/sss" TargetMode="External"/><Relationship Id="rId37" Type="http://schemas.openxmlformats.org/officeDocument/2006/relationships/hyperlink" Target="https://www.okulistik.com/anasayfa/" TargetMode="External"/><Relationship Id="rId38" Type="http://schemas.openxmlformats.org/officeDocument/2006/relationships/hyperlink" Target="https://www.derslig.com/" TargetMode="External"/><Relationship Id="rId39" Type="http://schemas.openxmlformats.org/officeDocument/2006/relationships/hyperlink" Target="https://www.derslig.com/pro" TargetMode="External"/><Relationship Id="rId40" Type="http://schemas.openxmlformats.org/officeDocument/2006/relationships/hyperlink" Target="https://panel.kodris.com/signup?lang=tr" TargetMode="External"/><Relationship Id="rId41" Type="http://schemas.openxmlformats.org/officeDocument/2006/relationships/hyperlink" Target="https://tr.linkedin.com/company/kodris-edu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 Pazar, Rakip ve Fırsat Analizi</dc:title>
  <dc:subject>2035–2040 Çocuk Yetkinlikleri Projesi</dc:subject>
  <dc:creator>OpenAI — kullanıcı için hazırlanmıştır</dc:creator>
  <cp:keywords/>
  <dc:description>A1–A3 akademik raporunun devamı olarak hazırlanmış karar destek raporu.</dc:description>
  <cp:lastModifiedBy/>
  <cp:revision>1</cp:revision>
  <dcterms:created xsi:type="dcterms:W3CDTF">2013-12-23T23:15:00Z</dcterms:created>
  <dcterms:modified xsi:type="dcterms:W3CDTF">2013-12-23T23:15:00Z</dcterms:modified>
  <cp:category/>
</cp:coreProperties>
</file>