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pPr>
      <w:r>
        <w:rPr>
          <w:b/>
          <w:bCs/>
          <w:sz w:val="28"/>
          <w:szCs w:val="28"/>
        </w:rPr>
        <w:t xml:space="preserve">BREAKDOWN PERPOL NO. 1 TAHUN 2025 UNTUK KEBUTUHAN SELEKSI</w:t>
      </w:r>
    </w:p>
    <w:p>
      <w:pPr>
        <w:spacing w:after="90" w:line="260"/>
      </w:pPr>
      <w:r>
        <w:rPr>
          <w:b w:val="false"/>
          <w:bCs w:val="false"/>
        </w:rPr>
        <w:t xml:space="preserve">Dokumen kerja ini dibuat dari PDF lokal yang identik dengan PDF resmi JDIH BPK berdasarkan SHA-256: a09840b5353b332d37aaad19f37370123f992bd0f9a2c59991fc4e3cefa5663a.</w:t>
      </w:r>
    </w:p>
    <w:p>
      <w:pPr>
        <w:spacing w:after="90" w:line="260"/>
      </w:pPr>
      <w:r>
        <w:rPr>
          <w:b w:val="false"/>
          <w:bCs w:val="false"/>
        </w:rPr>
        <w:t xml:space="preserve">Sumber resmi: https://peraturan.bpk.go.id/Details/317390/perpol-no-1-tahun-2025</w:t>
      </w:r>
    </w:p>
    <w:p>
      <w:pPr>
        <w:pStyle w:val="Heading1"/>
        <w:spacing w:after="100" w:before="180"/>
      </w:pPr>
      <w:r>
        <w:t xml:space="preserve">1. Kesimpulan penggunaan untuk seleksi</w:t>
      </w:r>
    </w:p>
    <w:p>
      <w:pPr>
        <w:spacing w:after="90" w:line="260"/>
      </w:pPr>
      <w:r>
        <w:rPr>
          <w:b w:val="false"/>
          <w:bCs w:val="false"/>
        </w:rPr>
        <w:t xml:space="preserve">Perpol No. 1 Tahun 2025 mengatur Penilaian Kinerja Anggota Polri dengan Sistem Manajemen Kinerja (SMK). Perpol ini bukan pengumuman persyaratan, metode, atau norma kelulusan seleksi SBP. Karena itu, angka bobot dan formulir di bawah tidak boleh diperlakukan sebagai nilai seleksi SBP kecuali pengumuman atau petunjuk teknis seleksi secara tegas mengadopsinya.</w:t>
      </w:r>
    </w:p>
    <w:p>
      <w:pPr>
        <w:pStyle w:val="ListParagraph"/>
        <w:numPr>
          <w:ilvl w:val="0"/>
          <w:numId w:val="1"/>
        </w:numPr>
        <w:spacing w:after="70"/>
      </w:pPr>
      <w:r>
        <w:t xml:space="preserve">Dapat digunakan untuk memeriksa riwayat kinerja, bukti penugasan, penghargaan, disiplin, dan dokumentasi anggota.</w:t>
      </w:r>
    </w:p>
    <w:p>
      <w:pPr>
        <w:pStyle w:val="ListParagraph"/>
        <w:numPr>
          <w:ilvl w:val="0"/>
          <w:numId w:val="1"/>
        </w:numPr>
        <w:spacing w:after="70"/>
      </w:pPr>
      <w:r>
        <w:t xml:space="preserve">Tidak dapat menggantikan persyaratan SBP seperti pangkat/MDDP, pendidikan, kesehatan, jasmani, psikologi, TPK, TKK, atau jadwal seleksi.</w:t>
      </w:r>
    </w:p>
    <w:p>
      <w:pPr>
        <w:pStyle w:val="ListParagraph"/>
        <w:numPr>
          <w:ilvl w:val="0"/>
          <w:numId w:val="1"/>
        </w:numPr>
        <w:spacing w:after="70"/>
      </w:pPr>
      <w:r>
        <w:t xml:space="preserve">Dokumen sumber utama untuk seleksi tetap pengumuman SBP dan petunjuk teknis resmi SSDM Polri.</w:t>
      </w:r>
    </w:p>
    <w:p>
      <w:pPr>
        <w:pStyle w:val="Heading1"/>
        <w:spacing w:after="100" w:before="180"/>
      </w:pPr>
      <w:r>
        <w:t xml:space="preserve">2. Identitas dan cakupan Perpol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90" w:line="260"/>
            </w:pPr>
            <w:r>
              <w:rPr>
                <w:b/>
                <w:bCs/>
              </w:rPr>
              <w:t xml:space="preserve">Objek</w:t>
            </w:r>
          </w:p>
        </w:tc>
        <w:tc>
          <w:p>
            <w:pPr>
              <w:spacing w:after="90" w:line="260"/>
            </w:pPr>
            <w:r>
              <w:rPr>
                <w:b w:val="false"/>
                <w:bCs w:val="false"/>
              </w:rPr>
              <w:t xml:space="preserve">Penilaian kinerja anggota Polri dengan Sistem Manajemen Kinerja (SMK).</w:t>
            </w:r>
          </w:p>
        </w:tc>
      </w:tr>
      <w:tr>
        <w:tc>
          <w:p>
            <w:pPr>
              <w:spacing w:after="90" w:line="260"/>
            </w:pPr>
            <w:r>
              <w:rPr>
                <w:b/>
                <w:bCs/>
              </w:rPr>
              <w:t xml:space="preserve">Cakupan pangkat</w:t>
            </w:r>
          </w:p>
        </w:tc>
        <w:tc>
          <w:p>
            <w:pPr>
              <w:spacing w:after="90" w:line="260"/>
            </w:pPr>
            <w:r>
              <w:rPr>
                <w:b w:val="false"/>
                <w:bCs w:val="false"/>
              </w:rPr>
              <w:t xml:space="preserve">Bhayangkara Dua sampai Komisaris Jenderal Polisi (Pasal 2).</w:t>
            </w:r>
          </w:p>
        </w:tc>
      </w:tr>
      <w:tr>
        <w:tc>
          <w:p>
            <w:pPr>
              <w:spacing w:after="90" w:line="260"/>
            </w:pPr>
            <w:r>
              <w:rPr>
                <w:b/>
                <w:bCs/>
              </w:rPr>
              <w:t xml:space="preserve">Periode penilaian</w:t>
            </w:r>
          </w:p>
        </w:tc>
        <w:tc>
          <w:p>
            <w:pPr>
              <w:spacing w:after="90" w:line="260"/>
            </w:pPr>
            <w:r>
              <w:rPr>
                <w:b w:val="false"/>
                <w:bCs w:val="false"/>
              </w:rPr>
              <w:t xml:space="preserve">Semester I: Januari–Juni; Semester II: Juli–Desember (Pasal 13).</w:t>
            </w:r>
          </w:p>
        </w:tc>
      </w:tr>
      <w:tr>
        <w:tc>
          <w:p>
            <w:pPr>
              <w:spacing w:after="90" w:line="260"/>
            </w:pPr>
            <w:r>
              <w:rPr>
                <w:b/>
                <w:bCs/>
              </w:rPr>
              <w:t xml:space="preserve">Tingkat pelaksanaan</w:t>
            </w:r>
          </w:p>
        </w:tc>
        <w:tc>
          <w:p>
            <w:pPr>
              <w:spacing w:after="90" w:line="260"/>
            </w:pPr>
            <w:r>
              <w:rPr>
                <w:b w:val="false"/>
                <w:bCs w:val="false"/>
              </w:rPr>
              <w:t xml:space="preserve">Mabes Polri, Polda, Polres, dan Polsek (Pasal 14).</w:t>
            </w:r>
          </w:p>
        </w:tc>
      </w:tr>
      <w:tr>
        <w:tc>
          <w:p>
            <w:pPr>
              <w:spacing w:after="90" w:line="260"/>
            </w:pPr>
            <w:r>
              <w:rPr>
                <w:b/>
                <w:bCs/>
              </w:rPr>
              <w:t xml:space="preserve">Status hukum</w:t>
            </w:r>
          </w:p>
        </w:tc>
        <w:tc>
          <w:p>
            <w:pPr>
              <w:spacing w:after="90" w:line="260"/>
            </w:pPr>
            <w:r>
              <w:rPr>
                <w:b w:val="false"/>
                <w:bCs w:val="false"/>
              </w:rPr>
              <w:t xml:space="preserve">Berlaku sejak 24 Januari 2025 dan mencabut Perpol No. 2 Tahun 2018.</w:t>
            </w:r>
          </w:p>
        </w:tc>
      </w:tr>
    </w:tbl>
    <w:p>
      <w:pPr>
        <w:pStyle w:val="Heading1"/>
        <w:spacing w:after="100" w:before="180"/>
      </w:pPr>
      <w:r>
        <w:t xml:space="preserve">3. Aktor dan tanggung jawab</w:t>
      </w:r>
    </w:p>
    <w:p>
      <w:pPr>
        <w:pStyle w:val="ListParagraph"/>
        <w:numPr>
          <w:ilvl w:val="0"/>
          <w:numId w:val="1"/>
        </w:numPr>
        <w:spacing w:after="70"/>
      </w:pPr>
      <w:r>
        <w:t xml:space="preserve">AYD (Anggota Yang Dinilai): menyusun kontrak kerja, mendokumentasikan capaian, mengajukan bukti, dan menandatangani hasil yang relevan.</w:t>
      </w:r>
    </w:p>
    <w:p>
      <w:pPr>
        <w:pStyle w:val="ListParagraph"/>
        <w:numPr>
          <w:ilvl w:val="0"/>
          <w:numId w:val="1"/>
        </w:numPr>
        <w:spacing w:after="70"/>
      </w:pPr>
      <w:r>
        <w:t xml:space="preserve">PP (Pejabat Penilai): atasan langsung AYD yang meneliti, menyetujui, memantau, memverifikasi, dan menilai.</w:t>
      </w:r>
    </w:p>
    <w:p>
      <w:pPr>
        <w:pStyle w:val="ListParagraph"/>
        <w:numPr>
          <w:ilvl w:val="0"/>
          <w:numId w:val="1"/>
        </w:numPr>
        <w:spacing w:after="70"/>
      </w:pPr>
      <w:r>
        <w:t xml:space="preserve">RK (Rekan Kerja): ikut memberi penilaian perilaku kerja sesuai mekanisme Perpol.</w:t>
      </w:r>
    </w:p>
    <w:p>
      <w:pPr>
        <w:pStyle w:val="ListParagraph"/>
        <w:numPr>
          <w:ilvl w:val="0"/>
          <w:numId w:val="1"/>
        </w:numPr>
        <w:spacing w:after="70"/>
      </w:pPr>
      <w:r>
        <w:t xml:space="preserve">Pengemban fungsi SDM/operator SIPK: mengelola administrasi dan data penilaian.</w:t>
      </w:r>
    </w:p>
    <w:p>
      <w:pPr>
        <w:pStyle w:val="Heading1"/>
        <w:spacing w:after="100" w:before="180"/>
      </w:pPr>
      <w:r>
        <w:t xml:space="preserve">4. Alur kerja yang perlu diverifikasi</w:t>
      </w:r>
    </w:p>
    <w:p>
      <w:pPr>
        <w:spacing w:after="90" w:line="260"/>
      </w:pPr>
      <w:r>
        <w:rPr>
          <w:b w:val="false"/>
          <w:bCs w:val="false"/>
        </w:rPr>
        <w:t xml:space="preserve">a. Perencanaan: AYD menyusun Kontrak Kerja berdasarkan tugas pokok dan rencana kerja satuan kerja; PP meneliti dan menyetujui (Pasal 5).</w:t>
      </w:r>
    </w:p>
    <w:p>
      <w:pPr>
        <w:spacing w:after="90" w:line="260"/>
      </w:pPr>
      <w:r>
        <w:rPr>
          <w:b w:val="false"/>
          <w:bCs w:val="false"/>
        </w:rPr>
        <w:t xml:space="preserve">b. Isi kontrak: uraian pekerjaan, indikator pekerjaan, target capaian bulanan selama satu semester, serta total target kuantitas dan kualitas.</w:t>
      </w:r>
    </w:p>
    <w:p>
      <w:pPr>
        <w:spacing w:after="90" w:line="260"/>
      </w:pPr>
      <w:r>
        <w:rPr>
          <w:b w:val="false"/>
          <w:bCs w:val="false"/>
        </w:rPr>
        <w:t xml:space="preserve">c. Penetapan: kontrak ditandatangani AYD dan PP serta didokumentasikan; semester I paling lambat 15 Januari dan semester II paling lambat 15 Juli (Pasal 9–10).</w:t>
      </w:r>
    </w:p>
    <w:p>
      <w:pPr>
        <w:spacing w:after="90" w:line="260"/>
      </w:pPr>
      <w:r>
        <w:rPr>
          <w:b w:val="false"/>
          <w:bCs w:val="false"/>
        </w:rPr>
        <w:t xml:space="preserve">d. Pemantauan: dilakukan terus-menerus, dicatat bulanan/semester/tahunan, dan meliputi kontrak kerja, tugas lain, perilaku, jam kerja, dan penghargaan (Pasal 11–12).</w:t>
      </w:r>
    </w:p>
    <w:p>
      <w:pPr>
        <w:spacing w:after="90" w:line="260"/>
      </w:pPr>
      <w:r>
        <w:rPr>
          <w:b w:val="false"/>
          <w:bCs w:val="false"/>
        </w:rPr>
        <w:t xml:space="preserve">e. Penilaian akhir: terdiri atas penilaian, rekapitulasi, dan pengajuan keberatan (Pasal 13).</w:t>
      </w:r>
    </w:p>
    <w:p>
      <w:pPr>
        <w:pStyle w:val="Heading1"/>
        <w:spacing w:after="100" w:before="180"/>
      </w:pPr>
      <w:r>
        <w:t xml:space="preserve">5. Komponen dan bobot penilaian kinerja</w:t>
      </w:r>
    </w:p>
    <w:p>
      <w:pPr>
        <w:pStyle w:val="Heading2"/>
        <w:spacing w:after="100" w:before="180"/>
      </w:pPr>
      <w:r>
        <w:t xml:space="preserve">5.1 Faktor spesifik</w:t>
      </w:r>
    </w:p>
    <w:p>
      <w:pPr>
        <w:pStyle w:val="ListParagraph"/>
        <w:numPr>
          <w:ilvl w:val="0"/>
          <w:numId w:val="1"/>
        </w:numPr>
        <w:spacing w:after="70"/>
      </w:pPr>
      <w:r>
        <w:t xml:space="preserve">Kontrak Kerja: bobot 54% dalam Faktor Spesifik.</w:t>
      </w:r>
    </w:p>
    <w:p>
      <w:pPr>
        <w:pStyle w:val="ListParagraph"/>
        <w:numPr>
          <w:ilvl w:val="0"/>
          <w:numId w:val="1"/>
        </w:numPr>
        <w:spacing w:after="70"/>
      </w:pPr>
      <w:r>
        <w:t xml:space="preserve">Tugas Lain: bobot 46% dalam Faktor Spesifik; mencakup tugas tambahan, inovasi kerja, dan partisipasi operasi kepolisian.</w:t>
      </w:r>
    </w:p>
    <w:p>
      <w:pPr>
        <w:pStyle w:val="ListParagraph"/>
        <w:numPr>
          <w:ilvl w:val="0"/>
          <w:numId w:val="1"/>
        </w:numPr>
        <w:spacing w:after="70"/>
      </w:pPr>
      <w:r>
        <w:t xml:space="preserve">Bukti tugas lain: surat perintah, dokumen pendukung tugas, dan/atau surat keterangan PP (Pasal 19).</w:t>
      </w:r>
    </w:p>
    <w:p>
      <w:pPr>
        <w:pStyle w:val="ListParagraph"/>
        <w:numPr>
          <w:ilvl w:val="0"/>
          <w:numId w:val="1"/>
        </w:numPr>
        <w:spacing w:after="70"/>
      </w:pPr>
      <w:r>
        <w:t xml:space="preserve">Penugasan berisiko tinggi dapat memperoleh tambahan 5% dari nilai Kontrak Kerja jika dibuktikan surat perintah dan ditetapkan dalam Keputusan Kapolri (Pasal 16).</w:t>
      </w:r>
    </w:p>
    <w:p>
      <w:pPr>
        <w:pStyle w:val="Heading2"/>
        <w:spacing w:after="100" w:before="180"/>
      </w:pPr>
      <w:r>
        <w:t xml:space="preserve">5.2 Faktor generik</w:t>
      </w:r>
    </w:p>
    <w:p>
      <w:pPr>
        <w:pStyle w:val="ListParagraph"/>
        <w:numPr>
          <w:ilvl w:val="0"/>
          <w:numId w:val="1"/>
        </w:numPr>
        <w:spacing w:after="70"/>
      </w:pPr>
      <w:r>
        <w:t xml:space="preserve">Perilaku Kerja Anggota (PKA): bobot 32%.</w:t>
      </w:r>
    </w:p>
    <w:p>
      <w:pPr>
        <w:pStyle w:val="ListParagraph"/>
        <w:numPr>
          <w:ilvl w:val="0"/>
          <w:numId w:val="1"/>
        </w:numPr>
        <w:spacing w:after="70"/>
      </w:pPr>
      <w:r>
        <w:t xml:space="preserve">Pemenuhan jam kerja: bobot 41%.</w:t>
      </w:r>
    </w:p>
    <w:p>
      <w:pPr>
        <w:pStyle w:val="ListParagraph"/>
        <w:numPr>
          <w:ilvl w:val="0"/>
          <w:numId w:val="1"/>
        </w:numPr>
        <w:spacing w:after="70"/>
      </w:pPr>
      <w:r>
        <w:t xml:space="preserve">Penghargaan: bobot 27%; total nilai penghargaan satu semester maksimal 100.</w:t>
      </w:r>
    </w:p>
    <w:p>
      <w:pPr>
        <w:pStyle w:val="ListParagraph"/>
        <w:numPr>
          <w:ilvl w:val="0"/>
          <w:numId w:val="1"/>
        </w:numPr>
        <w:spacing w:after="70"/>
      </w:pPr>
      <w:r>
        <w:t xml:space="preserve">Untuk Bintara/Tamtama, unsur PKA meliputi orientasi pelayanan, pengendalian diri, integritas, komitmen organisasi, disiplin, dan kerja sama tim (Pasal 23).</w:t>
      </w:r>
    </w:p>
    <w:p>
      <w:pPr>
        <w:pStyle w:val="Heading2"/>
        <w:spacing w:after="100" w:before="180"/>
      </w:pPr>
      <w:r>
        <w:t xml:space="preserve">5.3 Penilaian akhir</w:t>
      </w:r>
    </w:p>
    <w:p>
      <w:pPr>
        <w:spacing w:after="90" w:line="260"/>
      </w:pPr>
      <w:r>
        <w:rPr>
          <w:b w:val="false"/>
          <w:bCs w:val="false"/>
        </w:rPr>
        <w:t xml:space="preserve">Lampiran formulir penilaian akhir menggunakan Faktor Spesifik 60% dan Faktor Generik 40%. Ini adalah formula penilaian kinerja dalam SMK, bukan formula kelulusan seleksi SBP.</w:t>
      </w:r>
    </w:p>
    <w:p>
      <w:pPr>
        <w:pStyle w:val="Heading1"/>
        <w:spacing w:after="100" w:before="180"/>
      </w:pPr>
      <w:r>
        <w:t xml:space="preserve">6. Checklist dokumen untuk verifikasi seleksi</w:t>
      </w:r>
    </w:p>
    <w:p>
      <w:pPr>
        <w:pStyle w:val="ListParagraph"/>
        <w:numPr>
          <w:ilvl w:val="0"/>
          <w:numId w:val="1"/>
        </w:numPr>
        <w:spacing w:after="70"/>
      </w:pPr>
      <w:r>
        <w:t xml:space="preserve">Kontrak Kerja yang disetujui dan ditandatangani AYD–PP.</w:t>
      </w:r>
    </w:p>
    <w:p>
      <w:pPr>
        <w:pStyle w:val="ListParagraph"/>
        <w:numPr>
          <w:ilvl w:val="0"/>
          <w:numId w:val="1"/>
        </w:numPr>
        <w:spacing w:after="70"/>
      </w:pPr>
      <w:r>
        <w:t xml:space="preserve">Catatan hasil pemantauan kinerja dan realisasi target bulanan.</w:t>
      </w:r>
    </w:p>
    <w:p>
      <w:pPr>
        <w:pStyle w:val="ListParagraph"/>
        <w:numPr>
          <w:ilvl w:val="0"/>
          <w:numId w:val="1"/>
        </w:numPr>
        <w:spacing w:after="70"/>
      </w:pPr>
      <w:r>
        <w:t xml:space="preserve">Formulir penilaian Faktor Spesifik dan Faktor Generik.</w:t>
      </w:r>
    </w:p>
    <w:p>
      <w:pPr>
        <w:pStyle w:val="ListParagraph"/>
        <w:numPr>
          <w:ilvl w:val="0"/>
          <w:numId w:val="1"/>
        </w:numPr>
        <w:spacing w:after="70"/>
      </w:pPr>
      <w:r>
        <w:t xml:space="preserve">Surat perintah serta dokumen pendukung Tugas Tambahan/Inovasi/Operasi.</w:t>
      </w:r>
    </w:p>
    <w:p>
      <w:pPr>
        <w:pStyle w:val="ListParagraph"/>
        <w:numPr>
          <w:ilvl w:val="0"/>
          <w:numId w:val="1"/>
        </w:numPr>
        <w:spacing w:after="70"/>
      </w:pPr>
      <w:r>
        <w:t xml:space="preserve">Bukti penilaian PKA oleh PP/RK.</w:t>
      </w:r>
    </w:p>
    <w:p>
      <w:pPr>
        <w:pStyle w:val="ListParagraph"/>
        <w:numPr>
          <w:ilvl w:val="0"/>
          <w:numId w:val="1"/>
        </w:numPr>
        <w:spacing w:after="70"/>
      </w:pPr>
      <w:r>
        <w:t xml:space="preserve">Rekap absensi atau bukti pemenuhan jam kerja.</w:t>
      </w:r>
    </w:p>
    <w:p>
      <w:pPr>
        <w:pStyle w:val="ListParagraph"/>
        <w:numPr>
          <w:ilvl w:val="0"/>
          <w:numId w:val="1"/>
        </w:numPr>
        <w:spacing w:after="70"/>
      </w:pPr>
      <w:r>
        <w:t xml:space="preserve">Piagam/surat penghargaan beserta pejabat pemberi penghargaan.</w:t>
      </w:r>
    </w:p>
    <w:p>
      <w:pPr>
        <w:pStyle w:val="ListParagraph"/>
        <w:numPr>
          <w:ilvl w:val="0"/>
          <w:numId w:val="1"/>
        </w:numPr>
        <w:spacing w:after="70"/>
      </w:pPr>
      <w:r>
        <w:t xml:space="preserve">Berita acara penilaian akhir dan formulir keberatan bila pernah diajukan.</w:t>
      </w:r>
    </w:p>
    <w:p>
      <w:pPr>
        <w:pStyle w:val="Heading1"/>
        <w:spacing w:after="100" w:before="180"/>
      </w:pPr>
      <w:r>
        <w:t xml:space="preserve">7. Pemetaan ke kebutuhan SBP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90" w:line="260"/>
            </w:pPr>
            <w:r>
              <w:rPr>
                <w:b/>
                <w:bCs/>
              </w:rPr>
              <w:t xml:space="preserve">Riwayat kinerja dan disiplin</w:t>
            </w:r>
          </w:p>
        </w:tc>
        <w:tc>
          <w:p>
            <w:pPr>
              <w:spacing w:after="90" w:line="260"/>
            </w:pPr>
            <w:r>
              <w:rPr>
                <w:b w:val="false"/>
                <w:bCs w:val="false"/>
              </w:rPr>
              <w:t xml:space="preserve">Relevan sebagai bahan administrasi/internal bila diminta panitia; verifikasi melalui dokumen SMK.</w:t>
            </w:r>
          </w:p>
        </w:tc>
      </w:tr>
      <w:tr>
        <w:tc>
          <w:p>
            <w:pPr>
              <w:spacing w:after="90" w:line="260"/>
            </w:pPr>
            <w:r>
              <w:rPr>
                <w:b/>
                <w:bCs/>
              </w:rPr>
              <w:t xml:space="preserve">Pangkat dan MDDP</w:t>
            </w:r>
          </w:p>
        </w:tc>
        <w:tc>
          <w:p>
            <w:pPr>
              <w:spacing w:after="90" w:line="260"/>
            </w:pPr>
            <w:r>
              <w:rPr>
                <w:b w:val="false"/>
                <w:bCs w:val="false"/>
              </w:rPr>
              <w:t xml:space="preserve">Tidak diatur sebagai syarat SBP dalam Perpol ini; gunakan pengumuman SBP.</w:t>
            </w:r>
          </w:p>
        </w:tc>
      </w:tr>
      <w:tr>
        <w:tc>
          <w:p>
            <w:pPr>
              <w:spacing w:after="90" w:line="260"/>
            </w:pPr>
            <w:r>
              <w:rPr>
                <w:b/>
                <w:bCs/>
              </w:rPr>
              <w:t xml:space="preserve">Pendidikan/ijazah</w:t>
            </w:r>
          </w:p>
        </w:tc>
        <w:tc>
          <w:p>
            <w:pPr>
              <w:spacing w:after="90" w:line="260"/>
            </w:pPr>
            <w:r>
              <w:rPr>
                <w:b w:val="false"/>
                <w:bCs w:val="false"/>
              </w:rPr>
              <w:t xml:space="preserve">Tidak diatur sebagai syarat seleksi dalam Perpol ini; gunakan pengumuman SBP.</w:t>
            </w:r>
          </w:p>
        </w:tc>
      </w:tr>
      <w:tr>
        <w:tc>
          <w:p>
            <w:pPr>
              <w:spacing w:after="90" w:line="260"/>
            </w:pPr>
            <w:r>
              <w:rPr>
                <w:b/>
                <w:bCs/>
              </w:rPr>
              <w:t xml:space="preserve">Kesehatan, jasmani, psikologi, TPK, TKK</w:t>
            </w:r>
          </w:p>
        </w:tc>
        <w:tc>
          <w:p>
            <w:pPr>
              <w:spacing w:after="90" w:line="260"/>
            </w:pPr>
            <w:r>
              <w:rPr>
                <w:b w:val="false"/>
                <w:bCs w:val="false"/>
              </w:rPr>
              <w:t xml:space="preserve">Tidak diatur oleh Perpol ini; gunakan petunjuk teknis seleksi.</w:t>
            </w:r>
          </w:p>
        </w:tc>
      </w:tr>
      <w:tr>
        <w:tc>
          <w:p>
            <w:pPr>
              <w:spacing w:after="90" w:line="260"/>
            </w:pPr>
            <w:r>
              <w:rPr>
                <w:b/>
                <w:bCs/>
              </w:rPr>
              <w:t xml:space="preserve">Nilai kelulusan SBP</w:t>
            </w:r>
          </w:p>
        </w:tc>
        <w:tc>
          <w:p>
            <w:pPr>
              <w:spacing w:after="90" w:line="260"/>
            </w:pPr>
            <w:r>
              <w:rPr>
                <w:b w:val="false"/>
                <w:bCs w:val="false"/>
              </w:rPr>
              <w:t xml:space="preserve">Tidak ditetapkan oleh Perpol ini.</w:t>
            </w:r>
          </w:p>
        </w:tc>
      </w:tr>
    </w:tbl>
    <w:p>
      <w:pPr>
        <w:pStyle w:val="Heading1"/>
        <w:spacing w:after="100" w:before="180"/>
      </w:pPr>
      <w:r>
        <w:t xml:space="preserve">8. Peringatan penggunaan</w:t>
      </w:r>
    </w:p>
    <w:p>
      <w:pPr>
        <w:spacing w:after="90" w:line="260"/>
      </w:pPr>
      <w:r>
        <w:rPr>
          <w:b w:val="false"/>
          <w:bCs w:val="false"/>
        </w:rPr>
        <w:t xml:space="preserve">Jangan menyalin bobot SMK ke dalam kalkulator nilai SBP tanpa dasar tertulis dari panitia/SSDM Polri. Bila dokumen ini dipakai untuk RAG atau pemeriksaan administrasi, beri label sumber dan pasal, simpan PDF asli, dan bedakan antara “aturan kinerja” dan “aturan seleksi”.</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Breakdown Perpol No. 1 Tahun 2025 untuk Seleksi</dc:title>
  <dc:creator>OpenClaw</dc:creator>
  <cp:lastModifiedBy>Un-named</cp:lastModifiedBy>
  <cp:revision>1</cp:revision>
  <dcterms:created xsi:type="dcterms:W3CDTF">2026-10-07T15:37:52.049Z</dcterms:created>
  <dcterms:modified xsi:type="dcterms:W3CDTF">2026-10-07T15:37:52.050Z</dcterms:modified>
</cp:coreProperties>
</file>

<file path=docProps/custom.xml><?xml version="1.0" encoding="utf-8"?>
<Properties xmlns="http://schemas.openxmlformats.org/officeDocument/2006/custom-properties" xmlns:vt="http://schemas.openxmlformats.org/officeDocument/2006/docPropsVTypes"/>
</file>