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111" w:rsidRDefault="00211940" w:rsidP="00093670">
      <w:pPr>
        <w:spacing w:after="80"/>
        <w:jc w:val="both"/>
      </w:pPr>
      <w:r>
        <w:rPr>
          <w:b/>
          <w:bCs/>
          <w:color w:val="879C91"/>
          <w:spacing w:val="100"/>
          <w:sz w:val="16"/>
          <w:szCs w:val="16"/>
        </w:rPr>
        <w:t>FAQ DA LANDING PAGE  ·  VERSÃO INICIAL</w:t>
      </w:r>
    </w:p>
    <w:p w:rsidR="000E3111" w:rsidRDefault="00211940" w:rsidP="00093670">
      <w:pPr>
        <w:spacing w:after="120"/>
        <w:jc w:val="both"/>
      </w:pPr>
      <w:r>
        <w:rPr>
          <w:rFonts w:ascii="Lora" w:eastAsia="Lora" w:hAnsi="Lora" w:cs="Lora"/>
          <w:color w:val="173C43"/>
          <w:sz w:val="72"/>
          <w:szCs w:val="72"/>
        </w:rPr>
        <w:t>Dúvidas frequentes</w:t>
      </w:r>
    </w:p>
    <w:p w:rsidR="000E3111" w:rsidRDefault="00211940" w:rsidP="00093670">
      <w:pPr>
        <w:pBdr>
          <w:bottom w:val="single" w:sz="6" w:space="12" w:color="879C91"/>
        </w:pBdr>
        <w:spacing w:after="300"/>
        <w:jc w:val="both"/>
      </w:pPr>
      <w:r>
        <w:rPr>
          <w:sz w:val="22"/>
          <w:szCs w:val="22"/>
        </w:rPr>
        <w:t>Dra. Marjorie Cordeiro  ·  Direito Médico e da Saúde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60" w:type="dxa"/>
              <w:left w:w="400" w:type="dxa"/>
              <w:bottom w:w="260" w:type="dxa"/>
              <w:right w:w="400" w:type="dxa"/>
            </w:tcMar>
            <w:vAlign w:val="center"/>
          </w:tcPr>
          <w:p w:rsidR="000E3111" w:rsidRDefault="00211940" w:rsidP="00093670">
            <w:pPr>
              <w:spacing w:after="80"/>
              <w:jc w:val="both"/>
            </w:pPr>
            <w:r>
              <w:rPr>
                <w:b/>
                <w:bCs/>
                <w:color w:val="879C91"/>
                <w:spacing w:val="60"/>
                <w:sz w:val="14"/>
                <w:szCs w:val="14"/>
              </w:rPr>
              <w:t>COMO LER ESTE DOCUMENTO</w:t>
            </w:r>
          </w:p>
          <w:p w:rsidR="000E3111" w:rsidRDefault="00211940" w:rsidP="00093670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>Perguntas e respostas da seção de dúvidas da landing page, separadas por público.</w:t>
            </w:r>
            <w:r w:rsidR="00093670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À esquerda de cada texto está a função dele na página. As notas em verde são orientações para quem vai montar a página e não aparecem no site.</w:t>
            </w:r>
          </w:p>
        </w:tc>
      </w:tr>
    </w:tbl>
    <w:p w:rsidR="000E3111" w:rsidRDefault="000E3111" w:rsidP="00093670">
      <w:pPr>
        <w:spacing w:after="1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C43"/>
            <w:tcMar>
              <w:top w:w="480" w:type="dxa"/>
              <w:left w:w="400" w:type="dxa"/>
              <w:bottom w:w="480" w:type="dxa"/>
              <w:right w:w="400" w:type="dxa"/>
            </w:tcMar>
            <w:vAlign w:val="center"/>
          </w:tcPr>
          <w:p w:rsidR="000E3111" w:rsidRDefault="00211940" w:rsidP="00093670">
            <w:pPr>
              <w:spacing w:after="100"/>
              <w:jc w:val="both"/>
            </w:pPr>
            <w:r>
              <w:rPr>
                <w:b/>
                <w:bCs/>
                <w:color w:val="879C91"/>
                <w:spacing w:val="100"/>
                <w:sz w:val="16"/>
                <w:szCs w:val="16"/>
              </w:rPr>
              <w:t>FAQ INICIAL</w:t>
            </w:r>
          </w:p>
          <w:p w:rsidR="000E3111" w:rsidRDefault="00211940" w:rsidP="00093670">
            <w:pPr>
              <w:spacing w:after="140" w:line="340" w:lineRule="auto"/>
              <w:jc w:val="both"/>
            </w:pPr>
            <w:r>
              <w:rPr>
                <w:rFonts w:ascii="Lora" w:eastAsia="Lora" w:hAnsi="Lora" w:cs="Lora"/>
                <w:color w:val="F5F1EA"/>
                <w:sz w:val="34"/>
                <w:szCs w:val="34"/>
              </w:rPr>
              <w:t xml:space="preserve">Estas são as </w:t>
            </w:r>
            <w:r w:rsidRPr="00093670">
              <w:rPr>
                <w:rFonts w:ascii="Lora" w:eastAsia="Lora" w:hAnsi="Lora" w:cs="Lora"/>
                <w:b/>
                <w:color w:val="F5F1EA"/>
                <w:sz w:val="34"/>
                <w:szCs w:val="34"/>
              </w:rPr>
              <w:t>perguntas iniciais</w:t>
            </w:r>
            <w:r>
              <w:rPr>
                <w:rFonts w:ascii="Lora" w:eastAsia="Lora" w:hAnsi="Lora" w:cs="Lora"/>
                <w:color w:val="F5F1EA"/>
                <w:sz w:val="34"/>
                <w:szCs w:val="34"/>
              </w:rPr>
              <w:t xml:space="preserve"> da landing page.</w:t>
            </w:r>
          </w:p>
          <w:p w:rsidR="000E3111" w:rsidRDefault="00211940" w:rsidP="00093670">
            <w:pPr>
              <w:spacing w:line="320" w:lineRule="auto"/>
              <w:jc w:val="both"/>
            </w:pPr>
            <w:r>
              <w:rPr>
                <w:color w:val="F5F1EA"/>
                <w:sz w:val="21"/>
                <w:szCs w:val="21"/>
              </w:rPr>
              <w:t xml:space="preserve">Ao longo das análises de desempenho, a FAQ será adaptada e ampliada de acordo com as buscas reais em que a landing page da </w:t>
            </w:r>
            <w:r w:rsidRPr="00093670">
              <w:rPr>
                <w:b/>
                <w:color w:val="F5F1EA"/>
                <w:sz w:val="21"/>
                <w:szCs w:val="21"/>
              </w:rPr>
              <w:t>Dra. Marjorie Cordeiro</w:t>
            </w:r>
            <w:r>
              <w:rPr>
                <w:color w:val="F5F1EA"/>
                <w:sz w:val="21"/>
                <w:szCs w:val="21"/>
              </w:rPr>
              <w:t xml:space="preserve"> aparece no Google Search. Perguntas com mais buscas ganham destaque, novas dúvidas recorrentes entram na lista</w:t>
            </w:r>
            <w:r>
              <w:rPr>
                <w:color w:val="F5F1EA"/>
                <w:sz w:val="21"/>
                <w:szCs w:val="21"/>
              </w:rPr>
              <w:t xml:space="preserve"> e as menos relevantes podem ser substituídas.</w:t>
            </w:r>
          </w:p>
        </w:tc>
      </w:tr>
    </w:tbl>
    <w:p w:rsidR="000E3111" w:rsidRDefault="00211940" w:rsidP="00093670">
      <w:pPr>
        <w:keepNext/>
        <w:spacing w:before="52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PÚBLICO 1</w:t>
      </w:r>
    </w:p>
    <w:p w:rsidR="000E3111" w:rsidRDefault="00211940" w:rsidP="00093670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Pacientes e familiares</w:t>
      </w:r>
    </w:p>
    <w:p w:rsidR="000E3111" w:rsidRDefault="00211940" w:rsidP="00093670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As 10 primeiras perguntas têm prioridade visual, porque se ligam ao foco inicial da Dra. Marjorie: negativas, tratamentos, home care, medicamentos e TEA.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1. O plano de saúde pode negar um tratamento indicado pelo médico?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Pode haver negativa, mas ela precisa ser analisada conforme o motivo apresentado, o contrato, a indicação médica e as regras aplicáveis. A recusa da operadora não significa, por s</w:t>
            </w:r>
            <w:r>
              <w:t>i só, que a cobertura não seja devida.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2. O plano de saúde pode negar uma cirurgia indicada pelo médico?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 xml:space="preserve">Depende da justificativa da operadora e das circunstâncias do caso. Questões como cobertura contratual, carência, indicação médica </w:t>
            </w:r>
            <w:r>
              <w:t>e regras da ANS precisam ser consideradas.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3. O plano de saúde pode negar um exame solicitado pelo médico?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A operadora pode apresentar motivos para a recusa, mas a negativa deve ser justificada. É importante analisar qual exame foi prescrito, a razão clínica e o fundamento utilizado pelo plano.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 xml:space="preserve">4. O plano de saúde pode negar tratamento porque ele não 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está no rol da ANS?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A ausência no rol não encerra automaticamente a análise. Existem situações em que tratamentos não previstos expressamente podem ser discutidos à luz da legislação e dos critérios aplicáveis.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5. O plano de saúde pode negar medicamento de alto custo?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A resposta depende do medicamento, da indicação médica, da forma de uso, do contrato e das normas aplicáveis. Uma negativa deve ser analisada individualmente.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6. Como conseguir m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edicamento de alto custo pelo SUS?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O caminho depende do medicamento, da indicação clínica e da forma como ele é disponibilizado pelo sistema público. Prescrição, relatório médico e documentos do paciente costumam ser importantes para a análise.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7. O plano de saúde pode negar home care mesmo com indicação médica?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A indicação médica é um elemento relevante. Também é necessário avaliar se o atendimento domiciliar substitui uma internação hospitalar, quais cuidados foram prescritos e qual foi a justificativa da operadora.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8. O plano pode reduzir ou interromp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er um home care que já estava sendo fornecido?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Uma redução ou interrupção deve ser analisada com atenção, principalmente quando contraria a indicação médica ou pode comprometer a continuidade do cuidado.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9. O plano de saúde pode limitar o número de sessões de terapia para uma pessoa com TEA?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Há regras e entendimentos específicos sobre terapias multidisciplinares para pessoas com TEA, e limitações impostas pela operadora podem precisar de análise.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10. O plano de saúde pode negar terapia ABA para uma pessoa com autismo?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A indicação profissional, a necessidade clínica, a estrutura da rede credenciada e a justificativa da operadora precisam ser avaliadas.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11. O plano de saúde pode cancelar o contrato durante um tratamento?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Existem situações em que a continuidade do tratamento precisa ser considerada antes da interrupção da cobertura. O tipo de contrato e o motivo do cancelamento são fundamentais p</w:t>
            </w:r>
            <w:r>
              <w:t>ara a análise.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12. Como saber se o reajuste do plano de saúde é abusivo?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Um reajuste elevado não é automaticamente ilegal. É necessário verificar o tipo de plano, o índice aplicado, a justificativa apresentada e as regras correspondente</w:t>
            </w:r>
            <w:r>
              <w:t>s ao contrato.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13. O plano deve reembolsar atendimento fora da rede credenciada quando não há profissional disponível?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Em determinadas situações, como inexistência de rede apta ou circunstâncias excepcionais, pode haver discussão sobre reembolso. O caso depende da situação concreta e das regras do plano.</w:t>
            </w:r>
          </w:p>
        </w:tc>
      </w:tr>
    </w:tbl>
    <w:p w:rsidR="000E3111" w:rsidRDefault="00211940" w:rsidP="00093670">
      <w:pPr>
        <w:keepNext/>
        <w:spacing w:before="52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PÚBLICO 2</w:t>
      </w:r>
    </w:p>
    <w:p w:rsidR="000E3111" w:rsidRDefault="00211940" w:rsidP="00093670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Médicos e clínicas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14. O TCLE é obrigatório em to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do procedimento médico?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O dever de informar e obter consentimento é central na prática médica, mas a forma de documentá-lo pode variar conforme o procedimento e o contexto. Em situações que envolvem maior risco ou complexidade, a formalização escrita ganha especial importância.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15. Um modelo genérico de TCLE serve para todos os procedimentos?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 xml:space="preserve">Não é recomendável tratar procedimentos diferentes como se tivessem os mesmos riscos, alternativas e particularidades. O documento deve refletir adequadamente a realidade </w:t>
            </w:r>
            <w:r>
              <w:t>do atendimento e utilizar linguagem compreensível ao paciente.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16. O paciente pode pedir uma cópia do prontuário médico?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Sim. O acesso do paciente ao próprio prontuário é protegido pelas normas éticas médicas, respeitados os critérios de sigilo e as situações previstas na regulamentação.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17. Por quanto tempo uma clínica deve guardar o prontuário médico?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E</w:t>
            </w:r>
            <w:r>
              <w:t>xistem regras específicas sobre guarda e digitalização de prontuários. O prazo e a forma de armazenamento precisam observar a legislação e as normas profissionais aplicáveis.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18. Recebi uma notificação ou denúncia no CRM. O que devo fazer?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É importante identificar exatamente qual procedimento foi instaurado, observar os prazos, preservar os registros do atendimento e analisar a documentação antes de apresentar qualquer manifestação.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19. Minha clínica pode ter direito à equ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iparação hospitalar?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Nem toda clínica se enquadra. A possibilidade depende das atividades efetivamente prestadas, da estrutura da empresa e dos requisitos tributários e jurídicos aplicáveis.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keepNext/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20. Médico residente tem direito a auxílio-mo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radia?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0E3111" w:rsidRDefault="00211940" w:rsidP="00093670">
            <w:pPr>
              <w:spacing w:line="300" w:lineRule="auto"/>
              <w:jc w:val="both"/>
            </w:pPr>
            <w:r>
              <w:t>Existe regulamentação específica para moradia e auxílio-moradia de médicos residentes, e houve mudanças recentes nas regras e percentuais. A análise precisa considerar o período da residência e a situação da instituição responsável pelo programa.</w:t>
            </w:r>
          </w:p>
        </w:tc>
      </w:tr>
    </w:tbl>
    <w:p w:rsidR="000E3111" w:rsidRDefault="00211940" w:rsidP="00093670">
      <w:pPr>
        <w:pageBreakBefore/>
        <w:spacing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ESTRATÉG</w:t>
      </w:r>
      <w:r>
        <w:rPr>
          <w:b/>
          <w:bCs/>
          <w:color w:val="879C91"/>
          <w:spacing w:val="80"/>
          <w:sz w:val="15"/>
          <w:szCs w:val="15"/>
        </w:rPr>
        <w:t>IA</w:t>
      </w:r>
    </w:p>
    <w:p w:rsidR="000E3111" w:rsidRDefault="00211940" w:rsidP="00093670">
      <w:pPr>
        <w:pBdr>
          <w:bottom w:val="single" w:sz="4" w:space="8" w:color="879C91"/>
        </w:pBdr>
        <w:spacing w:after="20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Como a FAQ funciona na landing page</w:t>
      </w:r>
    </w:p>
    <w:p w:rsidR="000E3111" w:rsidRPr="00093670" w:rsidRDefault="00211940" w:rsidP="00093670">
      <w:pPr>
        <w:spacing w:after="160" w:line="330" w:lineRule="auto"/>
        <w:jc w:val="both"/>
        <w:rPr>
          <w:b/>
        </w:rPr>
      </w:pPr>
      <w:r>
        <w:t xml:space="preserve">As perguntas seguem o formato das consultas digitadas no Google ("o plano pode negar…?", "o TCLE é obrigatório?", "médico residente tem direito…?"), </w:t>
      </w:r>
      <w:r w:rsidRPr="00093670">
        <w:rPr>
          <w:b/>
        </w:rPr>
        <w:t>que é o que funciona melhor tanto na busca tradicional quanto nas re</w:t>
      </w:r>
      <w:r w:rsidRPr="00093670">
        <w:rPr>
          <w:b/>
        </w:rPr>
        <w:t>spostas de ferramentas de IA.</w:t>
      </w:r>
    </w:p>
    <w:p w:rsidR="000E3111" w:rsidRDefault="00211940" w:rsidP="00093670">
      <w:pPr>
        <w:keepNext/>
        <w:spacing w:after="160" w:line="330" w:lineRule="auto"/>
        <w:jc w:val="both"/>
      </w:pPr>
      <w:r>
        <w:t>As respostas no acordeão têm 2 ou 3 frases. Quando um tema merece aprofundamento, a resposta ganha um link para o artigo correspondente, formando um caminho de conteúdo: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3"/>
        <w:gridCol w:w="421"/>
        <w:gridCol w:w="1952"/>
        <w:gridCol w:w="420"/>
        <w:gridCol w:w="1952"/>
        <w:gridCol w:w="420"/>
        <w:gridCol w:w="1952"/>
      </w:tblGrid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C43"/>
            <w:tcMar>
              <w:top w:w="200" w:type="dxa"/>
              <w:left w:w="40" w:type="dxa"/>
              <w:bottom w:w="200" w:type="dxa"/>
              <w:right w:w="40" w:type="dxa"/>
            </w:tcMar>
            <w:vAlign w:val="center"/>
          </w:tcPr>
          <w:p w:rsidR="000E3111" w:rsidRDefault="00211940" w:rsidP="00093670">
            <w:pPr>
              <w:jc w:val="center"/>
            </w:pPr>
            <w:r>
              <w:rPr>
                <w:rFonts w:ascii="Lora" w:eastAsia="Lora" w:hAnsi="Lora" w:cs="Lora"/>
                <w:color w:val="F5F1EA"/>
                <w:sz w:val="21"/>
                <w:szCs w:val="21"/>
              </w:rPr>
              <w:t>pergunta frequente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0E3111" w:rsidRDefault="00211940" w:rsidP="00093670">
            <w:pPr>
              <w:jc w:val="center"/>
            </w:pPr>
            <w:r>
              <w:rPr>
                <w:color w:val="879C91"/>
                <w:sz w:val="24"/>
                <w:szCs w:val="24"/>
              </w:rPr>
              <w:t>→</w:t>
            </w:r>
          </w:p>
        </w:tc>
        <w:tc>
          <w:tcPr>
            <w:tcW w:w="1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C43"/>
            <w:tcMar>
              <w:top w:w="200" w:type="dxa"/>
              <w:left w:w="40" w:type="dxa"/>
              <w:bottom w:w="200" w:type="dxa"/>
              <w:right w:w="40" w:type="dxa"/>
            </w:tcMar>
            <w:vAlign w:val="center"/>
          </w:tcPr>
          <w:p w:rsidR="000E3111" w:rsidRDefault="00211940" w:rsidP="00093670">
            <w:pPr>
              <w:jc w:val="center"/>
            </w:pPr>
            <w:r>
              <w:rPr>
                <w:rFonts w:ascii="Lora" w:eastAsia="Lora" w:hAnsi="Lora" w:cs="Lora"/>
                <w:color w:val="F5F1EA"/>
                <w:sz w:val="21"/>
                <w:szCs w:val="21"/>
              </w:rPr>
              <w:t>artigo aprofundado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0E3111" w:rsidRDefault="00211940" w:rsidP="00093670">
            <w:pPr>
              <w:jc w:val="center"/>
            </w:pPr>
            <w:r>
              <w:rPr>
                <w:color w:val="879C91"/>
                <w:sz w:val="24"/>
                <w:szCs w:val="24"/>
              </w:rPr>
              <w:t>→</w:t>
            </w:r>
          </w:p>
        </w:tc>
        <w:tc>
          <w:tcPr>
            <w:tcW w:w="1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C43"/>
            <w:tcMar>
              <w:top w:w="200" w:type="dxa"/>
              <w:left w:w="40" w:type="dxa"/>
              <w:bottom w:w="200" w:type="dxa"/>
              <w:right w:w="40" w:type="dxa"/>
            </w:tcMar>
            <w:vAlign w:val="center"/>
          </w:tcPr>
          <w:p w:rsidR="000E3111" w:rsidRDefault="00211940" w:rsidP="00093670">
            <w:pPr>
              <w:jc w:val="center"/>
            </w:pPr>
            <w:r>
              <w:rPr>
                <w:rFonts w:ascii="Lora" w:eastAsia="Lora" w:hAnsi="Lora" w:cs="Lora"/>
                <w:color w:val="F5F1EA"/>
                <w:sz w:val="21"/>
                <w:szCs w:val="21"/>
              </w:rPr>
              <w:t>seção de atuação</w:t>
            </w:r>
          </w:p>
        </w:tc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0E3111" w:rsidRDefault="00211940" w:rsidP="00093670">
            <w:pPr>
              <w:jc w:val="center"/>
            </w:pPr>
            <w:r>
              <w:rPr>
                <w:color w:val="879C91"/>
                <w:sz w:val="24"/>
                <w:szCs w:val="24"/>
              </w:rPr>
              <w:t>→</w:t>
            </w:r>
          </w:p>
        </w:tc>
        <w:tc>
          <w:tcPr>
            <w:tcW w:w="1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3C43"/>
            <w:tcMar>
              <w:top w:w="200" w:type="dxa"/>
              <w:left w:w="40" w:type="dxa"/>
              <w:bottom w:w="200" w:type="dxa"/>
              <w:right w:w="40" w:type="dxa"/>
            </w:tcMar>
            <w:vAlign w:val="center"/>
          </w:tcPr>
          <w:p w:rsidR="000E3111" w:rsidRDefault="00211940" w:rsidP="00093670">
            <w:pPr>
              <w:jc w:val="center"/>
            </w:pPr>
            <w:r>
              <w:rPr>
                <w:rFonts w:ascii="Lora" w:eastAsia="Lora" w:hAnsi="Lora" w:cs="Lora"/>
                <w:color w:val="F5F1EA"/>
                <w:sz w:val="21"/>
                <w:szCs w:val="21"/>
              </w:rPr>
              <w:t>WhatsApp</w:t>
            </w:r>
          </w:p>
        </w:tc>
      </w:tr>
    </w:tbl>
    <w:p w:rsidR="000E3111" w:rsidRDefault="000E3111" w:rsidP="00093670">
      <w:pPr>
        <w:spacing w:after="200"/>
        <w:jc w:val="both"/>
      </w:pPr>
    </w:p>
    <w:p w:rsidR="000E3111" w:rsidRDefault="00211940" w:rsidP="00093670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COMO A FAQ SERÁ ATUALIZADA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0"/>
      </w:tblGrid>
      <w:tr w:rsidR="000E311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ETAPA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O QUE ACONTECE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Acompanhar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Mensalmente, as buscas em que a landing page aparece no Google Search Console são revisadas.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Identificar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Consultas com impressões ou cliques que ainda não têm resposta na FAQ viram candidatas a novas perguntas.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Adaptar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Perguntas existentes podem ser reescritas para ficar mais próximas da forma como as pessoas realmente pesquisam.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Substituir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Perguntas com po</w:t>
            </w:r>
            <w:r>
              <w:rPr>
                <w:sz w:val="19"/>
                <w:szCs w:val="19"/>
              </w:rPr>
              <w:t>uca relevância podem dar lugar a dúvidas mais buscadas.</w:t>
            </w:r>
          </w:p>
        </w:tc>
      </w:tr>
      <w:tr w:rsidR="000E311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Validar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E3111" w:rsidRDefault="00211940" w:rsidP="00093670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Toda pergunta nova ou alterada passa pela aprovação da </w:t>
            </w:r>
            <w:r w:rsidRPr="00093670">
              <w:rPr>
                <w:b/>
                <w:sz w:val="19"/>
                <w:szCs w:val="19"/>
              </w:rPr>
              <w:t>Dra. Marjorie</w:t>
            </w:r>
            <w:r w:rsidR="00093670" w:rsidRPr="00093670">
              <w:rPr>
                <w:b/>
                <w:sz w:val="19"/>
                <w:szCs w:val="19"/>
              </w:rPr>
              <w:t xml:space="preserve"> Cordeiro</w:t>
            </w:r>
            <w:r>
              <w:rPr>
                <w:sz w:val="19"/>
                <w:szCs w:val="19"/>
              </w:rPr>
              <w:t xml:space="preserve"> antes da publicação.</w:t>
            </w:r>
          </w:p>
        </w:tc>
      </w:tr>
    </w:tbl>
    <w:p w:rsidR="000E3111" w:rsidRDefault="000E3111" w:rsidP="00093670">
      <w:pPr>
        <w:spacing w:after="160"/>
        <w:jc w:val="both"/>
      </w:pPr>
    </w:p>
    <w:p w:rsidR="000E3111" w:rsidRDefault="00211940" w:rsidP="00093670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 xml:space="preserve">Marcar todas as perguntas </w:t>
      </w:r>
      <w:bookmarkStart w:id="0" w:name="_GoBack"/>
      <w:bookmarkEnd w:id="0"/>
      <w:r>
        <w:rPr>
          <w:i/>
          <w:iCs/>
          <w:color w:val="879C91"/>
          <w:sz w:val="17"/>
          <w:szCs w:val="17"/>
        </w:rPr>
        <w:t>com dados estruturados FAQPage.</w:t>
      </w:r>
    </w:p>
    <w:sectPr w:rsidR="000E3111">
      <w:headerReference w:type="default" r:id="rId7"/>
      <w:footerReference w:type="default" r:id="rId8"/>
      <w:pgSz w:w="11906" w:h="16838"/>
      <w:pgMar w:top="1418" w:right="1418" w:bottom="1418" w:left="1418" w:header="700" w:footer="7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1940" w:rsidRDefault="00211940">
      <w:r>
        <w:separator/>
      </w:r>
    </w:p>
  </w:endnote>
  <w:endnote w:type="continuationSeparator" w:id="0">
    <w:p w:rsidR="00211940" w:rsidRDefault="00211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nrope">
    <w:altName w:val="Calibri"/>
    <w:charset w:val="00"/>
    <w:family w:val="auto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Times New Roman"/>
    <w:charset w:val="00"/>
    <w:family w:val="auto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111" w:rsidRDefault="00211940">
    <w:pPr>
      <w:pBdr>
        <w:top w:val="single" w:sz="4" w:space="8" w:color="E2DCD1"/>
      </w:pBdr>
      <w:tabs>
        <w:tab w:val="right" w:pos="9070"/>
      </w:tabs>
    </w:pPr>
    <w:r>
      <w:rPr>
        <w:rFonts w:ascii="Lora" w:eastAsia="Lora" w:hAnsi="Lora" w:cs="Lora"/>
        <w:i/>
        <w:iCs/>
        <w:color w:val="879C91"/>
        <w:sz w:val="15"/>
        <w:szCs w:val="15"/>
      </w:rPr>
      <w:t>Clareza para decidir. Segurança para agir.</w:t>
    </w:r>
    <w:r>
      <w:rPr>
        <w:b/>
        <w:bCs/>
        <w:color w:val="173C43"/>
        <w:sz w:val="15"/>
        <w:szCs w:val="15"/>
      </w:rPr>
      <w:tab/>
    </w:r>
    <w:r>
      <w:rPr>
        <w:b/>
        <w:bCs/>
        <w:color w:val="173C43"/>
        <w:sz w:val="15"/>
        <w:szCs w:val="15"/>
      </w:rPr>
      <w:fldChar w:fldCharType="begin"/>
    </w:r>
    <w:r>
      <w:rPr>
        <w:b/>
        <w:bCs/>
        <w:color w:val="173C43"/>
        <w:sz w:val="15"/>
        <w:szCs w:val="15"/>
      </w:rPr>
      <w:instrText>PAGE</w:instrText>
    </w:r>
    <w:r w:rsidR="00093670">
      <w:rPr>
        <w:b/>
        <w:bCs/>
        <w:color w:val="173C43"/>
        <w:sz w:val="15"/>
        <w:szCs w:val="15"/>
      </w:rPr>
      <w:fldChar w:fldCharType="separate"/>
    </w:r>
    <w:r w:rsidR="00093670">
      <w:rPr>
        <w:b/>
        <w:bCs/>
        <w:noProof/>
        <w:color w:val="173C43"/>
        <w:sz w:val="15"/>
        <w:szCs w:val="15"/>
      </w:rPr>
      <w:t>2</w:t>
    </w:r>
    <w:r>
      <w:rPr>
        <w:b/>
        <w:bCs/>
        <w:color w:val="173C4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1940" w:rsidRDefault="00211940">
      <w:r>
        <w:separator/>
      </w:r>
    </w:p>
  </w:footnote>
  <w:footnote w:type="continuationSeparator" w:id="0">
    <w:p w:rsidR="00211940" w:rsidRDefault="00211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111" w:rsidRDefault="00211940">
    <w:pPr>
      <w:jc w:val="right"/>
    </w:pPr>
    <w:r>
      <w:rPr>
        <w:b/>
        <w:bCs/>
        <w:color w:val="879C91"/>
        <w:spacing w:val="60"/>
        <w:sz w:val="13"/>
        <w:szCs w:val="13"/>
      </w:rPr>
      <w:t>DRA. MARJORIE CORDEIRO  ·  FAQ DA LANDING PAGE  ·  VERSÃO INICIAL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476E94"/>
    <w:multiLevelType w:val="hybridMultilevel"/>
    <w:tmpl w:val="C9D48794"/>
    <w:lvl w:ilvl="0" w:tplc="D338CD42">
      <w:start w:val="1"/>
      <w:numFmt w:val="bullet"/>
      <w:lvlText w:val="●"/>
      <w:lvlJc w:val="left"/>
      <w:pPr>
        <w:ind w:left="720" w:hanging="360"/>
      </w:pPr>
    </w:lvl>
    <w:lvl w:ilvl="1" w:tplc="EDD0E6CA">
      <w:start w:val="1"/>
      <w:numFmt w:val="bullet"/>
      <w:lvlText w:val="○"/>
      <w:lvlJc w:val="left"/>
      <w:pPr>
        <w:ind w:left="1440" w:hanging="360"/>
      </w:pPr>
    </w:lvl>
    <w:lvl w:ilvl="2" w:tplc="70BC39EE">
      <w:start w:val="1"/>
      <w:numFmt w:val="bullet"/>
      <w:lvlText w:val="■"/>
      <w:lvlJc w:val="left"/>
      <w:pPr>
        <w:ind w:left="2160" w:hanging="360"/>
      </w:pPr>
    </w:lvl>
    <w:lvl w:ilvl="3" w:tplc="B9989370">
      <w:start w:val="1"/>
      <w:numFmt w:val="bullet"/>
      <w:lvlText w:val="●"/>
      <w:lvlJc w:val="left"/>
      <w:pPr>
        <w:ind w:left="2880" w:hanging="360"/>
      </w:pPr>
    </w:lvl>
    <w:lvl w:ilvl="4" w:tplc="A04C15AE">
      <w:start w:val="1"/>
      <w:numFmt w:val="bullet"/>
      <w:lvlText w:val="○"/>
      <w:lvlJc w:val="left"/>
      <w:pPr>
        <w:ind w:left="3600" w:hanging="360"/>
      </w:pPr>
    </w:lvl>
    <w:lvl w:ilvl="5" w:tplc="326CE1B6">
      <w:start w:val="1"/>
      <w:numFmt w:val="bullet"/>
      <w:lvlText w:val="■"/>
      <w:lvlJc w:val="left"/>
      <w:pPr>
        <w:ind w:left="4320" w:hanging="360"/>
      </w:pPr>
    </w:lvl>
    <w:lvl w:ilvl="6" w:tplc="81F07080">
      <w:start w:val="1"/>
      <w:numFmt w:val="bullet"/>
      <w:lvlText w:val="●"/>
      <w:lvlJc w:val="left"/>
      <w:pPr>
        <w:ind w:left="5040" w:hanging="360"/>
      </w:pPr>
    </w:lvl>
    <w:lvl w:ilvl="7" w:tplc="447C9926">
      <w:start w:val="1"/>
      <w:numFmt w:val="bullet"/>
      <w:lvlText w:val="●"/>
      <w:lvlJc w:val="left"/>
      <w:pPr>
        <w:ind w:left="5760" w:hanging="360"/>
      </w:pPr>
    </w:lvl>
    <w:lvl w:ilvl="8" w:tplc="CBBC92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12C0E"/>
    <w:multiLevelType w:val="hybridMultilevel"/>
    <w:tmpl w:val="A3104AEC"/>
    <w:lvl w:ilvl="0" w:tplc="CC764F9C">
      <w:start w:val="1"/>
      <w:numFmt w:val="bullet"/>
      <w:lvlText w:val="•"/>
      <w:lvlJc w:val="left"/>
      <w:pPr>
        <w:ind w:left="460" w:hanging="260"/>
      </w:pPr>
      <w:rPr>
        <w:rFonts w:ascii="Manrope" w:eastAsia="Manrope" w:hAnsi="Manrope" w:cs="Manrope"/>
        <w:color w:val="879C91"/>
      </w:rPr>
    </w:lvl>
    <w:lvl w:ilvl="1" w:tplc="70B8C51C">
      <w:numFmt w:val="decimal"/>
      <w:lvlText w:val=""/>
      <w:lvlJc w:val="left"/>
    </w:lvl>
    <w:lvl w:ilvl="2" w:tplc="4ACE3DEE">
      <w:numFmt w:val="decimal"/>
      <w:lvlText w:val=""/>
      <w:lvlJc w:val="left"/>
    </w:lvl>
    <w:lvl w:ilvl="3" w:tplc="32203B86">
      <w:numFmt w:val="decimal"/>
      <w:lvlText w:val=""/>
      <w:lvlJc w:val="left"/>
    </w:lvl>
    <w:lvl w:ilvl="4" w:tplc="EADC76B2">
      <w:numFmt w:val="decimal"/>
      <w:lvlText w:val=""/>
      <w:lvlJc w:val="left"/>
    </w:lvl>
    <w:lvl w:ilvl="5" w:tplc="FFB21CD4">
      <w:numFmt w:val="decimal"/>
      <w:lvlText w:val=""/>
      <w:lvlJc w:val="left"/>
    </w:lvl>
    <w:lvl w:ilvl="6" w:tplc="3FD8B7C2">
      <w:numFmt w:val="decimal"/>
      <w:lvlText w:val=""/>
      <w:lvlJc w:val="left"/>
    </w:lvl>
    <w:lvl w:ilvl="7" w:tplc="0824A33E">
      <w:numFmt w:val="decimal"/>
      <w:lvlText w:val=""/>
      <w:lvlJc w:val="left"/>
    </w:lvl>
    <w:lvl w:ilvl="8" w:tplc="F580E1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111"/>
    <w:rsid w:val="00093670"/>
    <w:rsid w:val="000E3111"/>
    <w:rsid w:val="0021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53BBF"/>
  <w15:docId w15:val="{6AA23DE1-A0DB-4DC8-838A-0CB9580EB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anrope" w:eastAsia="Manrope" w:hAnsi="Manrope" w:cs="Manrope"/>
        <w:color w:val="282B2D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1202</Words>
  <Characters>6495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 inicial: Dra. Marjorie Cordeiro</dc:title>
  <dc:creator>Vértice Carioca</dc:creator>
  <cp:lastModifiedBy>Catia Barbosa Monteiro</cp:lastModifiedBy>
  <cp:revision>2</cp:revision>
  <dcterms:created xsi:type="dcterms:W3CDTF">2026-10-20T19:52:00Z</dcterms:created>
  <dcterms:modified xsi:type="dcterms:W3CDTF">2026-10-20T19:55:00Z</dcterms:modified>
</cp:coreProperties>
</file>