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735" w:rsidRDefault="00EC072C" w:rsidP="001C2C06">
      <w:pPr>
        <w:spacing w:after="80"/>
        <w:jc w:val="both"/>
      </w:pPr>
      <w:r>
        <w:rPr>
          <w:b/>
          <w:bCs/>
          <w:color w:val="879C91"/>
          <w:spacing w:val="100"/>
          <w:sz w:val="16"/>
          <w:szCs w:val="16"/>
        </w:rPr>
        <w:t xml:space="preserve">SEÇÃO DA LANDING </w:t>
      </w:r>
      <w:proofErr w:type="gramStart"/>
      <w:r>
        <w:rPr>
          <w:b/>
          <w:bCs/>
          <w:color w:val="879C91"/>
          <w:spacing w:val="100"/>
          <w:sz w:val="16"/>
          <w:szCs w:val="16"/>
        </w:rPr>
        <w:t>PAGE  ·</w:t>
      </w:r>
      <w:proofErr w:type="gramEnd"/>
      <w:r>
        <w:rPr>
          <w:b/>
          <w:bCs/>
          <w:color w:val="879C91"/>
          <w:spacing w:val="100"/>
          <w:sz w:val="16"/>
          <w:szCs w:val="16"/>
        </w:rPr>
        <w:t xml:space="preserve">  PARA APROVAÇÃO</w:t>
      </w:r>
    </w:p>
    <w:p w:rsidR="003A0735" w:rsidRDefault="00EC072C" w:rsidP="001C2C06">
      <w:pPr>
        <w:spacing w:after="120"/>
        <w:jc w:val="both"/>
      </w:pPr>
      <w:r>
        <w:rPr>
          <w:rFonts w:ascii="Lora" w:eastAsia="Lora" w:hAnsi="Lora" w:cs="Lora"/>
          <w:color w:val="173C43"/>
          <w:sz w:val="72"/>
          <w:szCs w:val="72"/>
        </w:rPr>
        <w:t>Para Pacientes</w:t>
      </w:r>
    </w:p>
    <w:p w:rsidR="003A0735" w:rsidRDefault="00EC072C" w:rsidP="001C2C06">
      <w:pPr>
        <w:pBdr>
          <w:bottom w:val="single" w:sz="6" w:space="12" w:color="879C91"/>
        </w:pBdr>
        <w:spacing w:after="300"/>
        <w:jc w:val="both"/>
      </w:pPr>
      <w:r>
        <w:rPr>
          <w:sz w:val="22"/>
          <w:szCs w:val="22"/>
        </w:rPr>
        <w:t xml:space="preserve">Dra. </w:t>
      </w:r>
      <w:proofErr w:type="spellStart"/>
      <w:r>
        <w:rPr>
          <w:sz w:val="22"/>
          <w:szCs w:val="22"/>
        </w:rPr>
        <w:t>Marjorie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Cordeiro  ·</w:t>
      </w:r>
      <w:proofErr w:type="gramEnd"/>
      <w:r>
        <w:rPr>
          <w:sz w:val="22"/>
          <w:szCs w:val="22"/>
        </w:rPr>
        <w:t xml:space="preserve">  Direito Médico e da Saúde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60" w:type="dxa"/>
              <w:left w:w="400" w:type="dxa"/>
              <w:bottom w:w="260" w:type="dxa"/>
              <w:right w:w="400" w:type="dxa"/>
            </w:tcMar>
            <w:vAlign w:val="center"/>
          </w:tcPr>
          <w:p w:rsidR="003A0735" w:rsidRDefault="00EC072C" w:rsidP="001C2C06">
            <w:pPr>
              <w:spacing w:after="80"/>
              <w:jc w:val="both"/>
            </w:pPr>
            <w:r>
              <w:rPr>
                <w:b/>
                <w:bCs/>
                <w:color w:val="879C91"/>
                <w:spacing w:val="60"/>
                <w:sz w:val="14"/>
                <w:szCs w:val="14"/>
              </w:rPr>
              <w:t>COMO LER ESTE DOCUMENTO</w:t>
            </w:r>
          </w:p>
          <w:p w:rsidR="003A0735" w:rsidRDefault="00EC072C" w:rsidP="001C2C06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>À esquerda de cada texto está a função dele na página (H1, H2, TEXTO, BOTÃO...). Essa marcação orienta a montagem do site e a leitura pelo Google e por ferramentas de IA.</w:t>
            </w:r>
          </w:p>
          <w:p w:rsidR="003A0735" w:rsidRDefault="00EC072C" w:rsidP="001C2C06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 xml:space="preserve">Esta seção faz parte da </w:t>
            </w:r>
            <w:proofErr w:type="spellStart"/>
            <w:r>
              <w:rPr>
                <w:sz w:val="18"/>
                <w:szCs w:val="18"/>
              </w:rPr>
              <w:t>landing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  <w:r>
              <w:rPr>
                <w:sz w:val="18"/>
                <w:szCs w:val="18"/>
              </w:rPr>
              <w:t xml:space="preserve"> e complementa a Home, sem repetir o que já está </w:t>
            </w:r>
            <w:r>
              <w:rPr>
                <w:sz w:val="18"/>
                <w:szCs w:val="18"/>
              </w:rPr>
              <w:t xml:space="preserve">nela. Abaixo de cada bloco, o quadro </w:t>
            </w:r>
            <w:r>
              <w:rPr>
                <w:b/>
                <w:bCs/>
                <w:color w:val="173C43"/>
                <w:sz w:val="18"/>
                <w:szCs w:val="18"/>
              </w:rPr>
              <w:t>Layout e Imagem</w:t>
            </w:r>
            <w:r>
              <w:rPr>
                <w:sz w:val="18"/>
                <w:szCs w:val="18"/>
              </w:rPr>
              <w:t xml:space="preserve"> mostra a disposição e a imagem. Ao final, há o mapa da seção.</w:t>
            </w:r>
          </w:p>
          <w:p w:rsidR="003A0735" w:rsidRDefault="00EC072C" w:rsidP="001C2C06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 xml:space="preserve">Trechos </w:t>
            </w:r>
            <w:proofErr w:type="gramStart"/>
            <w:r>
              <w:rPr>
                <w:sz w:val="18"/>
                <w:szCs w:val="18"/>
              </w:rPr>
              <w:t xml:space="preserve">assim </w:t>
            </w:r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 PARA</w:t>
            </w:r>
            <w:proofErr w:type="gramEnd"/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 VALIDAR </w:t>
            </w:r>
            <w:r>
              <w:rPr>
                <w:sz w:val="18"/>
                <w:szCs w:val="18"/>
              </w:rPr>
              <w:t xml:space="preserve"> precisam da sua confirmação antes da publicação.</w:t>
            </w:r>
          </w:p>
          <w:p w:rsidR="003A0735" w:rsidRDefault="00EC072C" w:rsidP="001C2C06">
            <w:pPr>
              <w:spacing w:line="290" w:lineRule="auto"/>
              <w:jc w:val="both"/>
            </w:pPr>
            <w:r>
              <w:rPr>
                <w:sz w:val="18"/>
                <w:szCs w:val="18"/>
              </w:rPr>
              <w:t>As notas em verde são orientações para quem vai montar o site e</w:t>
            </w:r>
            <w:r>
              <w:rPr>
                <w:sz w:val="18"/>
                <w:szCs w:val="18"/>
              </w:rPr>
              <w:t xml:space="preserve"> não aparecem na página.</w:t>
            </w:r>
          </w:p>
        </w:tc>
      </w:tr>
    </w:tbl>
    <w:p w:rsidR="003A0735" w:rsidRDefault="00EC072C" w:rsidP="001C2C06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POSIÇÃO NA LANDING PAGE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CAMPO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CONTEÚDO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Formato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Seção da </w:t>
            </w:r>
            <w:proofErr w:type="spell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page</w:t>
            </w:r>
            <w:proofErr w:type="spellEnd"/>
            <w:r>
              <w:rPr>
                <w:sz w:val="19"/>
                <w:szCs w:val="19"/>
              </w:rPr>
              <w:t xml:space="preserve"> de página única (não é uma página separada)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Âncora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#pacientes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Acesso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Botões "Preciso de orientação como paciente" e "Conheça a atuação para pacientes" da Home rolam a página até esta seção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SEO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Título, meta </w:t>
            </w: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  <w:r>
              <w:rPr>
                <w:sz w:val="19"/>
                <w:szCs w:val="19"/>
              </w:rPr>
              <w:t xml:space="preserve"> e H1 são os da Home. Esta seção usa H2</w:t>
            </w:r>
          </w:p>
        </w:tc>
      </w:tr>
    </w:tbl>
    <w:p w:rsidR="003A0735" w:rsidRDefault="00EC072C" w:rsidP="001C2C06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01</w:t>
      </w:r>
    </w:p>
    <w:p w:rsidR="003A0735" w:rsidRDefault="00EC072C" w:rsidP="001C2C06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Abertura da seção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Direito Médico para pacientes e familiares.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DESTAQUE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 xml:space="preserve">Negativas do plano de saúde, home </w:t>
            </w:r>
            <w:proofErr w:type="spellStart"/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>care</w:t>
            </w:r>
            <w:proofErr w:type="spellEnd"/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 xml:space="preserve"> e medicamentos: seus direitos explicados com clareza.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 xml:space="preserve">Dra. </w:t>
            </w:r>
            <w:proofErr w:type="spellStart"/>
            <w:r>
              <w:t>Marjorie</w:t>
            </w:r>
            <w:proofErr w:type="spellEnd"/>
            <w:r>
              <w:t xml:space="preserve"> Cordeiro atua na orientação jurídica de pacientes e familiares que enfrentam dificuldade</w:t>
            </w:r>
            <w:r>
              <w:t>s relacionadas ao acesso a tratamentos, exames, cirurgias, medicamentos e outros direitos ligados à saúde.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A proposta é compreender a situação, analisar os documentos disponíveis e explicar com clareza as possibilidades de cada caso.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Falar pelo WhatsApp  </w:t>
            </w:r>
          </w:p>
        </w:tc>
      </w:tr>
    </w:tbl>
    <w:p w:rsidR="003A0735" w:rsidRDefault="003A0735" w:rsidP="001C2C06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>Duas colunas sobre fundo branco: texto e botão à esquerda, foto à direita. No celular, a foto vem acima do texto.</w:t>
            </w:r>
          </w:p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 xml:space="preserve">Dra. </w:t>
            </w:r>
            <w:proofErr w:type="spellStart"/>
            <w:r>
              <w:rPr>
                <w:sz w:val="18"/>
                <w:szCs w:val="18"/>
              </w:rPr>
              <w:t>Marjorie</w:t>
            </w:r>
            <w:proofErr w:type="spellEnd"/>
            <w:r>
              <w:rPr>
                <w:sz w:val="18"/>
                <w:szCs w:val="18"/>
              </w:rPr>
              <w:t xml:space="preserve"> em conversa ou atendimento, com luz natural (direção Proximidade do </w:t>
            </w:r>
            <w:proofErr w:type="spellStart"/>
            <w:r>
              <w:rPr>
                <w:sz w:val="18"/>
                <w:szCs w:val="18"/>
              </w:rPr>
              <w:t>brand</w:t>
            </w:r>
            <w:proofErr w:type="spellEnd"/>
            <w:r>
              <w:rPr>
                <w:sz w:val="18"/>
                <w:szCs w:val="18"/>
              </w:rPr>
              <w:t xml:space="preserve"> book). Se </w:t>
            </w:r>
            <w:r>
              <w:rPr>
                <w:sz w:val="18"/>
                <w:szCs w:val="18"/>
              </w:rPr>
              <w:t>houver cliente na cena, sem rosto identificável.</w:t>
            </w:r>
          </w:p>
        </w:tc>
      </w:tr>
    </w:tbl>
    <w:p w:rsidR="003A0735" w:rsidRDefault="00EC072C" w:rsidP="001C2C06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02</w:t>
      </w:r>
    </w:p>
    <w:p w:rsidR="003A0735" w:rsidRDefault="00EC072C" w:rsidP="001C2C06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Principais frentes de atuação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Como a orientação jurídica pode ajudar.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Negativas de cobertura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O plano negou um exame, tratamento ou cirurgia indicado pelo médico? A análise considera o motivo da negativa, os documentos médicos e o contrato.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 xml:space="preserve">Home </w:t>
            </w:r>
            <w:proofErr w:type="spellStart"/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care</w:t>
            </w:r>
            <w:proofErr w:type="spellEnd"/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O plano negou ou dificultou a assistê</w:t>
            </w:r>
            <w:r>
              <w:t>ncia domiciliar indicada? A análise considera a indicação médica, a situação do paciente e as regras de cobertura.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Medicamentos de alto custo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O acesso a um medicamento prescrito foi negado ou está difícil? A análise considera a prescrição, a cobertura e a forma de fornecimento.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Terapias para pessoas com TEA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A família encontrou dificuldades na cobertura das terapias indicadas? A análise considera a indicação, a continuidade do tratamento e as regras aplicáveis.</w:t>
            </w:r>
          </w:p>
        </w:tc>
      </w:tr>
    </w:tbl>
    <w:p w:rsidR="003A0735" w:rsidRDefault="003A0735" w:rsidP="001C2C06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lastRenderedPageBreak/>
              <w:t xml:space="preserve">LAYOUT   </w:t>
            </w:r>
            <w:r>
              <w:rPr>
                <w:sz w:val="18"/>
                <w:szCs w:val="18"/>
              </w:rPr>
              <w:t xml:space="preserve">Grade 2x2 de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off-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com filete </w:t>
            </w:r>
            <w:proofErr w:type="spellStart"/>
            <w:r>
              <w:rPr>
                <w:sz w:val="18"/>
                <w:szCs w:val="18"/>
              </w:rPr>
              <w:t>sálvia</w:t>
            </w:r>
            <w:proofErr w:type="spellEnd"/>
            <w:r>
              <w:rPr>
                <w:sz w:val="18"/>
                <w:szCs w:val="18"/>
              </w:rPr>
              <w:t xml:space="preserve"> no topo, ícone linear e link discreto. No celular, um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por linha.</w:t>
            </w:r>
          </w:p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Ícones lineares simples: documento, casa, frasco. Para TEA, evitar a peça de quebra-cabeça, rejeitada por parte da comunidade autista; usar ícone de mãos ou apenas o título. Nenhuma foto de criança.</w:t>
            </w:r>
          </w:p>
        </w:tc>
      </w:tr>
    </w:tbl>
    <w:p w:rsidR="003A0735" w:rsidRDefault="00EC072C" w:rsidP="001C2C06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03</w:t>
      </w:r>
    </w:p>
    <w:p w:rsidR="003A0735" w:rsidRDefault="00EC072C" w:rsidP="001C2C06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Outras questões de saúde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Outras demandas também podem ser analisadas.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Entre elas: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t>tratamentos oncológicos  ·  doenças raras  ·  cobertura fora do rol da ANS  ·  reajustes de plano de saúde  ·  cancelamento ou rescisão de plano  ·  carência e portabilidade  ·  reembolso  ·  tratamentos e medicamentos pelo SUS  ·  responsabilidade civil d</w:t>
            </w:r>
            <w:r>
              <w:t>e hospitais e clínicas</w:t>
            </w:r>
          </w:p>
        </w:tc>
      </w:tr>
    </w:tbl>
    <w:p w:rsidR="003A0735" w:rsidRDefault="003A0735" w:rsidP="001C2C06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 xml:space="preserve">Bloco compacto com etiquetas de contorno </w:t>
            </w:r>
            <w:proofErr w:type="spellStart"/>
            <w:r>
              <w:rPr>
                <w:sz w:val="18"/>
                <w:szCs w:val="18"/>
              </w:rPr>
              <w:t>sálvia</w:t>
            </w:r>
            <w:proofErr w:type="spellEnd"/>
            <w:r>
              <w:rPr>
                <w:sz w:val="18"/>
                <w:szCs w:val="18"/>
              </w:rPr>
              <w:t>, em 2 ou 3 colunas.</w:t>
            </w:r>
          </w:p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Sem imagem.</w:t>
            </w:r>
          </w:p>
        </w:tc>
      </w:tr>
    </w:tbl>
    <w:p w:rsidR="003A0735" w:rsidRDefault="00EC072C" w:rsidP="001C2C06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04</w:t>
      </w:r>
    </w:p>
    <w:p w:rsidR="003A0735" w:rsidRDefault="00EC072C" w:rsidP="001C2C06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Dúvidas de pacientes e familiares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Dúvidas de pacientes e familiares.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Sou familiar, e não o paciente. Posso buscar orientação?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</w:t>
            </w:r>
            <w:proofErr w:type="gramStart"/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VALIDAR </w:t>
            </w:r>
            <w:r>
              <w:t xml:space="preserve"> Sim</w:t>
            </w:r>
            <w:proofErr w:type="gramEnd"/>
            <w:r>
              <w:t>. Muitas vezes é um familiar quem dá o primeiro passo. Dependendo do caso, documentos ou autorização do paciente podem ser necessários, e isso é explicado no atendimento.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O plano</w:t>
            </w:r>
            <w:r w:rsidR="009F7BBE"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 xml:space="preserve"> de saúde</w:t>
            </w:r>
            <w:bookmarkStart w:id="0" w:name="_GoBack"/>
            <w:bookmarkEnd w:id="0"/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 xml:space="preserve"> não respondeu meu pedido. O que devo fazer?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</w:t>
            </w:r>
            <w:proofErr w:type="gramStart"/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VALIDAR </w:t>
            </w:r>
            <w:r>
              <w:t xml:space="preserve"> Vale</w:t>
            </w:r>
            <w:proofErr w:type="gramEnd"/>
            <w:r>
              <w:t xml:space="preserve"> guardar o número de protocolo, a data do pedido e os documentos enviados. A falta de resposta também pode ser analisada na orientação.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O que acontece depo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is da análise inicial?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</w:t>
            </w:r>
            <w:proofErr w:type="gramStart"/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VALIDAR </w:t>
            </w:r>
            <w:r>
              <w:t xml:space="preserve"> A</w:t>
            </w:r>
            <w:proofErr w:type="gramEnd"/>
            <w:r>
              <w:t xml:space="preserve"> Dra. </w:t>
            </w:r>
            <w:proofErr w:type="spellStart"/>
            <w:r>
              <w:t>Marjorie</w:t>
            </w:r>
            <w:proofErr w:type="spellEnd"/>
            <w:r>
              <w:t xml:space="preserve"> Cordeiro explica o que foi identificado e quais caminhos podem ser considerados. A decisão sobre como seguir é sempre sua.</w:t>
            </w:r>
          </w:p>
        </w:tc>
      </w:tr>
    </w:tbl>
    <w:p w:rsidR="003A0735" w:rsidRDefault="00EC072C" w:rsidP="001C2C06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As perguntas sobre Justiça, negativa do plano, documentos e atendimento online já estão nas dúvidas frequentes da Home e não se repetem aqui. Na montagem, estas três podem entrar na mesma sanfona de dúvidas da Home, se preferir uma única seção de perguntas</w:t>
      </w:r>
      <w:r>
        <w:rPr>
          <w:i/>
          <w:iCs/>
          <w:color w:val="879C91"/>
          <w:sz w:val="17"/>
          <w:szCs w:val="17"/>
        </w:rPr>
        <w:t xml:space="preserve">. Marcar com dados estruturados </w:t>
      </w:r>
      <w:proofErr w:type="spellStart"/>
      <w:r>
        <w:rPr>
          <w:i/>
          <w:iCs/>
          <w:color w:val="879C91"/>
          <w:sz w:val="17"/>
          <w:szCs w:val="17"/>
        </w:rPr>
        <w:t>FAQPage</w:t>
      </w:r>
      <w:proofErr w:type="spellEnd"/>
      <w:r>
        <w:rPr>
          <w:i/>
          <w:iCs/>
          <w:color w:val="879C91"/>
          <w:sz w:val="17"/>
          <w:szCs w:val="17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3A0735" w:rsidRDefault="00EC072C" w:rsidP="001C2C06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Falar pelo WhatsApp  </w:t>
            </w:r>
          </w:p>
        </w:tc>
      </w:tr>
    </w:tbl>
    <w:p w:rsidR="003A0735" w:rsidRDefault="003A0735" w:rsidP="001C2C06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>Formato sanfona (acordeão): só a pergunta aparece até o clique. Uma pergunta por linha, com divisórias finas. Botão de WhatsApp centralizado no fim da seção.</w:t>
            </w:r>
          </w:p>
          <w:p w:rsidR="003A0735" w:rsidRDefault="00EC072C" w:rsidP="001C2C06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Sem imagem.</w:t>
            </w:r>
          </w:p>
        </w:tc>
      </w:tr>
    </w:tbl>
    <w:p w:rsidR="003A0735" w:rsidRDefault="00EC072C" w:rsidP="001C2C06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LAYOUT</w:t>
      </w:r>
    </w:p>
    <w:p w:rsidR="003A0735" w:rsidRDefault="00EC072C" w:rsidP="001C2C06">
      <w:pPr>
        <w:pBdr>
          <w:bottom w:val="single" w:sz="4" w:space="8" w:color="879C91"/>
        </w:pBdr>
        <w:spacing w:after="16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Mapa da seção</w:t>
      </w:r>
    </w:p>
    <w:p w:rsidR="003A0735" w:rsidRDefault="00EC072C" w:rsidP="001C2C06">
      <w:pPr>
        <w:spacing w:after="160" w:line="330" w:lineRule="auto"/>
        <w:jc w:val="both"/>
      </w:pPr>
      <w:r>
        <w:rPr>
          <w:sz w:val="18"/>
          <w:szCs w:val="18"/>
        </w:rPr>
        <w:t xml:space="preserve">Ordem dos blocos desta seção, com a cor de fundo de cada um. Na </w:t>
      </w:r>
      <w:proofErr w:type="spellStart"/>
      <w:r>
        <w:rPr>
          <w:sz w:val="18"/>
          <w:szCs w:val="18"/>
        </w:rPr>
        <w:t>landing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page</w:t>
      </w:r>
      <w:proofErr w:type="spellEnd"/>
      <w:r>
        <w:rPr>
          <w:sz w:val="18"/>
          <w:szCs w:val="18"/>
        </w:rPr>
        <w:t xml:space="preserve">, a seção entra depois do </w:t>
      </w:r>
      <w:proofErr w:type="gramStart"/>
      <w:r>
        <w:rPr>
          <w:sz w:val="18"/>
          <w:szCs w:val="18"/>
        </w:rPr>
        <w:t>bloco Para</w:t>
      </w:r>
      <w:proofErr w:type="gramEnd"/>
      <w:r>
        <w:rPr>
          <w:sz w:val="18"/>
          <w:szCs w:val="18"/>
        </w:rPr>
        <w:t xml:space="preserve"> pacientes e familiares da Home e antes do bloco Para médicos. Método, primeiro contato, conteúdos e chamada final ficam nos blocos da Home.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  <w:trHeight w:val="1100"/>
          <w:jc w:val="center"/>
        </w:trPr>
        <w:tc>
          <w:tcPr>
            <w:tcW w:w="6400" w:type="dxa"/>
            <w:tcBorders>
              <w:top w:val="single" w:sz="12" w:space="0" w:color="FFFFFF"/>
              <w:left w:val="single" w:sz="4" w:space="0" w:color="E2DCD1"/>
              <w:bottom w:val="single" w:sz="12" w:space="0" w:color="FFFFFF"/>
              <w:right w:val="single" w:sz="4" w:space="0" w:color="E2DCD1"/>
            </w:tcBorders>
            <w:shd w:val="clear" w:color="auto" w:fill="FFFFFF"/>
            <w:tcMar>
              <w:left w:w="300" w:type="dxa"/>
              <w:right w:w="300" w:type="dxa"/>
            </w:tcMar>
            <w:vAlign w:val="center"/>
          </w:tcPr>
          <w:p w:rsidR="003A0735" w:rsidRDefault="00EC072C" w:rsidP="001C2C06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Abe</w:t>
            </w: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rtura da seção</w:t>
            </w:r>
          </w:p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TEXTO + FOTO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6400" w:type="dxa"/>
            <w:tcBorders>
              <w:top w:val="single" w:sz="12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F5F1EA"/>
            <w:tcMar>
              <w:left w:w="300" w:type="dxa"/>
              <w:right w:w="300" w:type="dxa"/>
            </w:tcMar>
            <w:vAlign w:val="center"/>
          </w:tcPr>
          <w:p w:rsidR="003A0735" w:rsidRDefault="00EC072C" w:rsidP="001C2C06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Frentes de atuação</w:t>
            </w:r>
          </w:p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GRADE 2X2 DE CARDS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  <w:trHeight w:val="650"/>
          <w:jc w:val="center"/>
        </w:trPr>
        <w:tc>
          <w:tcPr>
            <w:tcW w:w="6400" w:type="dxa"/>
            <w:tcBorders>
              <w:top w:val="single" w:sz="12" w:space="0" w:color="FFFFFF"/>
              <w:left w:val="single" w:sz="4" w:space="0" w:color="E2DCD1"/>
              <w:bottom w:val="single" w:sz="12" w:space="0" w:color="FFFFFF"/>
              <w:right w:val="single" w:sz="4" w:space="0" w:color="E2DCD1"/>
            </w:tcBorders>
            <w:shd w:val="clear" w:color="auto" w:fill="FFFFFF"/>
            <w:tcMar>
              <w:left w:w="300" w:type="dxa"/>
              <w:right w:w="300" w:type="dxa"/>
            </w:tcMar>
            <w:vAlign w:val="center"/>
          </w:tcPr>
          <w:p w:rsidR="003A0735" w:rsidRDefault="00EC072C" w:rsidP="001C2C06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Outras questões</w:t>
            </w:r>
          </w:p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ETIQUETAS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  <w:trHeight w:val="900"/>
          <w:jc w:val="center"/>
        </w:trPr>
        <w:tc>
          <w:tcPr>
            <w:tcW w:w="6400" w:type="dxa"/>
            <w:tcBorders>
              <w:top w:val="single" w:sz="12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F5F1EA"/>
            <w:tcMar>
              <w:left w:w="300" w:type="dxa"/>
              <w:right w:w="300" w:type="dxa"/>
            </w:tcMar>
            <w:vAlign w:val="center"/>
          </w:tcPr>
          <w:p w:rsidR="003A0735" w:rsidRDefault="00EC072C" w:rsidP="001C2C06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Dúvidas de pacientes</w:t>
            </w:r>
          </w:p>
          <w:p w:rsidR="003A0735" w:rsidRDefault="00EC072C" w:rsidP="001C2C06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SANFONA + BOTÃO</w:t>
            </w:r>
          </w:p>
        </w:tc>
      </w:tr>
    </w:tbl>
    <w:p w:rsidR="003A0735" w:rsidRDefault="00EC072C" w:rsidP="001C2C06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DIRETRIZES GERAIS DE IMAGEM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USAR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EVITAR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proofErr w:type="gramStart"/>
            <w:r>
              <w:rPr>
                <w:sz w:val="19"/>
                <w:szCs w:val="19"/>
              </w:rPr>
              <w:t>fotos</w:t>
            </w:r>
            <w:proofErr w:type="gramEnd"/>
            <w:r>
              <w:rPr>
                <w:sz w:val="19"/>
                <w:szCs w:val="19"/>
              </w:rPr>
              <w:t xml:space="preserve"> da Dra. </w:t>
            </w:r>
            <w:proofErr w:type="spellStart"/>
            <w:r>
              <w:rPr>
                <w:sz w:val="19"/>
                <w:szCs w:val="19"/>
              </w:rPr>
              <w:t>Marjorie</w:t>
            </w:r>
            <w:proofErr w:type="spellEnd"/>
            <w:r>
              <w:rPr>
                <w:sz w:val="19"/>
                <w:szCs w:val="19"/>
              </w:rPr>
              <w:t xml:space="preserve"> com luz natural, nas direções Proximidade e Conhecimento</w:t>
            </w:r>
          </w:p>
          <w:p w:rsidR="003A0735" w:rsidRDefault="00EC072C" w:rsidP="001C2C06">
            <w:pPr>
              <w:spacing w:after="30" w:line="280" w:lineRule="auto"/>
              <w:jc w:val="both"/>
            </w:pPr>
            <w:proofErr w:type="gramStart"/>
            <w:r>
              <w:rPr>
                <w:sz w:val="19"/>
                <w:szCs w:val="19"/>
              </w:rPr>
              <w:t>mãos</w:t>
            </w:r>
            <w:proofErr w:type="gramEnd"/>
            <w:r>
              <w:rPr>
                <w:sz w:val="19"/>
                <w:szCs w:val="19"/>
              </w:rPr>
              <w:t xml:space="preserve"> sobre documentos, notebook, ambientes contemporâneos</w:t>
            </w:r>
          </w:p>
          <w:p w:rsidR="003A0735" w:rsidRDefault="00EC072C" w:rsidP="001C2C06">
            <w:pPr>
              <w:spacing w:after="30" w:line="280" w:lineRule="auto"/>
              <w:jc w:val="both"/>
            </w:pPr>
            <w:proofErr w:type="gramStart"/>
            <w:r>
              <w:rPr>
                <w:sz w:val="19"/>
                <w:szCs w:val="19"/>
              </w:rPr>
              <w:t>ícones</w:t>
            </w:r>
            <w:proofErr w:type="gramEnd"/>
            <w:r>
              <w:rPr>
                <w:sz w:val="19"/>
                <w:szCs w:val="19"/>
              </w:rPr>
              <w:t xml:space="preserve"> lineares simples</w:t>
            </w:r>
          </w:p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muito espaço em branco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proofErr w:type="gramStart"/>
            <w:r>
              <w:rPr>
                <w:sz w:val="19"/>
                <w:szCs w:val="19"/>
              </w:rPr>
              <w:t>jaleco</w:t>
            </w:r>
            <w:proofErr w:type="gramEnd"/>
            <w:r>
              <w:rPr>
                <w:sz w:val="19"/>
                <w:szCs w:val="19"/>
              </w:rPr>
              <w:t>, estetoscópio, leito, cruz médica e ambientes hospitalares</w:t>
            </w:r>
          </w:p>
          <w:p w:rsidR="003A0735" w:rsidRDefault="00EC072C" w:rsidP="001C2C06">
            <w:pPr>
              <w:spacing w:after="30" w:line="280" w:lineRule="auto"/>
              <w:jc w:val="both"/>
            </w:pPr>
            <w:proofErr w:type="gramStart"/>
            <w:r>
              <w:rPr>
                <w:sz w:val="19"/>
                <w:szCs w:val="19"/>
              </w:rPr>
              <w:t>fotos</w:t>
            </w:r>
            <w:proofErr w:type="gramEnd"/>
            <w:r>
              <w:rPr>
                <w:sz w:val="19"/>
                <w:szCs w:val="19"/>
              </w:rPr>
              <w:t xml:space="preserve"> de crianças, principalmente perto do tema TEA</w:t>
            </w:r>
          </w:p>
          <w:p w:rsidR="003A0735" w:rsidRDefault="00EC072C" w:rsidP="001C2C06">
            <w:pPr>
              <w:spacing w:after="30" w:line="280" w:lineRule="auto"/>
              <w:jc w:val="both"/>
            </w:pPr>
            <w:proofErr w:type="gramStart"/>
            <w:r>
              <w:rPr>
                <w:sz w:val="19"/>
                <w:szCs w:val="19"/>
              </w:rPr>
              <w:t>imagens</w:t>
            </w:r>
            <w:proofErr w:type="gramEnd"/>
            <w:r>
              <w:rPr>
                <w:sz w:val="19"/>
                <w:szCs w:val="19"/>
              </w:rPr>
              <w:t xml:space="preserve"> de pessoas em sofrimento ou com expressão dramática</w:t>
            </w:r>
          </w:p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balança, martelo e outros símbolos jurídicos</w:t>
            </w:r>
          </w:p>
        </w:tc>
      </w:tr>
    </w:tbl>
    <w:p w:rsidR="003A0735" w:rsidRDefault="00EC072C" w:rsidP="001C2C06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PARA A DRA. MARJORIE</w:t>
      </w:r>
    </w:p>
    <w:p w:rsidR="003A0735" w:rsidRDefault="00EC072C" w:rsidP="001C2C06">
      <w:pPr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O que precisa da sua aprovação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0"/>
        <w:gridCol w:w="3000"/>
      </w:tblGrid>
      <w:tr w:rsidR="003A07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ITEM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ONDE ESTÁ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Textos da seção como um todo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Todos os blocos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Resposta sobre familiar que busca orientação, especialmente a menção à autorização do paciente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pacientes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Resposta sobre plano que não respondeu o pedido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pacientes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Resposta sobre o que acontece depois da análise inicial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pa</w:t>
            </w:r>
            <w:r>
              <w:rPr>
                <w:sz w:val="19"/>
                <w:szCs w:val="19"/>
              </w:rPr>
              <w:t>cientes</w:t>
            </w:r>
          </w:p>
        </w:tc>
      </w:tr>
      <w:tr w:rsidR="003A07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Direção das fotos e do layout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3A0735" w:rsidRDefault="00EC072C" w:rsidP="001C2C06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Quadros Layout e Imagem e mapa da seção</w:t>
            </w:r>
          </w:p>
        </w:tc>
      </w:tr>
    </w:tbl>
    <w:p w:rsidR="00EC072C" w:rsidRDefault="00EC072C" w:rsidP="001C2C06">
      <w:pPr>
        <w:jc w:val="both"/>
      </w:pPr>
    </w:p>
    <w:sectPr w:rsidR="00EC072C">
      <w:headerReference w:type="default" r:id="rId7"/>
      <w:footerReference w:type="default" r:id="rId8"/>
      <w:pgSz w:w="11906" w:h="16838"/>
      <w:pgMar w:top="1418" w:right="1418" w:bottom="1418" w:left="1418" w:header="700" w:footer="7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72C" w:rsidRDefault="00EC072C">
      <w:r>
        <w:separator/>
      </w:r>
    </w:p>
  </w:endnote>
  <w:endnote w:type="continuationSeparator" w:id="0">
    <w:p w:rsidR="00EC072C" w:rsidRDefault="00EC0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nrope">
    <w:charset w:val="00"/>
    <w:family w:val="auto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735" w:rsidRDefault="00EC072C">
    <w:pPr>
      <w:pBdr>
        <w:top w:val="single" w:sz="4" w:space="8" w:color="E2DCD1"/>
      </w:pBdr>
      <w:tabs>
        <w:tab w:val="right" w:pos="9070"/>
      </w:tabs>
    </w:pPr>
    <w:r>
      <w:rPr>
        <w:rFonts w:ascii="Lora" w:eastAsia="Lora" w:hAnsi="Lora" w:cs="Lora"/>
        <w:i/>
        <w:iCs/>
        <w:color w:val="879C91"/>
        <w:sz w:val="15"/>
        <w:szCs w:val="15"/>
      </w:rPr>
      <w:t>Clareza para decidir. Segurança para agir.</w:t>
    </w:r>
    <w:r>
      <w:rPr>
        <w:b/>
        <w:bCs/>
        <w:color w:val="173C43"/>
        <w:sz w:val="15"/>
        <w:szCs w:val="15"/>
      </w:rPr>
      <w:tab/>
    </w:r>
    <w:r>
      <w:rPr>
        <w:b/>
        <w:bCs/>
        <w:color w:val="173C43"/>
        <w:sz w:val="15"/>
        <w:szCs w:val="15"/>
      </w:rPr>
      <w:fldChar w:fldCharType="begin"/>
    </w:r>
    <w:r>
      <w:rPr>
        <w:b/>
        <w:bCs/>
        <w:color w:val="173C43"/>
        <w:sz w:val="15"/>
        <w:szCs w:val="15"/>
      </w:rPr>
      <w:instrText>PAGE</w:instrText>
    </w:r>
    <w:r w:rsidR="001C2C06">
      <w:rPr>
        <w:b/>
        <w:bCs/>
        <w:color w:val="173C43"/>
        <w:sz w:val="15"/>
        <w:szCs w:val="15"/>
      </w:rPr>
      <w:fldChar w:fldCharType="separate"/>
    </w:r>
    <w:r w:rsidR="009F7BBE">
      <w:rPr>
        <w:b/>
        <w:bCs/>
        <w:noProof/>
        <w:color w:val="173C43"/>
        <w:sz w:val="15"/>
        <w:szCs w:val="15"/>
      </w:rPr>
      <w:t>4</w:t>
    </w:r>
    <w:r>
      <w:rPr>
        <w:b/>
        <w:bCs/>
        <w:color w:val="173C4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72C" w:rsidRDefault="00EC072C">
      <w:r>
        <w:separator/>
      </w:r>
    </w:p>
  </w:footnote>
  <w:footnote w:type="continuationSeparator" w:id="0">
    <w:p w:rsidR="00EC072C" w:rsidRDefault="00EC0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735" w:rsidRDefault="00EC072C">
    <w:pPr>
      <w:jc w:val="right"/>
    </w:pPr>
    <w:r>
      <w:rPr>
        <w:b/>
        <w:bCs/>
        <w:color w:val="879C91"/>
        <w:spacing w:val="60"/>
        <w:sz w:val="13"/>
        <w:szCs w:val="13"/>
      </w:rPr>
      <w:t xml:space="preserve">DRA. MARJORIE </w:t>
    </w:r>
    <w:proofErr w:type="gramStart"/>
    <w:r>
      <w:rPr>
        <w:b/>
        <w:bCs/>
        <w:color w:val="879C91"/>
        <w:spacing w:val="60"/>
        <w:sz w:val="13"/>
        <w:szCs w:val="13"/>
      </w:rPr>
      <w:t>CORDEIRO  ·</w:t>
    </w:r>
    <w:proofErr w:type="gramEnd"/>
    <w:r>
      <w:rPr>
        <w:b/>
        <w:bCs/>
        <w:color w:val="879C91"/>
        <w:spacing w:val="60"/>
        <w:sz w:val="13"/>
        <w:szCs w:val="13"/>
      </w:rPr>
      <w:t xml:space="preserve">  SEÇÃO PARA PACIENTES  ·  PARA APROVAÇÃO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61739"/>
    <w:multiLevelType w:val="hybridMultilevel"/>
    <w:tmpl w:val="1F9E59EE"/>
    <w:lvl w:ilvl="0" w:tplc="87B8FD2C">
      <w:start w:val="1"/>
      <w:numFmt w:val="bullet"/>
      <w:lvlText w:val="●"/>
      <w:lvlJc w:val="left"/>
      <w:pPr>
        <w:ind w:left="720" w:hanging="360"/>
      </w:pPr>
    </w:lvl>
    <w:lvl w:ilvl="1" w:tplc="3CDAC280">
      <w:start w:val="1"/>
      <w:numFmt w:val="bullet"/>
      <w:lvlText w:val="○"/>
      <w:lvlJc w:val="left"/>
      <w:pPr>
        <w:ind w:left="1440" w:hanging="360"/>
      </w:pPr>
    </w:lvl>
    <w:lvl w:ilvl="2" w:tplc="2CC62AFA">
      <w:start w:val="1"/>
      <w:numFmt w:val="bullet"/>
      <w:lvlText w:val="■"/>
      <w:lvlJc w:val="left"/>
      <w:pPr>
        <w:ind w:left="2160" w:hanging="360"/>
      </w:pPr>
    </w:lvl>
    <w:lvl w:ilvl="3" w:tplc="2474C59C">
      <w:start w:val="1"/>
      <w:numFmt w:val="bullet"/>
      <w:lvlText w:val="●"/>
      <w:lvlJc w:val="left"/>
      <w:pPr>
        <w:ind w:left="2880" w:hanging="360"/>
      </w:pPr>
    </w:lvl>
    <w:lvl w:ilvl="4" w:tplc="92F6621C">
      <w:start w:val="1"/>
      <w:numFmt w:val="bullet"/>
      <w:lvlText w:val="○"/>
      <w:lvlJc w:val="left"/>
      <w:pPr>
        <w:ind w:left="3600" w:hanging="360"/>
      </w:pPr>
    </w:lvl>
    <w:lvl w:ilvl="5" w:tplc="51E66596">
      <w:start w:val="1"/>
      <w:numFmt w:val="bullet"/>
      <w:lvlText w:val="■"/>
      <w:lvlJc w:val="left"/>
      <w:pPr>
        <w:ind w:left="4320" w:hanging="360"/>
      </w:pPr>
    </w:lvl>
    <w:lvl w:ilvl="6" w:tplc="AB14C2BA">
      <w:start w:val="1"/>
      <w:numFmt w:val="bullet"/>
      <w:lvlText w:val="●"/>
      <w:lvlJc w:val="left"/>
      <w:pPr>
        <w:ind w:left="5040" w:hanging="360"/>
      </w:pPr>
    </w:lvl>
    <w:lvl w:ilvl="7" w:tplc="06100680">
      <w:start w:val="1"/>
      <w:numFmt w:val="bullet"/>
      <w:lvlText w:val="●"/>
      <w:lvlJc w:val="left"/>
      <w:pPr>
        <w:ind w:left="5760" w:hanging="360"/>
      </w:pPr>
    </w:lvl>
    <w:lvl w:ilvl="8" w:tplc="B0AAE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B63A02"/>
    <w:multiLevelType w:val="hybridMultilevel"/>
    <w:tmpl w:val="5B30D2C8"/>
    <w:lvl w:ilvl="0" w:tplc="F2567A56">
      <w:start w:val="1"/>
      <w:numFmt w:val="bullet"/>
      <w:lvlText w:val="•"/>
      <w:lvlJc w:val="left"/>
      <w:pPr>
        <w:ind w:left="460" w:hanging="260"/>
      </w:pPr>
      <w:rPr>
        <w:rFonts w:ascii="Manrope" w:eastAsia="Manrope" w:hAnsi="Manrope" w:cs="Manrope"/>
        <w:color w:val="879C91"/>
      </w:rPr>
    </w:lvl>
    <w:lvl w:ilvl="1" w:tplc="C1684C08">
      <w:numFmt w:val="decimal"/>
      <w:lvlText w:val=""/>
      <w:lvlJc w:val="left"/>
    </w:lvl>
    <w:lvl w:ilvl="2" w:tplc="30963F5A">
      <w:numFmt w:val="decimal"/>
      <w:lvlText w:val=""/>
      <w:lvlJc w:val="left"/>
    </w:lvl>
    <w:lvl w:ilvl="3" w:tplc="D4A08726">
      <w:numFmt w:val="decimal"/>
      <w:lvlText w:val=""/>
      <w:lvlJc w:val="left"/>
    </w:lvl>
    <w:lvl w:ilvl="4" w:tplc="1C92834A">
      <w:numFmt w:val="decimal"/>
      <w:lvlText w:val=""/>
      <w:lvlJc w:val="left"/>
    </w:lvl>
    <w:lvl w:ilvl="5" w:tplc="5234F9D8">
      <w:numFmt w:val="decimal"/>
      <w:lvlText w:val=""/>
      <w:lvlJc w:val="left"/>
    </w:lvl>
    <w:lvl w:ilvl="6" w:tplc="A076424E">
      <w:numFmt w:val="decimal"/>
      <w:lvlText w:val=""/>
      <w:lvlJc w:val="left"/>
    </w:lvl>
    <w:lvl w:ilvl="7" w:tplc="2266F338">
      <w:numFmt w:val="decimal"/>
      <w:lvlText w:val=""/>
      <w:lvlJc w:val="left"/>
    </w:lvl>
    <w:lvl w:ilvl="8" w:tplc="33C449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735"/>
    <w:rsid w:val="001C2C06"/>
    <w:rsid w:val="003A0735"/>
    <w:rsid w:val="009F7BBE"/>
    <w:rsid w:val="00E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67F7"/>
  <w15:docId w15:val="{55C9972B-C907-400C-AB63-403220C3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anrope" w:eastAsia="Manrope" w:hAnsi="Manrope" w:cs="Manrope"/>
        <w:color w:val="282B2D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954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Página Para Pacientes: Dra. Marjorie Cordeiro</dc:title>
  <dc:creator>Vértice Carioca</dc:creator>
  <cp:lastModifiedBy>Catia Barbosa Monteiro</cp:lastModifiedBy>
  <cp:revision>3</cp:revision>
  <dcterms:created xsi:type="dcterms:W3CDTF">2026-10-19T14:59:00Z</dcterms:created>
  <dcterms:modified xsi:type="dcterms:W3CDTF">2026-10-19T15:09:00Z</dcterms:modified>
</cp:coreProperties>
</file>