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i w:val="0"/>
          <w:color w:val="000000"/>
          <w:sz w:val="36"/>
        </w:rPr>
        <w:t>EUDIA</w:t>
      </w:r>
      <w:r>
        <w:rPr>
          <w:rFonts w:ascii="Times New Roman" w:hAnsi="Times New Roman"/>
          <w:b w:val="0"/>
          <w:i w:val="0"/>
          <w:color w:val="666666"/>
          <w:sz w:val="18"/>
        </w:rPr>
        <w:t xml:space="preserve">    Pipeline Review  |  February 2026</w:t>
      </w:r>
    </w:p>
    <w:p>
      <w:r>
        <w:rPr>
          <w:rFonts w:ascii="Times New Roman" w:hAnsi="Times New Roman"/>
          <w:b w:val="0"/>
          <w:i/>
          <w:color w:val="999999"/>
          <w:sz w:val="14"/>
        </w:rPr>
        <w:t>Weekly Pipeline Call  |  Internal — Confidential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2F2F2" w:val="clear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line="20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CONTEXT: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15"/>
              </w:rPr>
              <w:t xml:space="preserve">  February revenue is mission critical to support active fundraising. Priority: pull late-stage and near-commit deals into Feb. Demo/product stability remains a risk — stability plan to be presented at Thursday GTM Forum.</w:t>
            </w:r>
          </w:p>
        </w:tc>
      </w:tr>
    </w:tbl>
    <w:p>
      <w:pPr>
        <w:pBdr>
          <w:bottom w:val="single" w:sz="4" w:space="1" w:color="D9D9D9"/>
        </w:pBdr>
      </w:pPr>
      <w:r>
        <w:rPr>
          <w:rFonts w:ascii="Times New Roman" w:hAnsi="Times New Roman"/>
          <w:b/>
          <w:i w:val="0"/>
          <w:color w:val="000000"/>
          <w:sz w:val="18"/>
        </w:rPr>
        <w:t>Olivia Jung  |  Q1 Gut: ~$300k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</w:tblPr>
      <w:tblGrid>
        <w:gridCol w:w="3513"/>
        <w:gridCol w:w="3513"/>
        <w:gridCol w:w="3513"/>
      </w:tblGrid>
      <w:tr>
        <w:tc>
          <w:tcPr>
            <w:tcW w:type="dxa" w:w="216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Account</w:t>
            </w:r>
          </w:p>
        </w:tc>
        <w:tc>
          <w:tcPr>
            <w:tcW w:type="dxa" w:w="504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288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Next Action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Etsy — Condi Exp.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2nd candidate interview Wed; price tension vs. paralegal cost. Feb target, candidate-dependent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Await Wed interview outcome</w:t>
            </w:r>
          </w:p>
        </w:tc>
      </w:tr>
      <w:tr>
        <w:tc>
          <w:tcPr>
            <w:tcW w:type="dxa" w:w="216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TE Connectivity</w:t>
            </w:r>
          </w:p>
        </w:tc>
        <w:tc>
          <w:tcPr>
            <w:tcW w:type="dxa" w:w="504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Proposal under law leadership review. Commercials structured for Feb close; verbal expected soon</w:t>
            </w:r>
          </w:p>
        </w:tc>
        <w:tc>
          <w:tcPr>
            <w:tcW w:type="dxa" w:w="288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Secure verbal; map paper process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Graybar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US–Canada intro not yet made. Budget question; customer failed direct hire for 1 yr. Mar target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Push Matt for Canada intro</w:t>
            </w:r>
          </w:p>
        </w:tc>
      </w:tr>
      <w:tr>
        <w:tc>
          <w:tcPr>
            <w:tcW w:type="dxa" w:w="216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Wellspan</w:t>
            </w:r>
          </w:p>
        </w:tc>
        <w:tc>
          <w:tcPr>
            <w:tcW w:type="dxa" w:w="504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Demo failure forced reschedule; slipped from Feb to Mar pipeline</w:t>
            </w:r>
          </w:p>
        </w:tc>
        <w:tc>
          <w:tcPr>
            <w:tcW w:type="dxa" w:w="288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Reschedule when demo stable</w:t>
            </w:r>
          </w:p>
        </w:tc>
      </w:tr>
    </w:tbl>
    <w:p>
      <w:pPr>
        <w:pBdr>
          <w:bottom w:val="single" w:sz="4" w:space="1" w:color="D9D9D9"/>
        </w:pBdr>
      </w:pPr>
      <w:r>
        <w:rPr>
          <w:rFonts w:ascii="Times New Roman" w:hAnsi="Times New Roman"/>
          <w:b/>
          <w:i w:val="0"/>
          <w:color w:val="000000"/>
          <w:sz w:val="18"/>
        </w:rPr>
        <w:t>Justin  |  Q1 Commit: $120k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</w:tblPr>
      <w:tblGrid>
        <w:gridCol w:w="3513"/>
        <w:gridCol w:w="3513"/>
        <w:gridCol w:w="3513"/>
      </w:tblGrid>
      <w:tr>
        <w:tc>
          <w:tcPr>
            <w:tcW w:type="dxa" w:w="216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Account</w:t>
            </w:r>
          </w:p>
        </w:tc>
        <w:tc>
          <w:tcPr>
            <w:tcW w:type="dxa" w:w="504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288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Next Action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Home Depot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Late stage, Feb deal. Primary contact Jocelyn unresponsive ~1 wk; procurement contact aware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Omar texts Jocelyn now — do not wait</w:t>
            </w:r>
          </w:p>
        </w:tc>
      </w:tr>
      <w:tr>
        <w:tc>
          <w:tcPr>
            <w:tcW w:type="dxa" w:w="216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Novelis</w:t>
            </w:r>
          </w:p>
        </w:tc>
        <w:tc>
          <w:tcPr>
            <w:tcW w:type="dxa" w:w="504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Pricing complete; MSA redline only remaining item. Bernard finishing redlines today</w:t>
            </w:r>
          </w:p>
        </w:tc>
        <w:tc>
          <w:tcPr>
            <w:tcW w:type="dxa" w:w="288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Pin redline date; pre-schedule MSA call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J&amp;J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NDA ready. Vendor approval in progress. Champion A.B. responsive; strategic Q1+ deal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Build champion; leverage backchannel</w:t>
            </w:r>
          </w:p>
        </w:tc>
      </w:tr>
    </w:tbl>
    <w:p>
      <w:pPr>
        <w:pBdr>
          <w:bottom w:val="single" w:sz="4" w:space="1" w:color="D9D9D9"/>
        </w:pBdr>
      </w:pPr>
      <w:r>
        <w:rPr>
          <w:rFonts w:ascii="Times New Roman" w:hAnsi="Times New Roman"/>
          <w:b/>
          <w:i w:val="0"/>
          <w:color w:val="000000"/>
          <w:sz w:val="18"/>
        </w:rPr>
        <w:t>Mike Massellio — Government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</w:tblPr>
      <w:tblGrid>
        <w:gridCol w:w="3513"/>
        <w:gridCol w:w="3513"/>
        <w:gridCol w:w="3513"/>
      </w:tblGrid>
      <w:tr>
        <w:tc>
          <w:tcPr>
            <w:tcW w:type="dxa" w:w="216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Account</w:t>
            </w:r>
          </w:p>
        </w:tc>
        <w:tc>
          <w:tcPr>
            <w:tcW w:type="dxa" w:w="504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288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Next Action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Army Corps of Engineers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Daily engagement. Awaiting interim authority to test (~1 wk). All Eudia deliverables submitted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Await authority decision</w:t>
            </w:r>
          </w:p>
        </w:tc>
      </w:tr>
      <w:tr>
        <w:tc>
          <w:tcPr>
            <w:tcW w:type="dxa" w:w="216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Marines — Quantico</w:t>
            </w:r>
          </w:p>
        </w:tc>
        <w:tc>
          <w:tcPr>
            <w:tcW w:type="dxa" w:w="504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Onsite confirmed Mar 9–12. No current flags. Q1 commit deal</w:t>
            </w:r>
          </w:p>
        </w:tc>
        <w:tc>
          <w:tcPr>
            <w:tcW w:type="dxa" w:w="288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Execute onsite engagement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Space Sys Cmd — TACFI III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Phase III follow-on. Must demonstrate matching funds from internal resources. Q1+ target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Shore up matching funds now</w:t>
            </w:r>
          </w:p>
        </w:tc>
      </w:tr>
    </w:tbl>
    <w:p>
      <w:pPr>
        <w:pBdr>
          <w:bottom w:val="single" w:sz="4" w:space="1" w:color="D9D9D9"/>
        </w:pBdr>
      </w:pPr>
      <w:r>
        <w:rPr>
          <w:rFonts w:ascii="Times New Roman" w:hAnsi="Times New Roman"/>
          <w:b/>
          <w:i w:val="0"/>
          <w:color w:val="000000"/>
          <w:sz w:val="18"/>
        </w:rPr>
        <w:t>Julie Stefanich  |  Feb Focus: Cargill, National Grid, Uber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</w:tblPr>
      <w:tblGrid>
        <w:gridCol w:w="3513"/>
        <w:gridCol w:w="3513"/>
        <w:gridCol w:w="3513"/>
      </w:tblGrid>
      <w:tr>
        <w:tc>
          <w:tcPr>
            <w:tcW w:type="dxa" w:w="216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Account</w:t>
            </w:r>
          </w:p>
        </w:tc>
        <w:tc>
          <w:tcPr>
            <w:tcW w:type="dxa" w:w="504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288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Next Action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Cargill FTE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Complex — ServiceNow + Copilot dependencies. Insights component needs structuring. Major Feb deal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Leadership session on deal structure</w:t>
            </w:r>
          </w:p>
        </w:tc>
      </w:tr>
      <w:tr>
        <w:tc>
          <w:tcPr>
            <w:tcW w:type="dxa" w:w="216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National Grid</w:t>
            </w:r>
          </w:p>
        </w:tc>
        <w:tc>
          <w:tcPr>
            <w:tcW w:type="dxa" w:w="504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Engagement letter reviewed. Contact slow to respond; call scheduled Thu for live walkthrough</w:t>
            </w:r>
          </w:p>
        </w:tc>
        <w:tc>
          <w:tcPr>
            <w:tcW w:type="dxa" w:w="288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Thu call — get signature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Uber — M&amp;A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Scope finalizing; engagement letter going out today. Confident in Feb close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Send engagement letter today</w:t>
            </w:r>
          </w:p>
        </w:tc>
      </w:tr>
      <w:tr>
        <w:tc>
          <w:tcPr>
            <w:tcW w:type="dxa" w:w="216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Schwab</w:t>
            </w:r>
          </w:p>
        </w:tc>
        <w:tc>
          <w:tcPr>
            <w:tcW w:type="dxa" w:w="504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Confidential restructuring; customer pulling timeline fwd. DGC initiated Infosec. Mar target</w:t>
            </w:r>
          </w:p>
        </w:tc>
        <w:tc>
          <w:tcPr>
            <w:tcW w:type="dxa" w:w="288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1:1 with DGC to finalize scope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Wonderful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Likely Q1. Scoping + unique pricing questions in progress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Call with Coleman today</w:t>
            </w:r>
          </w:p>
        </w:tc>
      </w:tr>
    </w:tbl>
    <w:p>
      <w:pPr>
        <w:pBdr>
          <w:bottom w:val="single" w:sz="4" w:space="1" w:color="D9D9D9"/>
        </w:pBdr>
      </w:pPr>
      <w:r>
        <w:rPr>
          <w:rFonts w:ascii="Times New Roman" w:hAnsi="Times New Roman"/>
          <w:b/>
          <w:i w:val="0"/>
          <w:color w:val="000000"/>
          <w:sz w:val="18"/>
        </w:rPr>
        <w:t>Asad  |  Near-Term: Amazon + Asana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</w:tblPr>
      <w:tblGrid>
        <w:gridCol w:w="3513"/>
        <w:gridCol w:w="3513"/>
        <w:gridCol w:w="3513"/>
      </w:tblGrid>
      <w:tr>
        <w:tc>
          <w:tcPr>
            <w:tcW w:type="dxa" w:w="216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Account</w:t>
            </w:r>
          </w:p>
        </w:tc>
        <w:tc>
          <w:tcPr>
            <w:tcW w:type="dxa" w:w="504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2880"/>
            <w:shd w:fill="333333" w:val="clear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FFFFFF"/>
                <w:sz w:val="14"/>
              </w:rPr>
              <w:t>Next Action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Amazon — Mktg Compliance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90-day pilot starting Wed. Last-minute scope item being finalized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Resolve scope; begin pilot Wed</w:t>
            </w:r>
          </w:p>
        </w:tc>
      </w:tr>
      <w:tr>
        <w:tc>
          <w:tcPr>
            <w:tcW w:type="dxa" w:w="216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Asana — Expansion</w:t>
            </w:r>
          </w:p>
        </w:tc>
        <w:tc>
          <w:tcPr>
            <w:tcW w:type="dxa" w:w="504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Extension proposed; current agreement expires 13th. POC departing but desire to continue confirmed</w:t>
            </w:r>
          </w:p>
        </w:tc>
        <w:tc>
          <w:tcPr>
            <w:tcW w:type="dxa" w:w="288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Final meeting; move to commit</w:t>
            </w:r>
          </w:p>
        </w:tc>
      </w:tr>
      <w:tr>
        <w:tc>
          <w:tcPr>
            <w:tcW w:type="dxa" w:w="216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Floor — Contract Review</w:t>
            </w:r>
          </w:p>
        </w:tc>
        <w:tc>
          <w:tcPr>
            <w:tcW w:type="dxa" w:w="504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CPO verbal agreement. Free POV tied to LOI commitment. Pushing for LOI before work begins</w:t>
            </w:r>
          </w:p>
        </w:tc>
        <w:tc>
          <w:tcPr>
            <w:tcW w:type="dxa" w:w="2880"/>
            <w:shd w:fill="F2F2F2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Get LOI signed before POV</w:t>
            </w:r>
          </w:p>
        </w:tc>
      </w:tr>
      <w:tr>
        <w:tc>
          <w:tcPr>
            <w:tcW w:type="dxa" w:w="216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Coherent</w:t>
            </w:r>
          </w:p>
        </w:tc>
        <w:tc>
          <w:tcPr>
            <w:tcW w:type="dxa" w:w="504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Internal coordination issues at customer. Scoping session not yet held. Q1 target</w:t>
            </w:r>
          </w:p>
        </w:tc>
        <w:tc>
          <w:tcPr>
            <w:tcW w:type="dxa" w:w="2880"/>
            <w:shd w:fill="FFFFFF" w:val="clear"/>
            <w:tcMar>
              <w:top w:w="8" w:type="dxa"/>
              <w:bottom w:w="8" w:type="dxa"/>
              <w:left w:w="40" w:type="dxa"/>
              <w:right w:w="40" w:type="dxa"/>
            </w:tcMar>
          </w:tcPr>
          <w:p>
            <w:pPr>
              <w:spacing w:line="180" w:lineRule="exact"/>
            </w:pPr>
            <w:r>
              <w:rPr>
                <w:rFonts w:ascii="Times New Roman" w:hAnsi="Times New Roman"/>
                <w:b w:val="0"/>
                <w:i w:val="0"/>
                <w:color w:val="1A1A1A"/>
                <w:sz w:val="14"/>
              </w:rPr>
              <w:t>Hold scoping session in 1–2 wks</w:t>
            </w:r>
          </w:p>
        </w:tc>
      </w:tr>
    </w:tbl>
    <w:p>
      <w:pPr>
        <w:pBdr>
          <w:bottom w:val="single" w:sz="4" w:space="1" w:color="D9D9D9"/>
        </w:pBdr>
      </w:pPr>
      <w:r>
        <w:rPr>
          <w:rFonts w:ascii="Times New Roman" w:hAnsi="Times New Roman"/>
          <w:b/>
          <w:i w:val="0"/>
          <w:color w:val="000000"/>
          <w:sz w:val="17"/>
        </w:rPr>
        <w:t>FEBRUARY REVENUE — PRIORITY ACTIONS</w:t>
      </w:r>
    </w:p>
    <w:p>
      <w:pPr>
        <w:spacing w:line="190" w:lineRule="exact"/>
        <w:ind w:left="216"/>
      </w:pPr>
      <w:r>
        <w:rPr>
          <w:rFonts w:ascii="Times New Roman" w:hAnsi="Times New Roman"/>
          <w:b/>
          <w:i w:val="0"/>
          <w:color w:val="000000"/>
          <w:sz w:val="15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15"/>
        </w:rPr>
        <w:t>Home Depot:</w:t>
      </w:r>
      <w:r>
        <w:rPr>
          <w:rFonts w:ascii="Times New Roman" w:hAnsi="Times New Roman"/>
          <w:b w:val="0"/>
          <w:i w:val="0"/>
          <w:color w:val="1A1A1A"/>
          <w:sz w:val="15"/>
        </w:rPr>
        <w:t xml:space="preserve"> Omar texts Jocelyn now — do not wait  [Omar / Justin]  Immediate</w:t>
      </w:r>
    </w:p>
    <w:p>
      <w:pPr>
        <w:spacing w:line="190" w:lineRule="exact"/>
        <w:ind w:left="216"/>
      </w:pPr>
      <w:r>
        <w:rPr>
          <w:rFonts w:ascii="Times New Roman" w:hAnsi="Times New Roman"/>
          <w:b/>
          <w:i w:val="0"/>
          <w:color w:val="000000"/>
          <w:sz w:val="15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15"/>
        </w:rPr>
        <w:t>Novelis:</w:t>
      </w:r>
      <w:r>
        <w:rPr>
          <w:rFonts w:ascii="Times New Roman" w:hAnsi="Times New Roman"/>
          <w:b w:val="0"/>
          <w:i w:val="0"/>
          <w:color w:val="1A1A1A"/>
          <w:sz w:val="15"/>
        </w:rPr>
        <w:t xml:space="preserve"> Pin MSA redline date; pre-schedule procurement call  [Justin]  This week</w:t>
      </w:r>
    </w:p>
    <w:p>
      <w:pPr>
        <w:spacing w:line="190" w:lineRule="exact"/>
        <w:ind w:left="216"/>
      </w:pPr>
      <w:r>
        <w:rPr>
          <w:rFonts w:ascii="Times New Roman" w:hAnsi="Times New Roman"/>
          <w:b/>
          <w:i w:val="0"/>
          <w:color w:val="000000"/>
          <w:sz w:val="15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15"/>
        </w:rPr>
        <w:t>TE Connectivity:</w:t>
      </w:r>
      <w:r>
        <w:rPr>
          <w:rFonts w:ascii="Times New Roman" w:hAnsi="Times New Roman"/>
          <w:b w:val="0"/>
          <w:i w:val="0"/>
          <w:color w:val="1A1A1A"/>
          <w:sz w:val="15"/>
        </w:rPr>
        <w:t xml:space="preserve"> Secure verbal + map full paper process  [Olivia]  This week</w:t>
      </w:r>
    </w:p>
    <w:p>
      <w:pPr>
        <w:spacing w:line="190" w:lineRule="exact"/>
        <w:ind w:left="216"/>
      </w:pPr>
      <w:r>
        <w:rPr>
          <w:rFonts w:ascii="Times New Roman" w:hAnsi="Times New Roman"/>
          <w:b/>
          <w:i w:val="0"/>
          <w:color w:val="000000"/>
          <w:sz w:val="15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15"/>
        </w:rPr>
        <w:t>Etsy:</w:t>
      </w:r>
      <w:r>
        <w:rPr>
          <w:rFonts w:ascii="Times New Roman" w:hAnsi="Times New Roman"/>
          <w:b w:val="0"/>
          <w:i w:val="0"/>
          <w:color w:val="1A1A1A"/>
          <w:sz w:val="15"/>
        </w:rPr>
        <w:t xml:space="preserve"> Candidate interview outcome  [Olivia]  Wed</w:t>
      </w:r>
    </w:p>
    <w:p>
      <w:pPr>
        <w:spacing w:line="190" w:lineRule="exact"/>
        <w:ind w:left="216"/>
      </w:pPr>
      <w:r>
        <w:rPr>
          <w:rFonts w:ascii="Times New Roman" w:hAnsi="Times New Roman"/>
          <w:b/>
          <w:i w:val="0"/>
          <w:color w:val="000000"/>
          <w:sz w:val="15"/>
        </w:rPr>
        <w:t xml:space="preserve">5. </w:t>
      </w:r>
      <w:r>
        <w:rPr>
          <w:rFonts w:ascii="Times New Roman" w:hAnsi="Times New Roman"/>
          <w:b/>
          <w:i w:val="0"/>
          <w:color w:val="000000"/>
          <w:sz w:val="15"/>
        </w:rPr>
        <w:t>National Grid:</w:t>
      </w:r>
      <w:r>
        <w:rPr>
          <w:rFonts w:ascii="Times New Roman" w:hAnsi="Times New Roman"/>
          <w:b w:val="0"/>
          <w:i w:val="0"/>
          <w:color w:val="1A1A1A"/>
          <w:sz w:val="15"/>
        </w:rPr>
        <w:t xml:space="preserve"> Engagement letter walkthrough for signature  [Julie]  Thu</w:t>
      </w:r>
    </w:p>
    <w:p>
      <w:pPr>
        <w:spacing w:line="190" w:lineRule="exact"/>
        <w:ind w:left="216"/>
      </w:pPr>
      <w:r>
        <w:rPr>
          <w:rFonts w:ascii="Times New Roman" w:hAnsi="Times New Roman"/>
          <w:b/>
          <w:i w:val="0"/>
          <w:color w:val="000000"/>
          <w:sz w:val="15"/>
        </w:rPr>
        <w:t xml:space="preserve">6. </w:t>
      </w:r>
      <w:r>
        <w:rPr>
          <w:rFonts w:ascii="Times New Roman" w:hAnsi="Times New Roman"/>
          <w:b/>
          <w:i w:val="0"/>
          <w:color w:val="000000"/>
          <w:sz w:val="15"/>
        </w:rPr>
        <w:t>Uber:</w:t>
      </w:r>
      <w:r>
        <w:rPr>
          <w:rFonts w:ascii="Times New Roman" w:hAnsi="Times New Roman"/>
          <w:b w:val="0"/>
          <w:i w:val="0"/>
          <w:color w:val="1A1A1A"/>
          <w:sz w:val="15"/>
        </w:rPr>
        <w:t xml:space="preserve"> Send updated engagement letter  [Julie]  Today</w:t>
      </w:r>
    </w:p>
    <w:p>
      <w:pPr>
        <w:spacing w:line="190" w:lineRule="exact"/>
        <w:ind w:left="216"/>
      </w:pPr>
      <w:r>
        <w:rPr>
          <w:rFonts w:ascii="Times New Roman" w:hAnsi="Times New Roman"/>
          <w:b/>
          <w:i w:val="0"/>
          <w:color w:val="000000"/>
          <w:sz w:val="15"/>
        </w:rPr>
        <w:t xml:space="preserve">7. </w:t>
      </w:r>
      <w:r>
        <w:rPr>
          <w:rFonts w:ascii="Times New Roman" w:hAnsi="Times New Roman"/>
          <w:b/>
          <w:i w:val="0"/>
          <w:color w:val="000000"/>
          <w:sz w:val="15"/>
        </w:rPr>
        <w:t>Asana:</w:t>
      </w:r>
      <w:r>
        <w:rPr>
          <w:rFonts w:ascii="Times New Roman" w:hAnsi="Times New Roman"/>
          <w:b w:val="0"/>
          <w:i w:val="0"/>
          <w:color w:val="1A1A1A"/>
          <w:sz w:val="15"/>
        </w:rPr>
        <w:t xml:space="preserve"> Final meeting; move to commit  [Asad]  This week</w:t>
      </w:r>
    </w:p>
    <w:p>
      <w:pPr>
        <w:spacing w:line="190" w:lineRule="exact"/>
        <w:ind w:left="216"/>
      </w:pPr>
      <w:r>
        <w:rPr>
          <w:rFonts w:ascii="Times New Roman" w:hAnsi="Times New Roman"/>
          <w:b/>
          <w:i w:val="0"/>
          <w:color w:val="000000"/>
          <w:sz w:val="15"/>
        </w:rPr>
        <w:t xml:space="preserve">8. </w:t>
      </w:r>
      <w:r>
        <w:rPr>
          <w:rFonts w:ascii="Times New Roman" w:hAnsi="Times New Roman"/>
          <w:b/>
          <w:i w:val="0"/>
          <w:color w:val="000000"/>
          <w:sz w:val="15"/>
        </w:rPr>
        <w:t>Amazon:</w:t>
      </w:r>
      <w:r>
        <w:rPr>
          <w:rFonts w:ascii="Times New Roman" w:hAnsi="Times New Roman"/>
          <w:b w:val="0"/>
          <w:i w:val="0"/>
          <w:color w:val="1A1A1A"/>
          <w:sz w:val="15"/>
        </w:rPr>
        <w:t xml:space="preserve"> Resolve scope; begin pilot  [Asad]  Wed</w:t>
      </w:r>
    </w:p>
    <w:p>
      <w:r>
        <w:rPr>
          <w:rFonts w:ascii="Times New Roman" w:hAnsi="Times New Roman"/>
          <w:b/>
          <w:i w:val="0"/>
          <w:color w:val="000000"/>
          <w:sz w:val="16"/>
        </w:rPr>
        <w:t>GROWTH MOTION</w:t>
      </w:r>
    </w:p>
    <w:p>
      <w:pPr>
        <w:spacing w:line="190" w:lineRule="exact"/>
      </w:pPr>
      <w:r>
        <w:rPr>
          <w:rFonts w:ascii="Times New Roman" w:hAnsi="Times New Roman"/>
          <w:b w:val="0"/>
          <w:i w:val="0"/>
          <w:color w:val="1A1A1A"/>
          <w:sz w:val="14"/>
        </w:rPr>
        <w:t>Mid-market outbound live: 350 accounts via email + LinkedIn, adding 100–150/wk. Focus: pharma + D2C in regulated industries (&lt;$2B rev). Buyer profile: CMO + CLO, 5–10 users. Expected: 2–3 wks to intro calls, ~60 days to close.</w:t>
      </w:r>
    </w:p>
    <w:p>
      <w:pPr>
        <w:jc w:val="center"/>
      </w:pPr>
      <w:r>
        <w:rPr>
          <w:rFonts w:ascii="Times New Roman" w:hAnsi="Times New Roman"/>
          <w:b w:val="0"/>
          <w:i/>
          <w:color w:val="AAAAAA"/>
          <w:sz w:val="13"/>
        </w:rPr>
        <w:t>Prepared from weekly pipeline review. Figures reflect verbal/working estimates — not finalized commitments.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1A1A1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1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