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MINNESOTA COMPANIES — LEGAL LEADERSHIP RESEARCH</w:t>
      </w:r>
    </w:p>
    <w:p>
      <w:pPr>
        <w:pStyle w:val="BodyText"/>
      </w:pPr>
      <w:r>
        <w:t xml:space="preserve">BEST BUY</w:t>
      </w:r>
    </w:p>
    <w:p>
      <w:pPr>
        <w:pStyle w:val="BodyText"/>
      </w:pPr>
      <w:r>
        <w:t xml:space="preserve">CLO: Todd Hartman (EVP, Chief Legal &amp; Risk Officer)</w:t>
      </w:r>
      <w:r>
        <w:t xml:space="preserve"> </w:t>
      </w:r>
      <w:r>
        <w:t xml:space="preserve">Reports to: CEO Corie Barry</w:t>
      </w:r>
      <w:r>
        <w:t xml:space="preserve"> </w:t>
      </w:r>
      <w:r>
        <w:t xml:space="preserve">Industry: Consumer Electronics Retail</w:t>
      </w:r>
      <w:r>
        <w:t xml:space="preserve"> </w:t>
      </w:r>
      <w:r>
        <w:t xml:space="preserve">Revenue: $41.5B (FY2025)</w:t>
      </w:r>
      <w:r>
        <w:t xml:space="preserve"> </w:t>
      </w:r>
      <w:r>
        <w:t xml:space="preserve">Employees: ~90,000</w:t>
      </w:r>
    </w:p>
    <w:p>
      <w:pPr>
        <w:pStyle w:val="BodyText"/>
      </w:pPr>
      <w:r>
        <w:t xml:space="preserve">Why Now:</w:t>
      </w:r>
      <w:r>
        <w:t xml:space="preserve"> </w:t>
      </w:r>
      <w:r>
        <w:t xml:space="preserve">Q4 FY25 results show +0.5% comparable sales; FY26 EPS guidance $6.20-$6.60. Store footprint optimization ongoing with ~20 store closures planned. Major AI investments in customer service automation (virtual assistants), in-store tech consultations, and predictive inventory. Geek Squad AI diagnostic tools rollout (2025). Membership program</w:t>
      </w:r>
      <w:r>
        <w:t xml:space="preserve"> </w:t>
      </w:r>
      <w:r>
        <w:t xml:space="preserve">“My Best Buy”</w:t>
      </w:r>
      <w:r>
        <w:t xml:space="preserve"> </w:t>
      </w:r>
      <w:r>
        <w:t xml:space="preserve">restructured (2025) requiring new terms/conditions and privacy policy updates across 1,000+ stores. Supply chain vendor contracts renegotiation amid tariff uncertainty (China, Mexico imports).</w:t>
      </w:r>
    </w:p>
    <w:p>
      <w:pPr>
        <w:pStyle w:val="BodyText"/>
      </w:pPr>
      <w:r>
        <w:t xml:space="preserve">Potential Pain Points:</w:t>
      </w:r>
      <w:r>
        <w:t xml:space="preserve"> </w:t>
      </w:r>
      <w:r>
        <w:t xml:space="preserve">High-volume vendor/supplier contracts (thousands of SKUs, import agreements). Employment law (90K employees, unionization pressure, retail scheduling compliance). Consumer protection/warranty litigation. Data privacy (customer purchase history, Geek Squad service data). AI governance for customer-facing tools.</w:t>
      </w:r>
    </w:p>
    <w:p>
      <w:pPr>
        <w:pStyle w:val="BodyText"/>
      </w:pPr>
      <w:r>
        <w:t xml:space="preserve">Structure &amp; Reporting:</w:t>
      </w:r>
      <w:r>
        <w:t xml:space="preserve"> </w:t>
      </w:r>
      <w:r>
        <w:t xml:space="preserve">CLO Todd Hartman oversees Legal, Risk, Government Affairs, and Compliance. Legal Operations function handles contract lifecycle management. No publicly announced legal AI vendors.</w:t>
      </w:r>
    </w:p>
    <w:p>
      <w:pPr>
        <w:pStyle w:val="BodyText"/>
      </w:pPr>
      <w:r>
        <w:t xml:space="preserve">Source: https://corporate.bestbuy.com/our-leadership/todd-hartman/</w:t>
      </w:r>
    </w:p>
    <w:p>
      <w:pPr>
        <w:pStyle w:val="BodyText"/>
      </w:pPr>
      <w:r>
        <w:t xml:space="preserve">————————————————————————————————————————</w:t>
      </w:r>
    </w:p>
    <w:p>
      <w:pPr>
        <w:pStyle w:val="BodyText"/>
      </w:pPr>
      <w:r>
        <w:t xml:space="preserve">CHS INC.</w:t>
      </w:r>
    </w:p>
    <w:p>
      <w:pPr>
        <w:pStyle w:val="BodyText"/>
      </w:pPr>
      <w:r>
        <w:t xml:space="preserve">CLO: Brandon Smith (EVP &amp; General Counsel)</w:t>
      </w:r>
      <w:r>
        <w:t xml:space="preserve"> </w:t>
      </w:r>
      <w:r>
        <w:t xml:space="preserve">Reports to: CEO Jay Debertin</w:t>
      </w:r>
      <w:r>
        <w:t xml:space="preserve"> </w:t>
      </w:r>
      <w:r>
        <w:t xml:space="preserve">Industry: Agricultural Cooperative</w:t>
      </w:r>
      <w:r>
        <w:t xml:space="preserve"> </w:t>
      </w:r>
      <w:r>
        <w:t xml:space="preserve">Revenue: ~$47B</w:t>
      </w:r>
      <w:r>
        <w:t xml:space="preserve"> </w:t>
      </w:r>
      <w:r>
        <w:t xml:space="preserve">Employees: ~10,000</w:t>
      </w:r>
    </w:p>
    <w:p>
      <w:pPr>
        <w:pStyle w:val="BodyText"/>
      </w:pPr>
      <w:r>
        <w:t xml:space="preserve">Why Now:</w:t>
      </w:r>
      <w:r>
        <w:t xml:space="preserve"> </w:t>
      </w:r>
      <w:r>
        <w:t xml:space="preserve">Farmer-owned cooperative structure creates unique governance complexity (1,000+ member cooperatives). Renewable energy investments: Ethanol plants, biodiesel expansion requiring energy regulatory compliance. Supply chain digitization initiatives requiring vendor technology agreements. Nitrogen fertilizer production expansion at Nitrogen Production LLC joint venture.</w:t>
      </w:r>
    </w:p>
    <w:p>
      <w:pPr>
        <w:pStyle w:val="BodyText"/>
      </w:pPr>
      <w:r>
        <w:t xml:space="preserve">Potential Pain Points:</w:t>
      </w:r>
      <w:r>
        <w:t xml:space="preserve"> </w:t>
      </w:r>
      <w:r>
        <w:t xml:space="preserve">Cooperative governance (member agreements, patronage distributions). Energy/environmental regulatory compliance. Commodity trading contracts. Joint venture management. Agricultural lending and financing agreements.</w:t>
      </w:r>
    </w:p>
    <w:p>
      <w:pPr>
        <w:pStyle w:val="BodyText"/>
      </w:pPr>
      <w:r>
        <w:t xml:space="preserve">Structure &amp; Reporting:</w:t>
      </w:r>
      <w:r>
        <w:t xml:space="preserve"> </w:t>
      </w:r>
      <w:r>
        <w:t xml:space="preserve">GC Brandon Smith oversees Legal, Government Affairs, and Corporate Secretary functions. Manages regulatory affairs for energy subsidiaries.</w:t>
      </w:r>
    </w:p>
    <w:p>
      <w:pPr>
        <w:pStyle w:val="BodyText"/>
      </w:pPr>
      <w:r>
        <w:t xml:space="preserve">Source: https://www.chsinc.com</w:t>
      </w:r>
    </w:p>
    <w:p>
      <w:pPr>
        <w:pStyle w:val="BodyText"/>
      </w:pPr>
      <w:r>
        <w:t xml:space="preserve">————————————————————————————————————————</w:t>
      </w:r>
    </w:p>
    <w:p>
      <w:pPr>
        <w:pStyle w:val="BodyText"/>
      </w:pPr>
      <w:r>
        <w:t xml:space="preserve">ECOLAB</w:t>
      </w:r>
    </w:p>
    <w:p>
      <w:pPr>
        <w:pStyle w:val="BodyText"/>
      </w:pPr>
      <w:r>
        <w:t xml:space="preserve">Contact: Jandeen Boone (VP &amp; Associate GC)</w:t>
      </w:r>
      <w:r>
        <w:t xml:space="preserve"> </w:t>
      </w:r>
      <w:r>
        <w:t xml:space="preserve">Industry: Water/Hygiene/Infection Prevention</w:t>
      </w:r>
      <w:r>
        <w:t xml:space="preserve"> </w:t>
      </w:r>
      <w:r>
        <w:t xml:space="preserve">Revenue: ~$16B</w:t>
      </w:r>
      <w:r>
        <w:t xml:space="preserve"> </w:t>
      </w:r>
      <w:r>
        <w:t xml:space="preserve">Employees: ~48,000</w:t>
      </w:r>
    </w:p>
    <w:p>
      <w:pPr>
        <w:pStyle w:val="BodyText"/>
      </w:pPr>
      <w:r>
        <w:t xml:space="preserve">Why Now:</w:t>
      </w:r>
      <w:r>
        <w:t xml:space="preserve"> </w:t>
      </w:r>
      <w:r>
        <w:t xml:space="preserve">Major sustainability push: Water stewardship programs, carbon neutrality commitments. Healthcare segment growth post-COVID (infection prevention products). Digital platform expansion (Ecolab3D) for water/energy analytics requiring SaaS contracts and data governance. Acquisition of Purolite (ion exchange resins, 2021) integration ongoing. Chemical product liability exposure across food/beverage, healthcare, hospitality.</w:t>
      </w:r>
    </w:p>
    <w:p>
      <w:pPr>
        <w:pStyle w:val="BodyText"/>
      </w:pPr>
      <w:r>
        <w:t xml:space="preserve">Potential Pain Points:</w:t>
      </w:r>
      <w:r>
        <w:t xml:space="preserve"> </w:t>
      </w:r>
      <w:r>
        <w:t xml:space="preserve">Product liability (chemical products, healthcare applications). Environmental/regulatory compliance (EPA, global chemical regulations). SaaS/technology contracts for digital platforms. International operations (170+ countries). Sustainability/ESG reporting requirements. M&amp;A integration.</w:t>
      </w:r>
    </w:p>
    <w:p>
      <w:pPr>
        <w:pStyle w:val="BodyText"/>
      </w:pPr>
      <w:r>
        <w:t xml:space="preserve">Structure &amp; Reporting:</w:t>
      </w:r>
      <w:r>
        <w:t xml:space="preserve"> </w:t>
      </w:r>
      <w:r>
        <w:t xml:space="preserve">Legal function includes specialized teams for IP/patents, regulatory, commercial contracts, and employment. Associate GC roles handle regional and practice-area specialization.</w:t>
      </w:r>
    </w:p>
    <w:p>
      <w:pPr>
        <w:pStyle w:val="BodyText"/>
      </w:pPr>
      <w:r>
        <w:t xml:space="preserve">Source: https://www.ecolab.com</w:t>
      </w:r>
    </w:p>
    <w:p>
      <w:pPr>
        <w:pStyle w:val="BodyText"/>
      </w:pPr>
      <w:r>
        <w:t xml:space="preserve">————————————————————————————————————————</w:t>
      </w:r>
    </w:p>
    <w:p>
      <w:pPr>
        <w:pStyle w:val="BodyText"/>
      </w:pPr>
      <w:r>
        <w:t xml:space="preserve">MAYO CLINIC</w:t>
      </w:r>
    </w:p>
    <w:p>
      <w:pPr>
        <w:pStyle w:val="BodyText"/>
      </w:pPr>
      <w:r>
        <w:t xml:space="preserve">CLO: Sally Anne Brown (Chief Legal Officer)</w:t>
      </w:r>
      <w:r>
        <w:t xml:space="preserve"> </w:t>
      </w:r>
      <w:r>
        <w:t xml:space="preserve">Reports to: CEO Gianrico Farrugia, MD</w:t>
      </w:r>
      <w:r>
        <w:t xml:space="preserve"> </w:t>
      </w:r>
      <w:r>
        <w:t xml:space="preserve">Industry: Healthcare/Nonprofit</w:t>
      </w:r>
      <w:r>
        <w:t xml:space="preserve"> </w:t>
      </w:r>
      <w:r>
        <w:t xml:space="preserve">Revenue: ~$17B</w:t>
      </w:r>
      <w:r>
        <w:t xml:space="preserve"> </w:t>
      </w:r>
      <w:r>
        <w:t xml:space="preserve">Employees: ~76,000</w:t>
      </w:r>
    </w:p>
    <w:p>
      <w:pPr>
        <w:pStyle w:val="BodyText"/>
      </w:pPr>
      <w:r>
        <w:t xml:space="preserve">Why Now:</w:t>
      </w:r>
      <w:r>
        <w:t xml:space="preserve"> </w:t>
      </w:r>
      <w:r>
        <w:t xml:space="preserve">Massive AI investment: Partnerships with Google Cloud (clinical AI, 2024), Microsoft (ambient clinical intelligence). Epic EHR system-wide.</w:t>
      </w:r>
      <w:r>
        <w:t xml:space="preserve"> </w:t>
      </w:r>
      <w:r>
        <w:t xml:space="preserve">“Destination medicine”</w:t>
      </w:r>
      <w:r>
        <w:t xml:space="preserve"> </w:t>
      </w:r>
      <w:r>
        <w:t xml:space="preserve">model expansion: New facilities in London, Abu Dhabi requiring international licensing/credentialing. Mayo Clinic Platform launched (data licensing/research partnerships) creating novel IP/data governance needs. Physician employment model shift (acquiring community practices) requiring complex employment transitions.</w:t>
      </w:r>
    </w:p>
    <w:p>
      <w:pPr>
        <w:pStyle w:val="BodyText"/>
      </w:pPr>
      <w:r>
        <w:t xml:space="preserve">Potential Pain Points:</w:t>
      </w:r>
      <w:r>
        <w:t xml:space="preserve"> </w:t>
      </w:r>
      <w:r>
        <w:t xml:space="preserve">Medical malpractice defense (high-acuity destination medicine). AI/ML governance in clinical settings (FDA, liability frameworks). Data licensing agreements for Mayo Platform. International healthcare regulations (UK, UAE expansion). Physician contracts and employment law. Research compliance (NIH grants, clinical trials). HIPAA/privacy across 1M+ patient encounters annually.</w:t>
      </w:r>
    </w:p>
    <w:p>
      <w:pPr>
        <w:pStyle w:val="BodyText"/>
      </w:pPr>
      <w:r>
        <w:t xml:space="preserve">Structure &amp; Reporting:</w:t>
      </w:r>
      <w:r>
        <w:t xml:space="preserve"> </w:t>
      </w:r>
      <w:r>
        <w:t xml:space="preserve">CLO Sally Anne Brown leads legal team with specialized counsel for healthcare operations, research/IP, transactions, and employment. Risk Management and Compliance functions coordinate closely.</w:t>
      </w:r>
    </w:p>
    <w:p>
      <w:pPr>
        <w:pStyle w:val="BodyText"/>
      </w:pPr>
      <w:r>
        <w:t xml:space="preserve">Source: https://www.mayoclinic.org</w:t>
      </w:r>
    </w:p>
    <w:p>
      <w:pPr>
        <w:pStyle w:val="BodyText"/>
      </w:pPr>
      <w:r>
        <w:t xml:space="preserve">————————————————————————————————————————</w:t>
      </w:r>
    </w:p>
    <w:p>
      <w:pPr>
        <w:pStyle w:val="BodyText"/>
      </w:pPr>
      <w:r>
        <w:t xml:space="preserve">STAR TRIBUNE</w:t>
      </w:r>
    </w:p>
    <w:p>
      <w:pPr>
        <w:pStyle w:val="BodyText"/>
      </w:pPr>
      <w:r>
        <w:t xml:space="preserve">CLO: Emily Peterson (VP, General Counsel) — Appointed Aug 2025</w:t>
      </w:r>
      <w:r>
        <w:t xml:space="preserve"> </w:t>
      </w:r>
      <w:r>
        <w:t xml:space="preserve">Reports to: CEO/Publisher Steve Grove</w:t>
      </w:r>
      <w:r>
        <w:t xml:space="preserve"> </w:t>
      </w:r>
      <w:r>
        <w:t xml:space="preserve">Industry: Media/Publishing</w:t>
      </w:r>
      <w:r>
        <w:t xml:space="preserve"> </w:t>
      </w:r>
      <w:r>
        <w:t xml:space="preserve">Revenue: ~$200M (estimated)</w:t>
      </w:r>
      <w:r>
        <w:t xml:space="preserve"> </w:t>
      </w:r>
      <w:r>
        <w:t xml:space="preserve">Background: Former AUSA (Dec 2022 - Aug 2025); Jones Day (Labor &amp; Employment)</w:t>
      </w:r>
    </w:p>
    <w:p>
      <w:pPr>
        <w:pStyle w:val="BodyText"/>
      </w:pPr>
      <w:r>
        <w:t xml:space="preserve">Why Now:</w:t>
      </w:r>
      <w:r>
        <w:t xml:space="preserve"> </w:t>
      </w:r>
      <w:r>
        <w:t xml:space="preserve">New GC (Aug 2025) after 30-year predecessor Randy Lebedoff retired. Sued Minneapolis Police Department over public records access (Dec 2025). Digital transformation ongoing: Subscription model, digital-first newsroom requiring content licensing, syndication agreements. Key newsroom leadership hires announced (Jan 2026). 157-year legacy; 7 Pulitzer Prizes; Midwest’s largest news organization.</w:t>
      </w:r>
    </w:p>
    <w:p>
      <w:pPr>
        <w:pStyle w:val="BodyText"/>
      </w:pPr>
      <w:r>
        <w:t xml:space="preserve">Potential Pain Points:</w:t>
      </w:r>
      <w:r>
        <w:t xml:space="preserve"> </w:t>
      </w:r>
      <w:r>
        <w:t xml:space="preserve">First Amendment/public records litigation. Defamation/libel defense. Digital content licensing and syndication contracts. Employment law (newsroom restructuring). Data privacy (subscriber data, digital tracking).</w:t>
      </w:r>
    </w:p>
    <w:p>
      <w:pPr>
        <w:pStyle w:val="BodyText"/>
      </w:pPr>
      <w:r>
        <w:t xml:space="preserve">Structure &amp; Reporting:</w:t>
      </w:r>
      <w:r>
        <w:t xml:space="preserve"> </w:t>
      </w:r>
      <w:r>
        <w:t xml:space="preserve">New GC Emily Peterson brings federal litigation experience. Lean legal team typical of regional media; likely outside counsel heavy for specialized matters.</w:t>
      </w:r>
    </w:p>
    <w:p>
      <w:pPr>
        <w:pStyle w:val="BodyText"/>
      </w:pPr>
      <w:r>
        <w:t xml:space="preserve">Source: https://www.newspapers.org/stories/randy-lebedoff-svp-and-general-counsel-for-the-minnesota-star-tribune-retires-after-30-year,4165770</w:t>
      </w:r>
    </w:p>
    <w:p>
      <w:pPr>
        <w:pStyle w:val="BodyText"/>
      </w:pPr>
      <w:r>
        <w:t xml:space="preserve">————————————————————————————————————————</w:t>
      </w:r>
    </w:p>
    <w:p>
      <w:pPr>
        <w:pStyle w:val="BodyText"/>
      </w:pPr>
      <w:r>
        <w:t xml:space="preserve">UNIVERSITY OF MINNESOTA</w:t>
      </w:r>
    </w:p>
    <w:p>
      <w:pPr>
        <w:pStyle w:val="BodyText"/>
      </w:pPr>
      <w:r>
        <w:t xml:space="preserve">General Counsel: Douglas R. Peterson</w:t>
      </w:r>
      <w:r>
        <w:t xml:space="preserve"> </w:t>
      </w:r>
      <w:r>
        <w:t xml:space="preserve">Deputy GC: Brian J. Slovut</w:t>
      </w:r>
      <w:r>
        <w:t xml:space="preserve"> </w:t>
      </w:r>
      <w:r>
        <w:t xml:space="preserve">Industry: Higher Education/Research</w:t>
      </w:r>
      <w:r>
        <w:t xml:space="preserve"> </w:t>
      </w:r>
      <w:r>
        <w:t xml:space="preserve">Operating Budget: ~$3.5B</w:t>
      </w:r>
      <w:r>
        <w:t xml:space="preserve"> </w:t>
      </w:r>
      <w:r>
        <w:t xml:space="preserve">Employees: ~25,000</w:t>
      </w:r>
    </w:p>
    <w:p>
      <w:pPr>
        <w:pStyle w:val="BodyText"/>
      </w:pPr>
      <w:r>
        <w:t xml:space="preserve">Why Now:</w:t>
      </w:r>
      <w:r>
        <w:t xml:space="preserve"> </w:t>
      </w:r>
      <w:r>
        <w:t xml:space="preserve">Complex research university with major medical school (UMN Medical Center). OGC 2025 Annual Report published; supervises Athletic Compliance, Data Access &amp; Privacy, Clery Compliance. Research contract complexity (NIH, DoD, industry partnerships) with IP/tech transfer needs. Title IX compliance and athletics governance (Big Ten Conference).</w:t>
      </w:r>
    </w:p>
    <w:p>
      <w:pPr>
        <w:pStyle w:val="BodyText"/>
      </w:pPr>
      <w:r>
        <w:t xml:space="preserve">Potential Pain Points:</w:t>
      </w:r>
      <w:r>
        <w:t xml:space="preserve"> </w:t>
      </w:r>
      <w:r>
        <w:t xml:space="preserve">Research contracts and IP/tech transfer at scale. Title IX compliance and student affairs litigation. NCAA/Big Ten athletics governance. Healthcare operations (academic medical center). Employment law (25K employees, faculty tenure). Data privacy (FERPA, research data governance).</w:t>
      </w:r>
    </w:p>
    <w:p>
      <w:pPr>
        <w:pStyle w:val="BodyText"/>
      </w:pPr>
      <w:r>
        <w:t xml:space="preserve">Structure &amp; Reporting:</w:t>
      </w:r>
      <w:r>
        <w:t xml:space="preserve"> </w:t>
      </w:r>
      <w:r>
        <w:t xml:space="preserve">OGC includes Director of Transactions (Elizabeth Lim), Academic Health Sciences Counsel (Jennifer Lohse), 12+ specialized attorneys. Located at McNamara Alumni Center.</w:t>
      </w:r>
    </w:p>
    <w:p>
      <w:pPr>
        <w:pStyle w:val="BodyText"/>
      </w:pPr>
      <w:r>
        <w:t xml:space="preserve">Source: https://ogc.umn.edu/</w:t>
      </w:r>
    </w:p>
    <w:p>
      <w:pPr>
        <w:pStyle w:val="BodyText"/>
      </w:pPr>
      <w:r>
        <w:t xml:space="preserve">————————————————————————————————————————</w:t>
      </w:r>
    </w:p>
    <w:p>
      <w:pPr>
        <w:pStyle w:val="BodyText"/>
      </w:pPr>
      <w:r>
        <w:t xml:space="preserve">US BANCORP</w:t>
      </w:r>
    </w:p>
    <w:p>
      <w:pPr>
        <w:pStyle w:val="BodyText"/>
      </w:pPr>
      <w:r>
        <w:t xml:space="preserve">CLO: James Chosy (General Counsel)</w:t>
      </w:r>
      <w:r>
        <w:t xml:space="preserve"> </w:t>
      </w:r>
      <w:r>
        <w:t xml:space="preserve">Reports to: CEO Andy Cecere</w:t>
      </w:r>
      <w:r>
        <w:t xml:space="preserve"> </w:t>
      </w:r>
      <w:r>
        <w:t xml:space="preserve">Industry: Banking/Financial Services</w:t>
      </w:r>
      <w:r>
        <w:t xml:space="preserve"> </w:t>
      </w:r>
      <w:r>
        <w:t xml:space="preserve">Revenue: ~$24B</w:t>
      </w:r>
      <w:r>
        <w:t xml:space="preserve"> </w:t>
      </w:r>
      <w:r>
        <w:t xml:space="preserve">Assets: ~$670B (5th largest US bank)</w:t>
      </w:r>
    </w:p>
    <w:p>
      <w:pPr>
        <w:pStyle w:val="BodyText"/>
      </w:pPr>
      <w:r>
        <w:t xml:space="preserve">Why Now:</w:t>
      </w:r>
      <w:r>
        <w:t xml:space="preserve"> </w:t>
      </w:r>
      <w:r>
        <w:t xml:space="preserve">Union Bank acquisition completed (2022-2023, $8B) with full integration ongoing — contract harmonization at scale. Digital banking expansion; Bento (digital payments platform) growth requiring fintech partnership agreements. Regulatory scrutiny: CFPB enforcement environment, AML/BSA compliance requirements. Mortgage servicing litigation exposure. Interest rate environment impacting deposit costs and loan margins.</w:t>
      </w:r>
    </w:p>
    <w:p>
      <w:pPr>
        <w:pStyle w:val="BodyText"/>
      </w:pPr>
      <w:r>
        <w:t xml:space="preserve">Potential Pain Points:</w:t>
      </w:r>
      <w:r>
        <w:t xml:space="preserve"> </w:t>
      </w:r>
      <w:r>
        <w:t xml:space="preserve">Regulatory compliance (OCC, Fed, CFPB, state regulators). M&amp;A integration (Union Bank systems, contracts, employment). Consumer lending litigation (mortgage, credit card). AML/BSA compliance. Digital banking/fintech vendor partnerships. Employment law (branch consolidation, remote work policies).</w:t>
      </w:r>
    </w:p>
    <w:p>
      <w:pPr>
        <w:pStyle w:val="BodyText"/>
      </w:pPr>
      <w:r>
        <w:t xml:space="preserve">Structure &amp; Reporting:</w:t>
      </w:r>
      <w:r>
        <w:t xml:space="preserve"> </w:t>
      </w:r>
      <w:r>
        <w:t xml:space="preserve">CLO James Chosy leads Legal, Compliance, and Government Affairs. Bank regulatory counsel and consumer finance specialists within legal organization.</w:t>
      </w:r>
    </w:p>
    <w:p>
      <w:pPr>
        <w:pStyle w:val="BodyText"/>
      </w:pPr>
      <w:r>
        <w:t xml:space="preserve">Source: https://ir.usbank.com</w:t>
      </w:r>
    </w:p>
    <w:p>
      <w:pPr>
        <w:pStyle w:val="BodyText"/>
      </w:pPr>
      <w:r>
        <w:t xml:space="preserve">————————————————————————————————————————</w:t>
      </w:r>
    </w:p>
    <w:p>
      <w:pPr>
        <w:pStyle w:val="BodyText"/>
      </w:pPr>
      <w:r>
        <w:t xml:space="preserve">XCEL ENERGY</w:t>
      </w:r>
    </w:p>
    <w:p>
      <w:pPr>
        <w:pStyle w:val="BodyText"/>
      </w:pPr>
      <w:r>
        <w:t xml:space="preserve">CLO: Ryan Long (Chief Legal Officer)</w:t>
      </w:r>
      <w:r>
        <w:t xml:space="preserve"> </w:t>
      </w:r>
      <w:r>
        <w:t xml:space="preserve">Reports to: CEO Bob Frenzel</w:t>
      </w:r>
      <w:r>
        <w:t xml:space="preserve"> </w:t>
      </w:r>
      <w:r>
        <w:t xml:space="preserve">Industry: Energy/Utilities</w:t>
      </w:r>
      <w:r>
        <w:t xml:space="preserve"> </w:t>
      </w:r>
      <w:r>
        <w:t xml:space="preserve">Revenue: ~$15B</w:t>
      </w:r>
      <w:r>
        <w:t xml:space="preserve"> </w:t>
      </w:r>
      <w:r>
        <w:t xml:space="preserve">Customers: 3.7M electric, 2.1M natural gas (8 states)</w:t>
      </w:r>
    </w:p>
    <w:p>
      <w:pPr>
        <w:pStyle w:val="BodyText"/>
      </w:pPr>
      <w:r>
        <w:t xml:space="preserve">Why Now:</w:t>
      </w:r>
      <w:r>
        <w:t xml:space="preserve"> </w:t>
      </w:r>
      <w:r>
        <w:t xml:space="preserve">Carbon-free by 2050 commitment (industry leader); 80% carbon reduction by 2030. Colorado wildfire litigation exposure (Marshall Fire, 2021 — ongoing liability claims, potential billions in exposure). Major renewable energy buildout requiring transmission agreements, land rights, regulatory approvals, PPAs at scale. EV charging infrastructure expansion; rate case proceedings ongoing in multiple states. Nuclear plant life extension (Prairie Island, Monticello) requiring NRC licensing.</w:t>
      </w:r>
    </w:p>
    <w:p>
      <w:pPr>
        <w:pStyle w:val="BodyText"/>
      </w:pPr>
      <w:r>
        <w:t xml:space="preserve">Potential Pain Points:</w:t>
      </w:r>
      <w:r>
        <w:t xml:space="preserve"> </w:t>
      </w:r>
      <w:r>
        <w:t xml:space="preserve">Wildfire liability litigation (Colorado, potentially other states) — mass tort. Multi-state utility regulatory compliance (8 state PUCs). Renewable energy contracts (PPAs, land leases, interconnection agreements). Environmental/permitting (transmission lines, solar/wind farms). Nuclear regulatory (NRC license extensions). Rate case proceedings (complex, multi-year).</w:t>
      </w:r>
    </w:p>
    <w:p>
      <w:pPr>
        <w:pStyle w:val="BodyText"/>
      </w:pPr>
      <w:r>
        <w:t xml:space="preserve">Structure &amp; Reporting:</w:t>
      </w:r>
      <w:r>
        <w:t xml:space="preserve"> </w:t>
      </w:r>
      <w:r>
        <w:t xml:space="preserve">CLO Ryan Long oversees Legal, Regulatory Affairs, and Government Relations. Regulatory counsel specialists for each state jurisdiction. Environmental and energy transaction specialists.</w:t>
      </w:r>
    </w:p>
    <w:p>
      <w:pPr>
        <w:pStyle w:val="BodyText"/>
      </w:pPr>
      <w:r>
        <w:t xml:space="preserve">Source: https://www.xcelenergy.com</w:t>
      </w:r>
    </w:p>
    <w:p>
      <w:pPr>
        <w:pStyle w:val="BodyText"/>
      </w:pPr>
      <w:r>
        <w:t xml:space="preserve">————————————————————————————————————————</w:t>
      </w:r>
    </w:p>
    <w:p>
      <w:pPr>
        <w:pStyle w:val="BodyText"/>
      </w:pPr>
      <w:r>
        <w:t xml:space="preserve">Document generated: February 2026</w:t>
      </w:r>
      <w:r>
        <w:t xml:space="preserve"> </w:t>
      </w:r>
      <w:r>
        <w:t xml:space="preserve">No publicly announced legal AI vendors identified for any company.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2026-02-02T22:46:52Z</dcterms:created>
  <dcterms:modified xsi:type="dcterms:W3CDTF">2026-02-02T22:46:52Z</dcterms:modified>
</cp:coreProperties>
</file>

<file path=docProps/custom.xml><?xml version="1.0" encoding="utf-8"?>
<Properties xmlns="http://schemas.openxmlformats.org/officeDocument/2006/custom-properties" xmlns:vt="http://schemas.openxmlformats.org/officeDocument/2006/docPropsVTypes"/>
</file>