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6358eae396fa10eb36f2f67f0d0461a7e1ded7"/>
    <w:p>
      <w:pPr>
        <w:pStyle w:val="Heading1"/>
      </w:pPr>
      <w:r>
        <w:t xml:space="preserve">Minnesota Companies — Recent News Summary (Legal AI Perspective)</w:t>
      </w:r>
    </w:p>
    <w:bookmarkStart w:id="10" w:name="best-buy-todd-hartman-evp-clo"/>
    <w:p>
      <w:pPr>
        <w:pStyle w:val="Heading2"/>
      </w:pPr>
      <w:r>
        <w:t xml:space="preserve">BEST BUY | Todd Hartman (EVP, CLO)</w:t>
      </w:r>
    </w:p>
    <w:p>
      <w:pPr>
        <w:pStyle w:val="FirstParagraph"/>
      </w:pPr>
      <w:r>
        <w:t xml:space="preserve">Tariff uncertainty is driving vendor contract renegotiations across thousands of SKUs from China/Mexico suppliers. Best Buy restructured its My Best Buy membership program (2025), requiring updated T&amp;Cs across 1,000+ stores. AI customer service tools in deployment = new data governance frameworks needed. No announced legal AI vendor.</w:t>
      </w:r>
      <w:r>
        <w:t xml:space="preserve"> </w:t>
      </w:r>
      <w:hyperlink r:id="rId9">
        <w:r>
          <w:rPr>
            <w:rStyle w:val="Hyperlink"/>
          </w:rPr>
          <w:t xml:space="preserve">Q4 FY25 Results</w:t>
        </w:r>
      </w:hyperlink>
    </w:p>
    <w:bookmarkEnd w:id="10"/>
    <w:bookmarkStart w:id="12" w:name="chs-inc.-brandon-smith-evp-gc"/>
    <w:p>
      <w:pPr>
        <w:pStyle w:val="Heading2"/>
      </w:pPr>
      <w:r>
        <w:t xml:space="preserve">CHS INC. | Brandon Smith (EVP &amp; GC)</w:t>
      </w:r>
    </w:p>
    <w:p>
      <w:pPr>
        <w:pStyle w:val="FirstParagraph"/>
      </w:pPr>
      <w:r>
        <w:t xml:space="preserve">Renewable energy JV expansion (ethanol, biodiesel) creating new regulatory filing volume. Nitrogen Production LLC joint venture scaling = complex JV governance. 1,000+ cooperative member agreements require ongoing management. Agricultural commodity volatility driving contract complexity.</w:t>
      </w:r>
      <w:r>
        <w:t xml:space="preserve"> </w:t>
      </w:r>
      <w:hyperlink r:id="rId11">
        <w:r>
          <w:rPr>
            <w:rStyle w:val="Hyperlink"/>
          </w:rPr>
          <w:t xml:space="preserve">CHS Inc.</w:t>
        </w:r>
      </w:hyperlink>
    </w:p>
    <w:bookmarkEnd w:id="12"/>
    <w:bookmarkStart w:id="14" w:name="ecolab-jandeen-boone-assoc-gc"/>
    <w:p>
      <w:pPr>
        <w:pStyle w:val="Heading2"/>
      </w:pPr>
      <w:r>
        <w:t xml:space="preserve">ECOLAB | Jandeen Boone (Assoc GC)</w:t>
      </w:r>
    </w:p>
    <w:p>
      <w:pPr>
        <w:pStyle w:val="FirstParagraph"/>
      </w:pPr>
      <w:r>
        <w:t xml:space="preserve">Ecolab3D digital platform rollout = new SaaS/data licensing contract volume. Purolite acquisition (2021) integration ongoing. Healthcare segment growth driving customer agreement expansion. Chemical product liability exposure across 170+ countries.</w:t>
      </w:r>
      <w:r>
        <w:t xml:space="preserve"> </w:t>
      </w:r>
      <w:hyperlink r:id="rId13">
        <w:r>
          <w:rPr>
            <w:rStyle w:val="Hyperlink"/>
          </w:rPr>
          <w:t xml:space="preserve">Ecolab</w:t>
        </w:r>
      </w:hyperlink>
    </w:p>
    <w:bookmarkEnd w:id="14"/>
    <w:bookmarkStart w:id="16" w:name="mayo-clinic-sally-anne-brown-clo"/>
    <w:p>
      <w:pPr>
        <w:pStyle w:val="Heading2"/>
      </w:pPr>
      <w:r>
        <w:t xml:space="preserve">MAYO CLINIC | Sally Anne Brown (CLO)</w:t>
      </w:r>
    </w:p>
    <w:p>
      <w:pPr>
        <w:pStyle w:val="FirstParagraph"/>
      </w:pPr>
      <w:r>
        <w:t xml:space="preserve">Google Cloud and Microsoft AI clinical partnerships announced = novel IP/liability frameworks required. Mayo Clinic Platform launched for data licensing/research = high-volume data agreements. International expansion to London and Abu Dhabi = new regulatory and licensing complexity. Practice acquisitions ongoing = M&amp;A contract integration.</w:t>
      </w:r>
      <w:r>
        <w:t xml:space="preserve"> </w:t>
      </w:r>
      <w:hyperlink r:id="rId15">
        <w:r>
          <w:rPr>
            <w:rStyle w:val="Hyperlink"/>
          </w:rPr>
          <w:t xml:space="preserve">Mayo Clinic</w:t>
        </w:r>
      </w:hyperlink>
    </w:p>
    <w:bookmarkEnd w:id="16"/>
    <w:bookmarkStart w:id="19" w:name="star-tribune-emily-peterson-vp-gc"/>
    <w:p>
      <w:pPr>
        <w:pStyle w:val="Heading2"/>
      </w:pPr>
      <w:r>
        <w:t xml:space="preserve">STAR TRIBUNE | Emily Peterson (VP, GC)</w:t>
      </w:r>
    </w:p>
    <w:p>
      <w:pPr>
        <w:pStyle w:val="FirstParagraph"/>
      </w:pPr>
      <w:r>
        <w:t xml:space="preserve">New GC appointed August 2025 after 30-year predecessor</w:t>
      </w:r>
      <w:r>
        <w:t xml:space="preserve"> </w:t>
      </w:r>
      <w:hyperlink r:id="rId17">
        <w:r>
          <w:rPr>
            <w:rStyle w:val="Hyperlink"/>
          </w:rPr>
          <w:t xml:space="preserve">Randy Lebedoff retired</w:t>
        </w:r>
      </w:hyperlink>
      <w:r>
        <w:t xml:space="preserve">. Sued Minneapolis Police Department over public records access (December 2025).</w:t>
      </w:r>
      <w:r>
        <w:t xml:space="preserve"> </w:t>
      </w:r>
      <w:hyperlink r:id="rId18">
        <w:r>
          <w:rPr>
            <w:rStyle w:val="Hyperlink"/>
          </w:rPr>
          <w:t xml:space="preserve">Digital transformation</w:t>
        </w:r>
      </w:hyperlink>
      <w:r>
        <w:t xml:space="preserve"> </w:t>
      </w:r>
      <w:r>
        <w:t xml:space="preserve">driving content licensing and syndication contract needs.</w:t>
      </w:r>
    </w:p>
    <w:bookmarkEnd w:id="19"/>
    <w:bookmarkStart w:id="21" w:name="Xc17172abfe482b3086a013dc4a54ae58d9cbdaf"/>
    <w:p>
      <w:pPr>
        <w:pStyle w:val="Heading2"/>
      </w:pPr>
      <w:r>
        <w:t xml:space="preserve">UNIVERSITY OF MINNESOTA | Douglas R. Peterson (GC)</w:t>
      </w:r>
    </w:p>
    <w:p>
      <w:pPr>
        <w:pStyle w:val="FirstParagraph"/>
      </w:pPr>
      <w:r>
        <w:t xml:space="preserve">Major research university with complex NIH/DoD/industry contract portfolio. IP/tech transfer volume at scale. Title IX and Big Ten athletics governance. Academic medical center operations.</w:t>
      </w:r>
      <w:r>
        <w:t xml:space="preserve"> </w:t>
      </w:r>
      <w:hyperlink r:id="rId20">
        <w:r>
          <w:rPr>
            <w:rStyle w:val="Hyperlink"/>
          </w:rPr>
          <w:t xml:space="preserve">UMN Office of General Counsel</w:t>
        </w:r>
      </w:hyperlink>
    </w:p>
    <w:bookmarkEnd w:id="21"/>
    <w:bookmarkStart w:id="23" w:name="us-bancorp-james-chosy-gc"/>
    <w:p>
      <w:pPr>
        <w:pStyle w:val="Heading2"/>
      </w:pPr>
      <w:r>
        <w:t xml:space="preserve">US BANCORP | James Chosy (GC)</w:t>
      </w:r>
    </w:p>
    <w:p>
      <w:pPr>
        <w:pStyle w:val="FirstParagraph"/>
      </w:pPr>
      <w:r>
        <w:t xml:space="preserve">Union Bank acquisition ($8B) integration complete = contract harmonization at scale. Digital banking expansion via Bento platform = fintech partnership agreements. CFPB enforcement environment creates regulatory scrutiny.</w:t>
      </w:r>
      <w:r>
        <w:t xml:space="preserve"> </w:t>
      </w:r>
      <w:hyperlink r:id="rId22">
        <w:r>
          <w:rPr>
            <w:rStyle w:val="Hyperlink"/>
          </w:rPr>
          <w:t xml:space="preserve">US Bancorp IR</w:t>
        </w:r>
      </w:hyperlink>
    </w:p>
    <w:bookmarkEnd w:id="23"/>
    <w:bookmarkStart w:id="25" w:name="xcel-energy-ryan-long-clo"/>
    <w:p>
      <w:pPr>
        <w:pStyle w:val="Heading2"/>
      </w:pPr>
      <w:r>
        <w:t xml:space="preserve">XCEL ENERGY | Ryan Long (CLO)</w:t>
      </w:r>
    </w:p>
    <w:p>
      <w:pPr>
        <w:pStyle w:val="FirstParagraph"/>
      </w:pPr>
      <w:r>
        <w:t xml:space="preserve">Marshall Fire wildfire litigation (Colorado, 2021) = mass tort exposure with potential billions in claims. Nuclear license extensions for Prairie Island and Monticello = NRC regulatory filings. Renewable energy buildout = PPAs, land rights, transmission agreements at scale. 8-state PUC regulatory complexity.</w:t>
      </w:r>
      <w:r>
        <w:t xml:space="preserve"> </w:t>
      </w:r>
      <w:hyperlink r:id="rId24">
        <w:r>
          <w:rPr>
            <w:rStyle w:val="Hyperlink"/>
          </w:rPr>
          <w:t xml:space="preserve">Xcel Energy</w:t>
        </w:r>
      </w:hyperlink>
    </w:p>
    <w:p>
      <w:pPr>
        <w:pStyle w:val="BodyText"/>
      </w:pPr>
      <w:r>
        <w:rPr>
          <w:i/>
          <w:iCs/>
        </w:rPr>
        <w:t xml:space="preserve">No publicly announced legal AI vendors identified for any company.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investors.bestbuy.com" TargetMode="External" /><Relationship Type="http://schemas.openxmlformats.org/officeDocument/2006/relationships/hyperlink" Id="rId22" Target="https://ir.usbank.com" TargetMode="External" /><Relationship Type="http://schemas.openxmlformats.org/officeDocument/2006/relationships/hyperlink" Id="rId20" Target="https://ogc.umn.edu/" TargetMode="External" /><Relationship Type="http://schemas.openxmlformats.org/officeDocument/2006/relationships/hyperlink" Id="rId11" Target="https://www.chsinc.com" TargetMode="External" /><Relationship Type="http://schemas.openxmlformats.org/officeDocument/2006/relationships/hyperlink" Id="rId13" Target="https://www.ecolab.com" TargetMode="External" /><Relationship Type="http://schemas.openxmlformats.org/officeDocument/2006/relationships/hyperlink" Id="rId15" Target="https://www.mayoclinic.org" TargetMode="External" /><Relationship Type="http://schemas.openxmlformats.org/officeDocument/2006/relationships/hyperlink" Id="rId17" Target="https://www.newspapers.org/stories/randy-lebedoff-svp-and-general-counsel-for-the-minnesota-star-tribune-retires-after-30-year,4165770" TargetMode="External" /><Relationship Type="http://schemas.openxmlformats.org/officeDocument/2006/relationships/hyperlink" Id="rId18" Target="https://www.startribune.com/star-tribune-begins-reorganization-aimed-at-digital-future-steve-grove-ceo-publisher-restructuring/600297367" TargetMode="External" /><Relationship Type="http://schemas.openxmlformats.org/officeDocument/2006/relationships/hyperlink" Id="rId24" Target="https://www.xcelenergy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investors.bestbuy.com" TargetMode="External" /><Relationship Type="http://schemas.openxmlformats.org/officeDocument/2006/relationships/hyperlink" Id="rId22" Target="https://ir.usbank.com" TargetMode="External" /><Relationship Type="http://schemas.openxmlformats.org/officeDocument/2006/relationships/hyperlink" Id="rId20" Target="https://ogc.umn.edu/" TargetMode="External" /><Relationship Type="http://schemas.openxmlformats.org/officeDocument/2006/relationships/hyperlink" Id="rId11" Target="https://www.chsinc.com" TargetMode="External" /><Relationship Type="http://schemas.openxmlformats.org/officeDocument/2006/relationships/hyperlink" Id="rId13" Target="https://www.ecolab.com" TargetMode="External" /><Relationship Type="http://schemas.openxmlformats.org/officeDocument/2006/relationships/hyperlink" Id="rId15" Target="https://www.mayoclinic.org" TargetMode="External" /><Relationship Type="http://schemas.openxmlformats.org/officeDocument/2006/relationships/hyperlink" Id="rId17" Target="https://www.newspapers.org/stories/randy-lebedoff-svp-and-general-counsel-for-the-minnesota-star-tribune-retires-after-30-year,4165770" TargetMode="External" /><Relationship Type="http://schemas.openxmlformats.org/officeDocument/2006/relationships/hyperlink" Id="rId18" Target="https://www.startribune.com/star-tribune-begins-reorganization-aimed-at-digital-future-steve-grove-ceo-publisher-restructuring/600297367" TargetMode="External" /><Relationship Type="http://schemas.openxmlformats.org/officeDocument/2006/relationships/hyperlink" Id="rId24" Target="https://www.xcelenergy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2026-02-02T22:49:02Z</dcterms:created>
  <dcterms:modified xsi:type="dcterms:W3CDTF">2026-02-02T22:49:02Z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