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Introduction and Purpose</w:t>
      </w:r>
    </w:p>
    <w:p w:rsidR="00000000" w:rsidDel="00000000" w:rsidP="00000000" w:rsidRDefault="00000000" w:rsidRPr="00000000" w14:paraId="00000002">
      <w:pPr>
        <w:rPr/>
      </w:pPr>
      <w:r w:rsidDel="00000000" w:rsidR="00000000" w:rsidRPr="00000000">
        <w:rPr>
          <w:rtl w:val="0"/>
        </w:rPr>
        <w:t xml:space="preserve">The purpose of this Access Control Policy is to ensure that access to all organizational resources, whether physical or digital, is managed securely and effectively. The policy is designed to protect critical assets while aligning with business objectives and compliance with legal and regulatory obligations. By managing access rights, the organization aims to minimize the risks of unauthorized access and ensure data confidentiality, integrity, and availability.</w:t>
      </w:r>
    </w:p>
    <w:p w:rsidR="00000000" w:rsidDel="00000000" w:rsidP="00000000" w:rsidRDefault="00000000" w:rsidRPr="00000000" w14:paraId="00000003">
      <w:pPr>
        <w:pStyle w:val="Heading2"/>
        <w:rPr/>
      </w:pPr>
      <w:r w:rsidDel="00000000" w:rsidR="00000000" w:rsidRPr="00000000">
        <w:rPr>
          <w:rtl w:val="0"/>
        </w:rPr>
        <w:t xml:space="preserve">Scope</w:t>
      </w:r>
    </w:p>
    <w:p w:rsidR="00000000" w:rsidDel="00000000" w:rsidP="00000000" w:rsidRDefault="00000000" w:rsidRPr="00000000" w14:paraId="00000004">
      <w:pPr>
        <w:rPr/>
      </w:pPr>
      <w:r w:rsidDel="00000000" w:rsidR="00000000" w:rsidRPr="00000000">
        <w:rPr>
          <w:rtl w:val="0"/>
        </w:rPr>
        <w:t xml:space="preserve">This policy applies universally across the organization, encompassing all employees, contractors, and third-party affiliates. It covers all computing systems, networks, databases, applications, and information systems, regardless of location or platform.</w:t>
      </w:r>
    </w:p>
    <w:p w:rsidR="00000000" w:rsidDel="00000000" w:rsidP="00000000" w:rsidRDefault="00000000" w:rsidRPr="00000000" w14:paraId="00000005">
      <w:pPr>
        <w:pStyle w:val="Heading2"/>
        <w:rPr/>
      </w:pPr>
      <w:r w:rsidDel="00000000" w:rsidR="00000000" w:rsidRPr="00000000">
        <w:rPr>
          <w:rtl w:val="0"/>
        </w:rPr>
        <w:t xml:space="preserve">Policy Details</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User Registration and Deregistration: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Ensures a formal process handled by designated administrators using approved tools and systems, including identity verification and role assignment based on job function.</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User Access Provisioning: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 a centralized management system for access control that enforces the least privilege principle, with all requests logged and auditable.</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Management of Privileged Access Rights: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Establish a separate and secure procedure for handling elevated access, including enhanced scrutiny of request justifications and periodic review of existing privileges.</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Review of User Access Rights: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Conducted bi-annually, or upon significant organizational changes such as promotions or departmental transfers, to adjust access rights accordingly.</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Management of Secret Authentication Information: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strong password policies and </w:t>
      </w:r>
      <w:r w:rsidDel="00000000" w:rsidR="00000000" w:rsidRPr="00000000">
        <w:rPr>
          <w:rtl w:val="0"/>
        </w:rPr>
        <w:t xml:space="preserve">MFA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supported by regular training on security practices.</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Logon Procedures: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Define and enforce secure login methods, including time-of-day restrictions and device compliance standards.</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Remote Access Management: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Strict protocols for remote access, including secure VPN connections, endpoint security requirements, and regular security assessments.</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Information Access Restriction: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Enforce content classification and segregation, ensuring that sensitive information is accessible only to authorized personnel based on their role.</w:t>
      </w:r>
    </w:p>
    <w:p w:rsidR="00000000" w:rsidDel="00000000" w:rsidP="00000000" w:rsidRDefault="00000000" w:rsidRPr="00000000" w14:paraId="0000000E">
      <w:pPr>
        <w:pStyle w:val="Heading2"/>
        <w:rPr/>
      </w:pPr>
      <w:r w:rsidDel="00000000" w:rsidR="00000000" w:rsidRPr="00000000">
        <w:rPr>
          <w:rtl w:val="0"/>
        </w:rPr>
        <w:t xml:space="preserve">Roles and Responsibilities</w:t>
      </w:r>
    </w:p>
    <w:p w:rsidR="00000000" w:rsidDel="00000000" w:rsidP="00000000" w:rsidRDefault="00000000" w:rsidRPr="00000000" w14:paraId="0000000F">
      <w:pPr>
        <w:rPr>
          <w:shd w:fill="fff2cc" w:val="clear"/>
        </w:rPr>
      </w:pPr>
      <w:r w:rsidDel="00000000" w:rsidR="00000000" w:rsidRPr="00000000">
        <w:rPr>
          <w:shd w:fill="fff2cc" w:val="clear"/>
          <w:rtl w:val="0"/>
        </w:rPr>
        <w:t xml:space="preserve">Detail responsibilities for each role involved in access control management, from the Chief Information Security Officer (CISO) overseeing the program to individual users responsible for maintaining the security of their credentials.</w:t>
      </w:r>
    </w:p>
    <w:p w:rsidR="00000000" w:rsidDel="00000000" w:rsidP="00000000" w:rsidRDefault="00000000" w:rsidRPr="00000000" w14:paraId="00000010">
      <w:pPr>
        <w:numPr>
          <w:ilvl w:val="0"/>
          <w:numId w:val="7"/>
        </w:numPr>
        <w:spacing w:after="0" w:afterAutospacing="0" w:line="276" w:lineRule="auto"/>
        <w:ind w:left="720" w:hanging="360"/>
        <w:rPr>
          <w:u w:val="none"/>
        </w:rPr>
      </w:pPr>
      <w:r w:rsidDel="00000000" w:rsidR="00000000" w:rsidRPr="00000000">
        <w:rPr>
          <w:b w:val="1"/>
          <w:rtl w:val="0"/>
        </w:rPr>
        <w:t xml:space="preserve">Chief Information Security Officer (CISO): </w:t>
      </w:r>
      <w:r w:rsidDel="00000000" w:rsidR="00000000" w:rsidRPr="00000000">
        <w:rPr>
          <w:rtl w:val="0"/>
        </w:rPr>
        <w:t xml:space="preserve">Oversee the entire access control program, approve high-level policies, and ensure alignment with business objectives and compliance requirements.</w:t>
      </w:r>
    </w:p>
    <w:p w:rsidR="00000000" w:rsidDel="00000000" w:rsidP="00000000" w:rsidRDefault="00000000" w:rsidRPr="00000000" w14:paraId="00000011">
      <w:pPr>
        <w:numPr>
          <w:ilvl w:val="0"/>
          <w:numId w:val="7"/>
        </w:numPr>
        <w:pBdr>
          <w:top w:color="e3e3e3" w:space="0" w:sz="0" w:val="none"/>
          <w:left w:color="e3e3e3" w:space="4"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IT Security Manager: </w:t>
      </w:r>
      <w:r w:rsidDel="00000000" w:rsidR="00000000" w:rsidRPr="00000000">
        <w:rPr>
          <w:rtl w:val="0"/>
        </w:rPr>
        <w:t xml:space="preserve">Manage daily operations of the access control systems, coordinate with IT staff to ensure systems are secure against unauthorized access.</w:t>
      </w:r>
    </w:p>
    <w:p w:rsidR="00000000" w:rsidDel="00000000" w:rsidP="00000000" w:rsidRDefault="00000000" w:rsidRPr="00000000" w14:paraId="00000012">
      <w:pPr>
        <w:numPr>
          <w:ilvl w:val="0"/>
          <w:numId w:val="7"/>
        </w:numPr>
        <w:pBdr>
          <w:top w:color="e3e3e3" w:space="0" w:sz="0" w:val="none"/>
          <w:left w:color="e3e3e3" w:space="4"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Access Control Administrator: </w:t>
      </w:r>
      <w:r w:rsidDel="00000000" w:rsidR="00000000" w:rsidRPr="00000000">
        <w:rPr>
          <w:rtl w:val="0"/>
        </w:rPr>
        <w:t xml:space="preserve">Handle the actual provisioning, modification, and revocation of access rights. Ensure that all changes are logged and comply with the defined policies.</w:t>
      </w:r>
    </w:p>
    <w:p w:rsidR="00000000" w:rsidDel="00000000" w:rsidP="00000000" w:rsidRDefault="00000000" w:rsidRPr="00000000" w14:paraId="00000013">
      <w:pPr>
        <w:numPr>
          <w:ilvl w:val="0"/>
          <w:numId w:val="7"/>
        </w:numPr>
        <w:pBdr>
          <w:top w:color="e3e3e3" w:space="0" w:sz="0" w:val="none"/>
          <w:left w:color="e3e3e3" w:space="4" w:sz="0" w:val="none"/>
          <w:bottom w:color="e3e3e3" w:space="0" w:sz="0" w:val="none"/>
          <w:right w:color="e3e3e3" w:space="0" w:sz="0" w:val="none"/>
          <w:between w:color="e3e3e3" w:space="0" w:sz="0" w:val="none"/>
        </w:pBdr>
        <w:spacing w:after="120" w:before="0" w:beforeAutospacing="0" w:line="276" w:lineRule="auto"/>
        <w:ind w:left="720" w:hanging="360"/>
        <w:rPr/>
      </w:pPr>
      <w:r w:rsidDel="00000000" w:rsidR="00000000" w:rsidRPr="00000000">
        <w:rPr>
          <w:b w:val="1"/>
          <w:rtl w:val="0"/>
        </w:rPr>
        <w:t xml:space="preserve">End Users: </w:t>
      </w:r>
      <w:r w:rsidDel="00000000" w:rsidR="00000000" w:rsidRPr="00000000">
        <w:rPr>
          <w:rtl w:val="0"/>
        </w:rPr>
        <w:t xml:space="preserve">Maintain the security of their credentials, report any suspected security incidents or vulnerabilities, and comply with the corporate access control policy.</w: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Procedures for Implementation</w:t>
      </w:r>
    </w:p>
    <w:p w:rsidR="00000000" w:rsidDel="00000000" w:rsidP="00000000" w:rsidRDefault="00000000" w:rsidRPr="00000000" w14:paraId="00000015">
      <w:pPr>
        <w:rPr>
          <w:shd w:fill="fff2cc" w:val="clear"/>
        </w:rPr>
      </w:pPr>
      <w:r w:rsidDel="00000000" w:rsidR="00000000" w:rsidRPr="00000000">
        <w:rPr>
          <w:shd w:fill="fff2cc" w:val="clear"/>
          <w:rtl w:val="0"/>
        </w:rPr>
        <w:t xml:space="preserve">Comprehensive steps covering the initial setup, day-to-day management, and periodic reviews of access controls, tailored to specific technologies and operational contexts.</w:t>
      </w:r>
    </w:p>
    <w:p w:rsidR="00000000" w:rsidDel="00000000" w:rsidP="00000000" w:rsidRDefault="00000000" w:rsidRPr="00000000" w14:paraId="00000016">
      <w:pPr>
        <w:numPr>
          <w:ilvl w:val="0"/>
          <w:numId w:val="6"/>
        </w:numPr>
        <w:pBdr>
          <w:top w:color="e3e3e3" w:space="0" w:sz="0" w:val="none"/>
          <w:left w:color="e3e3e3" w:space="4" w:sz="0" w:val="none"/>
          <w:bottom w:color="e3e3e3" w:space="0" w:sz="0" w:val="none"/>
          <w:right w:color="e3e3e3" w:space="0" w:sz="0" w:val="none"/>
          <w:between w:color="e3e3e3" w:space="0" w:sz="0" w:val="none"/>
        </w:pBdr>
        <w:spacing w:after="0" w:afterAutospacing="0" w:before="120" w:lineRule="auto"/>
        <w:ind w:left="720" w:hanging="360"/>
        <w:rPr>
          <w:u w:val="none"/>
        </w:rPr>
      </w:pPr>
      <w:r w:rsidDel="00000000" w:rsidR="00000000" w:rsidRPr="00000000">
        <w:rPr>
          <w:b w:val="1"/>
          <w:rtl w:val="0"/>
        </w:rPr>
        <w:t xml:space="preserve">Initial Setup:</w:t>
      </w:r>
      <w:r w:rsidDel="00000000" w:rsidR="00000000" w:rsidRPr="00000000">
        <w:rPr>
          <w:rtl w:val="0"/>
        </w:rPr>
        <w:t xml:space="preserve"> Establish baselines for system settings, install access control systems, and integrate them with existing IT infrastructure. Configure software to meet security requirements.</w:t>
      </w:r>
    </w:p>
    <w:p w:rsidR="00000000" w:rsidDel="00000000" w:rsidP="00000000" w:rsidRDefault="00000000" w:rsidRPr="00000000" w14:paraId="00000017">
      <w:pPr>
        <w:numPr>
          <w:ilvl w:val="0"/>
          <w:numId w:val="6"/>
        </w:numPr>
        <w:pBdr>
          <w:top w:color="e3e3e3" w:space="0" w:sz="0" w:val="none"/>
          <w:left w:color="e3e3e3" w:space="4" w:sz="0" w:val="none"/>
          <w:bottom w:color="e3e3e3" w:space="0" w:sz="0" w:val="none"/>
          <w:right w:color="e3e3e3" w:space="0" w:sz="0" w:val="none"/>
          <w:between w:color="e3e3e3" w:space="0" w:sz="0" w:val="none"/>
        </w:pBdr>
        <w:spacing w:after="0" w:afterAutospacing="0" w:before="0" w:beforeAutospacing="0" w:lineRule="auto"/>
        <w:ind w:left="720" w:hanging="360"/>
        <w:rPr>
          <w:u w:val="none"/>
        </w:rPr>
      </w:pPr>
      <w:r w:rsidDel="00000000" w:rsidR="00000000" w:rsidRPr="00000000">
        <w:rPr>
          <w:b w:val="1"/>
          <w:rtl w:val="0"/>
        </w:rPr>
        <w:t xml:space="preserve">Day-to-Day Management: </w:t>
      </w:r>
      <w:r w:rsidDel="00000000" w:rsidR="00000000" w:rsidRPr="00000000">
        <w:rPr>
          <w:rtl w:val="0"/>
        </w:rPr>
        <w:t xml:space="preserve">Monitor access logs, respond to access requests, and perform routine security assessments to ensure continuous protection.</w:t>
      </w:r>
    </w:p>
    <w:p w:rsidR="00000000" w:rsidDel="00000000" w:rsidP="00000000" w:rsidRDefault="00000000" w:rsidRPr="00000000" w14:paraId="00000018">
      <w:pPr>
        <w:numPr>
          <w:ilvl w:val="0"/>
          <w:numId w:val="6"/>
        </w:numPr>
        <w:pBdr>
          <w:top w:color="e3e3e3" w:space="0" w:sz="0" w:val="none"/>
          <w:left w:color="e3e3e3" w:space="4" w:sz="0" w:val="none"/>
          <w:bottom w:color="e3e3e3" w:space="0" w:sz="0" w:val="none"/>
          <w:right w:color="e3e3e3" w:space="0" w:sz="0" w:val="none"/>
          <w:between w:color="e3e3e3" w:space="0" w:sz="0" w:val="none"/>
        </w:pBdr>
        <w:spacing w:after="120" w:before="0" w:beforeAutospacing="0" w:lineRule="auto"/>
        <w:ind w:left="720" w:hanging="360"/>
        <w:rPr>
          <w:u w:val="none"/>
        </w:rPr>
      </w:pPr>
      <w:r w:rsidDel="00000000" w:rsidR="00000000" w:rsidRPr="00000000">
        <w:rPr>
          <w:b w:val="1"/>
          <w:rtl w:val="0"/>
        </w:rPr>
        <w:t xml:space="preserve">Periodic Reviews: </w:t>
      </w:r>
      <w:r w:rsidDel="00000000" w:rsidR="00000000" w:rsidRPr="00000000">
        <w:rPr>
          <w:rtl w:val="0"/>
        </w:rPr>
        <w:t xml:space="preserve">Conduct bi-annual audits of access controls, review user privileges, and assess system adherence to the access control policy.</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Technical Guidelines</w:t>
      </w:r>
    </w:p>
    <w:p w:rsidR="00000000" w:rsidDel="00000000" w:rsidP="00000000" w:rsidRDefault="00000000" w:rsidRPr="00000000" w14:paraId="0000001A">
      <w:pPr>
        <w:rPr>
          <w:shd w:fill="fff2cc" w:val="clear"/>
        </w:rPr>
      </w:pPr>
      <w:r w:rsidDel="00000000" w:rsidR="00000000" w:rsidRPr="00000000">
        <w:rPr>
          <w:shd w:fill="fff2cc" w:val="clear"/>
          <w:rtl w:val="0"/>
        </w:rPr>
        <w:t xml:space="preserve">Specify exact security models, software versions, and hardware specifications required to support secure access controls, including compatibility and maintenance considerations.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pPr>
      <w:r w:rsidDel="00000000" w:rsidR="00000000" w:rsidRPr="00000000">
        <w:rPr>
          <w:b w:val="1"/>
          <w:rtl w:val="0"/>
        </w:rPr>
        <w:t xml:space="preserve">Security Models: </w:t>
      </w:r>
      <w:r w:rsidDel="00000000" w:rsidR="00000000" w:rsidRPr="00000000">
        <w:rPr>
          <w:rtl w:val="0"/>
        </w:rPr>
        <w:t xml:space="preserve">Use Role-Based Access Control (RBAC) to minimize complexity and ensure precise access management.</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b w:val="1"/>
          <w:rtl w:val="0"/>
        </w:rPr>
        <w:t xml:space="preserve">Software Versions:</w:t>
      </w:r>
      <w:r w:rsidDel="00000000" w:rsidR="00000000" w:rsidRPr="00000000">
        <w:rPr>
          <w:rtl w:val="0"/>
        </w:rPr>
        <w:t xml:space="preserve"> Ensure all access control systems are running on the latest stable version to benefit from updated security patches. Example: Use Windows Server 2022 for domain controllers.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pPr>
      <w:r w:rsidDel="00000000" w:rsidR="00000000" w:rsidRPr="00000000">
        <w:rPr>
          <w:b w:val="1"/>
          <w:rtl w:val="0"/>
        </w:rPr>
        <w:t xml:space="preserve">Hardware Specifications:</w:t>
      </w:r>
      <w:r w:rsidDel="00000000" w:rsidR="00000000" w:rsidRPr="00000000">
        <w:rPr>
          <w:rtl w:val="0"/>
        </w:rPr>
        <w:t xml:space="preserve"> All servers hosting sensitive information must meet specific CPU, RAM, and storage benchmarks to handle the load and security requirements effectively.</w:t>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Examples of Application</w:t>
      </w:r>
    </w:p>
    <w:p w:rsidR="00000000" w:rsidDel="00000000" w:rsidP="00000000" w:rsidRDefault="00000000" w:rsidRPr="00000000" w14:paraId="0000001F">
      <w:pPr>
        <w:rPr>
          <w:shd w:fill="fff2cc" w:val="clear"/>
        </w:rPr>
      </w:pPr>
      <w:r w:rsidDel="00000000" w:rsidR="00000000" w:rsidRPr="00000000">
        <w:rPr>
          <w:shd w:fill="fff2cc" w:val="clear"/>
          <w:rtl w:val="0"/>
        </w:rPr>
        <w:t xml:space="preserve">Detailed scenarios illustrating policy application in routine and exceptional cases, showing how decisions should be made according to the defined rules.</w:t>
      </w:r>
    </w:p>
    <w:p w:rsidR="00000000" w:rsidDel="00000000" w:rsidP="00000000" w:rsidRDefault="00000000" w:rsidRPr="00000000" w14:paraId="00000020">
      <w:pPr>
        <w:numPr>
          <w:ilvl w:val="0"/>
          <w:numId w:val="5"/>
        </w:numPr>
        <w:pBdr>
          <w:top w:color="e3e3e3" w:space="0" w:sz="0" w:val="none"/>
          <w:left w:color="e3e3e3" w:space="4" w:sz="0" w:val="none"/>
          <w:bottom w:color="e3e3e3" w:space="0" w:sz="0" w:val="none"/>
          <w:right w:color="e3e3e3" w:space="0" w:sz="0" w:val="none"/>
          <w:between w:color="e3e3e3" w:space="0" w:sz="0" w:val="none"/>
        </w:pBdr>
        <w:spacing w:after="0" w:afterAutospacing="0" w:before="120" w:lineRule="auto"/>
        <w:ind w:left="720" w:hanging="360"/>
        <w:rPr/>
      </w:pPr>
      <w:r w:rsidDel="00000000" w:rsidR="00000000" w:rsidRPr="00000000">
        <w:rPr>
          <w:b w:val="1"/>
          <w:rtl w:val="0"/>
        </w:rPr>
        <w:t xml:space="preserve">Routine Case: </w:t>
      </w:r>
      <w:r w:rsidDel="00000000" w:rsidR="00000000" w:rsidRPr="00000000">
        <w:rPr>
          <w:rtl w:val="0"/>
        </w:rPr>
        <w:t xml:space="preserve">An employee requests access to the marketing folder. The request is logged, reviewed by the department head, and provisioned by the IT administrator.</w:t>
      </w:r>
    </w:p>
    <w:p w:rsidR="00000000" w:rsidDel="00000000" w:rsidP="00000000" w:rsidRDefault="00000000" w:rsidRPr="00000000" w14:paraId="00000021">
      <w:pPr>
        <w:numPr>
          <w:ilvl w:val="0"/>
          <w:numId w:val="5"/>
        </w:numPr>
        <w:pBdr>
          <w:top w:color="e3e3e3" w:space="0" w:sz="0" w:val="none"/>
          <w:left w:color="e3e3e3" w:space="4" w:sz="0" w:val="none"/>
          <w:bottom w:color="e3e3e3" w:space="0" w:sz="0" w:val="none"/>
          <w:right w:color="e3e3e3" w:space="0" w:sz="0" w:val="none"/>
          <w:between w:color="e3e3e3" w:space="0" w:sz="0" w:val="none"/>
        </w:pBdr>
        <w:spacing w:after="120" w:before="0" w:beforeAutospacing="0" w:lineRule="auto"/>
        <w:ind w:left="720" w:hanging="360"/>
        <w:rPr>
          <w:rFonts w:ascii="Roboto" w:cs="Roboto" w:eastAsia="Roboto" w:hAnsi="Roboto"/>
          <w:color w:val="0d0d0d"/>
          <w:sz w:val="24"/>
          <w:szCs w:val="24"/>
        </w:rPr>
      </w:pPr>
      <w:r w:rsidDel="00000000" w:rsidR="00000000" w:rsidRPr="00000000">
        <w:rPr>
          <w:b w:val="1"/>
          <w:rtl w:val="0"/>
        </w:rPr>
        <w:t xml:space="preserve">Exceptional Case:</w:t>
      </w:r>
      <w:r w:rsidDel="00000000" w:rsidR="00000000" w:rsidRPr="00000000">
        <w:rPr>
          <w:rtl w:val="0"/>
        </w:rPr>
        <w:t xml:space="preserve"> An employee requires emergency access to financial records due to a critical deadline. The CISO reviews the request for appropriateness and grants temporary access with heightened monitoring.</w:t>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Compliance and Audit</w:t>
      </w:r>
    </w:p>
    <w:p w:rsidR="00000000" w:rsidDel="00000000" w:rsidP="00000000" w:rsidRDefault="00000000" w:rsidRPr="00000000" w14:paraId="00000023">
      <w:pPr>
        <w:rPr>
          <w:shd w:fill="fff2cc" w:val="clear"/>
        </w:rPr>
      </w:pPr>
      <w:r w:rsidDel="00000000" w:rsidR="00000000" w:rsidRPr="00000000">
        <w:rPr>
          <w:shd w:fill="fff2cc" w:val="clear"/>
          <w:rtl w:val="0"/>
        </w:rPr>
        <w:t xml:space="preserve">Detailed compliance mapping to standards like ISO 27001, GDPR, and HIPAA, including how audits are to be conducted, by whom, and the expected documentation and outcomes.</w:t>
      </w:r>
    </w:p>
    <w:p w:rsidR="00000000" w:rsidDel="00000000" w:rsidP="00000000" w:rsidRDefault="00000000" w:rsidRPr="00000000" w14:paraId="00000024">
      <w:pPr>
        <w:keepNext w:val="0"/>
        <w:keepLines w:val="0"/>
        <w:pageBreakBefore w:val="0"/>
        <w:widowControl w:val="1"/>
        <w:numPr>
          <w:ilvl w:val="0"/>
          <w:numId w:val="5"/>
        </w:numPr>
        <w:pBdr>
          <w:top w:color="e3e3e3" w:space="0" w:sz="0" w:val="none"/>
          <w:left w:color="e3e3e3" w:space="4" w:sz="0" w:val="none"/>
          <w:bottom w:color="e3e3e3" w:space="0" w:sz="0" w:val="none"/>
          <w:right w:color="e3e3e3" w:space="0" w:sz="0" w:val="none"/>
          <w:between w:color="e3e3e3" w:space="0" w:sz="0" w:val="none"/>
        </w:pBdr>
        <w:shd w:fill="auto" w:val="clear"/>
        <w:spacing w:after="0" w:afterAutospacing="0" w:before="120" w:line="276" w:lineRule="auto"/>
        <w:ind w:left="720" w:right="0" w:hanging="360"/>
        <w:jc w:val="left"/>
        <w:rPr>
          <w:rFonts w:ascii="Roboto" w:cs="Roboto" w:eastAsia="Roboto" w:hAnsi="Roboto"/>
          <w:color w:val="0d0d0d"/>
          <w:sz w:val="24"/>
          <w:szCs w:val="24"/>
        </w:rPr>
      </w:pPr>
      <w:r w:rsidDel="00000000" w:rsidR="00000000" w:rsidRPr="00000000">
        <w:rPr>
          <w:b w:val="1"/>
          <w:rtl w:val="0"/>
        </w:rPr>
        <w:t xml:space="preserve">ISO 27001:</w:t>
      </w:r>
      <w:r w:rsidDel="00000000" w:rsidR="00000000" w:rsidRPr="00000000">
        <w:rPr>
          <w:rtl w:val="0"/>
        </w:rPr>
        <w:t xml:space="preserve"> Map controls to ISO 27001 standards, document all compliance measures, and prepare for annual third-party audits.</w:t>
      </w:r>
    </w:p>
    <w:p w:rsidR="00000000" w:rsidDel="00000000" w:rsidP="00000000" w:rsidRDefault="00000000" w:rsidRPr="00000000" w14:paraId="00000025">
      <w:pPr>
        <w:keepNext w:val="0"/>
        <w:keepLines w:val="0"/>
        <w:pageBreakBefore w:val="0"/>
        <w:widowControl w:val="1"/>
        <w:numPr>
          <w:ilvl w:val="0"/>
          <w:numId w:val="5"/>
        </w:numPr>
        <w:pBdr>
          <w:top w:color="e3e3e3" w:space="0" w:sz="0" w:val="none"/>
          <w:left w:color="e3e3e3" w:space="4" w:sz="0" w:val="none"/>
          <w:bottom w:color="e3e3e3" w:space="0" w:sz="0" w:val="none"/>
          <w:right w:color="e3e3e3" w:space="0" w:sz="0" w:val="none"/>
          <w:between w:color="e3e3e3" w:space="0" w:sz="0" w:val="none"/>
        </w:pBdr>
        <w:shd w:fill="auto" w:val="clear"/>
        <w:spacing w:after="0" w:afterAutospacing="0" w:before="0" w:beforeAutospacing="0" w:line="276" w:lineRule="auto"/>
        <w:ind w:left="720" w:right="0" w:hanging="360"/>
        <w:jc w:val="left"/>
        <w:rPr>
          <w:rFonts w:ascii="Roboto" w:cs="Roboto" w:eastAsia="Roboto" w:hAnsi="Roboto"/>
          <w:color w:val="0d0d0d"/>
          <w:sz w:val="24"/>
          <w:szCs w:val="24"/>
        </w:rPr>
      </w:pPr>
      <w:r w:rsidDel="00000000" w:rsidR="00000000" w:rsidRPr="00000000">
        <w:rPr>
          <w:b w:val="1"/>
          <w:rtl w:val="0"/>
        </w:rPr>
        <w:t xml:space="preserve">GDPR: </w:t>
      </w:r>
      <w:r w:rsidDel="00000000" w:rsidR="00000000" w:rsidRPr="00000000">
        <w:rPr>
          <w:rtl w:val="0"/>
        </w:rPr>
        <w:t xml:space="preserve">Ensure data access controls are sufficient to protect personal data, conduct impact assessments, and maintain records of processing activities.</w:t>
      </w:r>
    </w:p>
    <w:p w:rsidR="00000000" w:rsidDel="00000000" w:rsidP="00000000" w:rsidRDefault="00000000" w:rsidRPr="00000000" w14:paraId="00000026">
      <w:pPr>
        <w:keepNext w:val="0"/>
        <w:keepLines w:val="0"/>
        <w:pageBreakBefore w:val="0"/>
        <w:widowControl w:val="1"/>
        <w:numPr>
          <w:ilvl w:val="0"/>
          <w:numId w:val="5"/>
        </w:numPr>
        <w:pBdr>
          <w:top w:color="e3e3e3" w:space="0" w:sz="0" w:val="none"/>
          <w:left w:color="e3e3e3" w:space="4" w:sz="0" w:val="none"/>
          <w:bottom w:color="e3e3e3" w:space="0" w:sz="0" w:val="none"/>
          <w:right w:color="e3e3e3" w:space="0" w:sz="0" w:val="none"/>
          <w:between w:color="e3e3e3" w:space="0" w:sz="0" w:val="none"/>
        </w:pBdr>
        <w:shd w:fill="auto" w:val="clear"/>
        <w:spacing w:after="120" w:before="0" w:beforeAutospacing="0" w:line="276" w:lineRule="auto"/>
        <w:ind w:left="720" w:right="0" w:hanging="360"/>
        <w:jc w:val="left"/>
        <w:rPr>
          <w:rFonts w:ascii="Roboto" w:cs="Roboto" w:eastAsia="Roboto" w:hAnsi="Roboto"/>
          <w:color w:val="0d0d0d"/>
          <w:sz w:val="24"/>
          <w:szCs w:val="24"/>
        </w:rPr>
      </w:pPr>
      <w:r w:rsidDel="00000000" w:rsidR="00000000" w:rsidRPr="00000000">
        <w:rPr>
          <w:b w:val="1"/>
          <w:rtl w:val="0"/>
        </w:rPr>
        <w:t xml:space="preserve">HIPAA: </w:t>
      </w:r>
      <w:r w:rsidDel="00000000" w:rsidR="00000000" w:rsidRPr="00000000">
        <w:rPr>
          <w:rtl w:val="0"/>
        </w:rPr>
        <w:t xml:space="preserve">Regularly review access controls to PHI (Protected Health Information), ensure encryption of data in transit and at rest, and conduct training on HIPAA compliance.</w:t>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Annexes</w:t>
      </w:r>
    </w:p>
    <w:p w:rsidR="00000000" w:rsidDel="00000000" w:rsidP="00000000" w:rsidRDefault="00000000" w:rsidRPr="00000000" w14:paraId="00000028">
      <w:pPr>
        <w:rPr>
          <w:shd w:fill="fff2cc" w:val="clear"/>
        </w:rPr>
      </w:pPr>
      <w:r w:rsidDel="00000000" w:rsidR="00000000" w:rsidRPr="00000000">
        <w:rPr>
          <w:shd w:fill="fff2cc" w:val="clear"/>
          <w:rtl w:val="0"/>
        </w:rPr>
        <w:t xml:space="preserve">Include comprehensive forms for access requests, emergency access procedures, user acknowledgment of policy receipt, and audit checklists.</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pPr>
      <w:r w:rsidDel="00000000" w:rsidR="00000000" w:rsidRPr="00000000">
        <w:rPr>
          <w:b w:val="1"/>
          <w:rtl w:val="0"/>
        </w:rPr>
        <w:t xml:space="preserve">Access Request Form: </w:t>
      </w:r>
      <w:r w:rsidDel="00000000" w:rsidR="00000000" w:rsidRPr="00000000">
        <w:rPr>
          <w:rtl w:val="0"/>
        </w:rPr>
        <w:t xml:space="preserve">Form for employees to request access to systems or data.</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b w:val="1"/>
          <w:rtl w:val="0"/>
        </w:rPr>
        <w:t xml:space="preserve">Emergency Access Procedure: </w:t>
      </w:r>
      <w:r w:rsidDel="00000000" w:rsidR="00000000" w:rsidRPr="00000000">
        <w:rPr>
          <w:rtl w:val="0"/>
        </w:rPr>
        <w:t xml:space="preserve">Step-by-step procedure for granting emergency access, including checks and approvals required.</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b w:val="1"/>
          <w:rtl w:val="0"/>
        </w:rPr>
        <w:t xml:space="preserve">User Acknowledgment of Policy Receipt: </w:t>
      </w:r>
      <w:r w:rsidDel="00000000" w:rsidR="00000000" w:rsidRPr="00000000">
        <w:rPr>
          <w:rtl w:val="0"/>
        </w:rPr>
        <w:t xml:space="preserve">Document that every employee signs after they have received and understood the access control policy.</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pPr>
      <w:r w:rsidDel="00000000" w:rsidR="00000000" w:rsidRPr="00000000">
        <w:rPr>
          <w:b w:val="1"/>
          <w:rtl w:val="0"/>
        </w:rPr>
        <w:t xml:space="preserve">Audit Checklist:</w:t>
      </w:r>
      <w:r w:rsidDel="00000000" w:rsidR="00000000" w:rsidRPr="00000000">
        <w:rPr>
          <w:rtl w:val="0"/>
        </w:rPr>
        <w:t xml:space="preserve"> Detailed checklist used during internal and external audits to assess compliance with the access control policy.</w:t>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Enforcement</w:t>
      </w:r>
    </w:p>
    <w:p w:rsidR="00000000" w:rsidDel="00000000" w:rsidP="00000000" w:rsidRDefault="00000000" w:rsidRPr="00000000" w14:paraId="0000002E">
      <w:pPr>
        <w:rPr>
          <w:shd w:fill="fff2cc" w:val="clear"/>
        </w:rPr>
      </w:pPr>
      <w:r w:rsidDel="00000000" w:rsidR="00000000" w:rsidRPr="00000000">
        <w:rPr>
          <w:shd w:fill="fff2cc" w:val="clear"/>
          <w:rtl w:val="0"/>
        </w:rPr>
        <w:t xml:space="preserve">Outline specific sanctions for policy violations, ranging from warnings to termination, and the process for appeal and rectification.</w:t>
      </w:r>
    </w:p>
    <w:p w:rsidR="00000000" w:rsidDel="00000000" w:rsidP="00000000" w:rsidRDefault="00000000" w:rsidRPr="00000000" w14:paraId="0000002F">
      <w:pPr>
        <w:numPr>
          <w:ilvl w:val="0"/>
          <w:numId w:val="2"/>
        </w:numPr>
        <w:pBdr>
          <w:top w:color="e3e3e3" w:space="0" w:sz="0" w:val="none"/>
          <w:left w:color="e3e3e3" w:space="4" w:sz="0" w:val="none"/>
          <w:bottom w:color="e3e3e3" w:space="0" w:sz="0" w:val="none"/>
          <w:right w:color="e3e3e3" w:space="0" w:sz="0" w:val="none"/>
          <w:between w:color="e3e3e3" w:space="0" w:sz="0" w:val="none"/>
        </w:pBdr>
        <w:spacing w:after="0" w:afterAutospacing="0" w:before="120" w:lineRule="auto"/>
        <w:ind w:left="720" w:hanging="360"/>
        <w:rPr/>
      </w:pPr>
      <w:r w:rsidDel="00000000" w:rsidR="00000000" w:rsidRPr="00000000">
        <w:rPr>
          <w:b w:val="1"/>
          <w:rtl w:val="0"/>
        </w:rPr>
        <w:t xml:space="preserve">Minor Violation: </w:t>
      </w:r>
      <w:r w:rsidDel="00000000" w:rsidR="00000000" w:rsidRPr="00000000">
        <w:rPr>
          <w:rtl w:val="0"/>
        </w:rPr>
        <w:t xml:space="preserve">Warning issued to employees who inadvertently violate the policy, with required remedial security training.</w:t>
      </w:r>
    </w:p>
    <w:p w:rsidR="00000000" w:rsidDel="00000000" w:rsidP="00000000" w:rsidRDefault="00000000" w:rsidRPr="00000000" w14:paraId="00000030">
      <w:pPr>
        <w:numPr>
          <w:ilvl w:val="0"/>
          <w:numId w:val="2"/>
        </w:numPr>
        <w:pBdr>
          <w:top w:color="e3e3e3" w:space="0" w:sz="0" w:val="none"/>
          <w:left w:color="e3e3e3" w:space="4" w:sz="0" w:val="none"/>
          <w:bottom w:color="e3e3e3" w:space="0" w:sz="0" w:val="none"/>
          <w:right w:color="e3e3e3" w:space="0" w:sz="0" w:val="none"/>
          <w:between w:color="e3e3e3" w:space="0" w:sz="0" w:val="none"/>
        </w:pBdr>
        <w:spacing w:after="120" w:before="0" w:beforeAutospacing="0" w:lineRule="auto"/>
        <w:ind w:left="720" w:hanging="360"/>
        <w:rPr/>
      </w:pPr>
      <w:r w:rsidDel="00000000" w:rsidR="00000000" w:rsidRPr="00000000">
        <w:rPr>
          <w:b w:val="1"/>
          <w:rtl w:val="0"/>
        </w:rPr>
        <w:t xml:space="preserve">Major Violation: </w:t>
      </w:r>
      <w:r w:rsidDel="00000000" w:rsidR="00000000" w:rsidRPr="00000000">
        <w:rPr>
          <w:rtl w:val="0"/>
        </w:rPr>
        <w:t xml:space="preserve">Immediate suspension or termination of access rights, potential disciplinary action including termination of employment, and legal actions if necessary.</w:t>
      </w: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Policy Review and Modification</w:t>
      </w:r>
    </w:p>
    <w:p w:rsidR="00000000" w:rsidDel="00000000" w:rsidP="00000000" w:rsidRDefault="00000000" w:rsidRPr="00000000" w14:paraId="00000032">
      <w:pPr>
        <w:rPr>
          <w:shd w:fill="fff2cc" w:val="clear"/>
        </w:rPr>
      </w:pPr>
      <w:r w:rsidDel="00000000" w:rsidR="00000000" w:rsidRPr="00000000">
        <w:rPr>
          <w:shd w:fill="fff2cc" w:val="clear"/>
          <w:rtl w:val="0"/>
        </w:rPr>
        <w:t xml:space="preserve">Define a structured timeline for policy review, the stakeholders involved in the review process, and the protocol for updating the policy document in response to new threats or business changes.</w:t>
      </w:r>
    </w:p>
    <w:p w:rsidR="00000000" w:rsidDel="00000000" w:rsidP="00000000" w:rsidRDefault="00000000" w:rsidRPr="00000000" w14:paraId="00000033">
      <w:pPr>
        <w:numPr>
          <w:ilvl w:val="0"/>
          <w:numId w:val="3"/>
        </w:numPr>
        <w:pBdr>
          <w:top w:color="e3e3e3" w:space="0" w:sz="0" w:val="none"/>
          <w:left w:color="e3e3e3" w:space="4" w:sz="0" w:val="none"/>
          <w:bottom w:color="e3e3e3" w:space="0" w:sz="0" w:val="none"/>
          <w:right w:color="e3e3e3" w:space="0" w:sz="0" w:val="none"/>
          <w:between w:color="e3e3e3" w:space="0" w:sz="0" w:val="none"/>
        </w:pBdr>
        <w:spacing w:after="0" w:afterAutospacing="0" w:before="120" w:lineRule="auto"/>
        <w:ind w:left="720" w:hanging="360"/>
        <w:rPr/>
      </w:pPr>
      <w:r w:rsidDel="00000000" w:rsidR="00000000" w:rsidRPr="00000000">
        <w:rPr>
          <w:rtl w:val="0"/>
        </w:rPr>
        <w:t xml:space="preserve">Review Schedule: Annual review of the policy by the CISO, IT Security Manager, and key stakeholders.</w:t>
      </w:r>
    </w:p>
    <w:p w:rsidR="00000000" w:rsidDel="00000000" w:rsidP="00000000" w:rsidRDefault="00000000" w:rsidRPr="00000000" w14:paraId="00000034">
      <w:pPr>
        <w:numPr>
          <w:ilvl w:val="0"/>
          <w:numId w:val="3"/>
        </w:numPr>
        <w:pBdr>
          <w:top w:color="e3e3e3" w:space="0" w:sz="0" w:val="none"/>
          <w:left w:color="e3e3e3" w:space="4" w:sz="0" w:val="none"/>
          <w:bottom w:color="e3e3e3" w:space="0" w:sz="0" w:val="none"/>
          <w:right w:color="e3e3e3" w:space="0" w:sz="0" w:val="none"/>
          <w:between w:color="e3e3e3" w:space="0" w:sz="0" w:val="none"/>
        </w:pBdr>
        <w:spacing w:after="120" w:before="0" w:beforeAutospacing="0" w:lineRule="auto"/>
        <w:ind w:left="720" w:hanging="360"/>
        <w:rPr/>
      </w:pPr>
      <w:r w:rsidDel="00000000" w:rsidR="00000000" w:rsidRPr="00000000">
        <w:rPr>
          <w:rtl w:val="0"/>
        </w:rPr>
        <w:t xml:space="preserve">Modification Protocol: Process for proposing changes to the policy, which includes impact assessment, stakeholder consultation, and approval by senior management.</w:t>
      </w: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Heading1"/>
      <w:rPr/>
    </w:pPr>
    <w:bookmarkStart w:colFirst="0" w:colLast="0" w:name="_heading=h.q4ebdelbobtz" w:id="0"/>
    <w:bookmarkEnd w:id="0"/>
    <w:r w:rsidDel="00000000" w:rsidR="00000000" w:rsidRPr="00000000">
      <w:rPr>
        <w:rtl w:val="0"/>
      </w:rPr>
      <w:t xml:space="preserve">ACCESS CONTROL POLICY FOR IDENTITY SECURITY AND MANAGEMENT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fkDv9Pr2jhg+c9EMyKtcMKbD+w==">CgMxLjAyDmgucTRlYmRlbGJvYnR6OAByITFPNmdHRDlhOEpGdW5KdDg2YlFiNUROZk5DQUNuSlFuWA==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