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53nbdzkx9acn" w:id="0"/>
      <w:bookmarkEnd w:id="0"/>
      <w:r w:rsidDel="00000000" w:rsidR="00000000" w:rsidRPr="00000000">
        <w:rPr>
          <w:rFonts w:ascii="Roboto" w:cs="Roboto" w:eastAsia="Roboto" w:hAnsi="Roboto"/>
          <w:b w:val="1"/>
          <w:color w:val="0d0d0d"/>
          <w:rtl w:val="0"/>
        </w:rPr>
        <w:t xml:space="preserve">DATA SECURITY CLAUSE</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53nbdzkx9acn" w:id="0"/>
      <w:bookmarkEnd w:id="0"/>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Fonts w:ascii="Roboto" w:cs="Roboto" w:eastAsia="Roboto" w:hAnsi="Roboto"/>
          <w:color w:val="0d0d0d"/>
          <w:sz w:val="24"/>
          <w:szCs w:val="24"/>
          <w:rtl w:val="0"/>
        </w:rPr>
        <w:t xml:space="preserve">The Consultant agrees to implement comprehensive data protection and security measures that meet or exceed industry standards to safeguard client data against unauthorized access, use, alteration, or destruction. These security measures will be reviewed and updated on an ongoing basis in response to evolving threats and changes in legal and regulatory requirements.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