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b3h2mx5y8ld2" w:id="0"/>
      <w:bookmarkEnd w:id="0"/>
      <w:r w:rsidDel="00000000" w:rsidR="00000000" w:rsidRPr="00000000">
        <w:rPr>
          <w:rFonts w:ascii="Roboto" w:cs="Roboto" w:eastAsia="Roboto" w:hAnsi="Roboto"/>
          <w:b w:val="1"/>
          <w:color w:val="0d0d0d"/>
          <w:rtl w:val="0"/>
        </w:rPr>
        <w:t xml:space="preserve">DISPUTE RESOLUTION CLAUSE</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b3h2mx5y8ld2" w:id="0"/>
      <w:bookmarkEnd w:id="0"/>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lineRule="auto"/>
        <w:rPr/>
      </w:pPr>
      <w:r w:rsidDel="00000000" w:rsidR="00000000" w:rsidRPr="00000000">
        <w:rPr>
          <w:rFonts w:ascii="Roboto" w:cs="Roboto" w:eastAsia="Roboto" w:hAnsi="Roboto"/>
          <w:color w:val="0d0d0d"/>
          <w:sz w:val="24"/>
          <w:szCs w:val="24"/>
          <w:rtl w:val="0"/>
        </w:rPr>
        <w:t xml:space="preserve">Any controversies or disputes arising out of or relating to this contract shall be resolved by binding arbitration under the then-current rules of the American Arbitration Association. The parties shall select a mutually agreeable arbitrator knowledgeable about issues relating to the subject matter of this agreement. The arbitration shall take place within the jurisdiction where the Consultant’s offices are located, and the laws of the State shall apply.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