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q74wh8qedfrp" w:id="0"/>
      <w:bookmarkEnd w:id="0"/>
      <w:r w:rsidDel="00000000" w:rsidR="00000000" w:rsidRPr="00000000">
        <w:rPr>
          <w:rFonts w:ascii="Roboto" w:cs="Roboto" w:eastAsia="Roboto" w:hAnsi="Roboto"/>
          <w:b w:val="1"/>
          <w:color w:val="0d0d0d"/>
          <w:rtl w:val="0"/>
        </w:rPr>
        <w:t xml:space="preserve">TERMINATION CLAUSE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q74wh8qedfrp" w:id="0"/>
      <w:bookmarkEnd w:id="0"/>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This Agreement may be terminated by either party without cause by giving the other party 30 days written notice. Upon termination, the Client shall pay the Consultant for all services rendered to the date of termination, calculated pro-rata if applicable. Any payment for services rendered owed by the Client shall survive the termination of this agreement.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