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160"/>
      </w:pPr>
      <w:r>
        <w:rPr>
          <w:rFonts w:ascii="Arial Unicode MS" w:hAnsi="Arial Unicode MS" w:eastAsia="Arial Unicode MS"/>
          <w:b/>
          <w:color w:val="9A6B00"/>
          <w:sz w:val="20"/>
        </w:rPr>
        <w:t>OPERATIONS ENABLEMENT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17365D"/>
          <w:sz w:val="60"/>
        </w:rPr>
        <w:t>企业号产品业务手册</w:t>
      </w:r>
    </w:p>
    <w:p>
      <w:pPr>
        <w:spacing w:after="560"/>
      </w:pPr>
      <w:r>
        <w:rPr>
          <w:rFonts w:ascii="Arial Unicode MS" w:hAnsi="Arial Unicode MS" w:eastAsia="Arial Unicode MS"/>
          <w:b w:val="0"/>
          <w:color w:val="667085"/>
          <w:sz w:val="27"/>
        </w:rPr>
        <w:t>面向运营的现有产品全景、业务流程、权限边界与问题处理口径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文档属性</w:t>
            </w:r>
          </w:p>
        </w:tc>
        <w:tc>
          <w:tcPr>
            <w:tcW w:type="dxa" w:w="766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内容</w:t>
            </w:r>
          </w:p>
        </w:tc>
      </w:tr>
      <w:tr>
        <w:trPr/>
        <w:tc>
          <w:tcPr>
            <w:tcW w:type="dxa" w:w="1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适用对象</w:t>
            </w:r>
          </w:p>
        </w:tc>
        <w:tc>
          <w:tcPr>
            <w:tcW w:type="dxa" w:w="76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平台运营、商家运营、客服、培训与交付人员</w:t>
            </w:r>
          </w:p>
        </w:tc>
      </w:tr>
      <w:tr>
        <w:trPr/>
        <w:tc>
          <w:tcPr>
            <w:tcW w:type="dxa" w:w="1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产品范围</w:t>
            </w:r>
          </w:p>
        </w:tc>
        <w:tc>
          <w:tcPr>
            <w:tcW w:type="dxa" w:w="76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企业主端、普通员工端、小组长/组员协作、任务与收益闭环</w:t>
            </w:r>
          </w:p>
        </w:tc>
      </w:tr>
      <w:tr>
        <w:trPr/>
        <w:tc>
          <w:tcPr>
            <w:tcW w:type="dxa" w:w="1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版本口径</w:t>
            </w:r>
          </w:p>
        </w:tc>
        <w:tc>
          <w:tcPr>
            <w:tcW w:type="dxa" w:w="76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基于当前工作区主版本与 v61 已落地规则整理</w:t>
            </w:r>
          </w:p>
        </w:tc>
      </w:tr>
      <w:tr>
        <w:trPr/>
        <w:tc>
          <w:tcPr>
            <w:tcW w:type="dxa" w:w="1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重要变更</w:t>
            </w:r>
          </w:p>
        </w:tc>
        <w:tc>
          <w:tcPr>
            <w:tcW w:type="dxa" w:w="76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已移除企业主自定义用户昵称；用户昵称仅由用户本人维护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1F5FB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B59C3"/>
                <w:sz w:val="22"/>
              </w:rPr>
              <w:t>一句话理解企业号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企业号是围绕“企业组织协作—任务分发—内容生产与回填—订单收益—员工结算”搭建的多角色经营工作台。</w:t>
            </w:r>
          </w:p>
        </w:tc>
      </w:tr>
    </w:tbl>
    <w:p>
      <w:pPr>
        <w:spacing w:after="40" w:line="120" w:lineRule="auto"/>
      </w:pPr>
    </w:p>
    <w:p/>
    <w:p>
      <w:pPr>
        <w:spacing w:before="720"/>
        <w:jc w:val="right"/>
      </w:pPr>
      <w:r>
        <w:rPr>
          <w:rFonts w:ascii="Arial Unicode MS" w:hAnsi="Arial Unicode MS" w:eastAsia="Arial Unicode MS"/>
          <w:b w:val="0"/>
          <w:color w:val="667085"/>
          <w:sz w:val="20"/>
        </w:rPr>
        <w:t>产品业务文档  V1.0  ·  2026-08-24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01  </w:t>
      </w:r>
      <w:r>
        <w:rPr>
          <w:rFonts w:ascii="Arial Unicode MS" w:hAnsi="Arial Unicode MS" w:eastAsia="Arial Unicode MS"/>
          <w:b/>
          <w:color w:val="17365D"/>
          <w:sz w:val="24"/>
        </w:rPr>
        <w:t>产品定位与业务闭环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先建立企业号的整体认知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02  </w:t>
      </w:r>
      <w:r>
        <w:rPr>
          <w:rFonts w:ascii="Arial Unicode MS" w:hAnsi="Arial Unicode MS" w:eastAsia="Arial Unicode MS"/>
          <w:b/>
          <w:color w:val="17365D"/>
          <w:sz w:val="24"/>
        </w:rPr>
        <w:t>角色与权限边界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理解企业主、普通员工、小组长、组员的差异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03  </w:t>
      </w:r>
      <w:r>
        <w:rPr>
          <w:rFonts w:ascii="Arial Unicode MS" w:hAnsi="Arial Unicode MS" w:eastAsia="Arial Unicode MS"/>
          <w:b/>
          <w:color w:val="17365D"/>
          <w:sz w:val="24"/>
        </w:rPr>
        <w:t>企业入驻与员工加入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掌握从邀请到正式协作的完整流程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04  </w:t>
      </w:r>
      <w:r>
        <w:rPr>
          <w:rFonts w:ascii="Arial Unicode MS" w:hAnsi="Arial Unicode MS" w:eastAsia="Arial Unicode MS"/>
          <w:b/>
          <w:color w:val="17365D"/>
          <w:sz w:val="24"/>
        </w:rPr>
        <w:t>企业主经营工作台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了解总览、运营中心、企业设置与记录管理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05  </w:t>
      </w:r>
      <w:r>
        <w:rPr>
          <w:rFonts w:ascii="Arial Unicode MS" w:hAnsi="Arial Unicode MS" w:eastAsia="Arial Unicode MS"/>
          <w:b/>
          <w:color w:val="17365D"/>
          <w:sz w:val="24"/>
        </w:rPr>
        <w:t>任务、关键词与内容回填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理解核心生产链路及账号资产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06  </w:t>
      </w:r>
      <w:r>
        <w:rPr>
          <w:rFonts w:ascii="Arial Unicode MS" w:hAnsi="Arial Unicode MS" w:eastAsia="Arial Unicode MS"/>
          <w:b/>
          <w:color w:val="17365D"/>
          <w:sz w:val="24"/>
        </w:rPr>
        <w:t>收益、钱包与员工离职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理解分佣、提现、离职回收与对账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07  </w:t>
      </w:r>
      <w:r>
        <w:rPr>
          <w:rFonts w:ascii="Arial Unicode MS" w:hAnsi="Arial Unicode MS" w:eastAsia="Arial Unicode MS"/>
          <w:b/>
          <w:color w:val="17365D"/>
          <w:sz w:val="24"/>
        </w:rPr>
        <w:t>运营日常与异常处理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直接用于日常巡检、答疑和工单定位</w:t>
      </w:r>
    </w:p>
    <w:p>
      <w:pPr>
        <w:spacing w:after="180"/>
      </w:pPr>
      <w:r>
        <w:rPr>
          <w:rFonts w:ascii="Arial Unicode MS" w:hAnsi="Arial Unicode MS" w:eastAsia="Arial Unicode MS"/>
          <w:b/>
          <w:color w:val="2B59C3"/>
          <w:sz w:val="24"/>
        </w:rPr>
        <w:t xml:space="preserve">08  </w:t>
      </w:r>
      <w:r>
        <w:rPr>
          <w:rFonts w:ascii="Arial Unicode MS" w:hAnsi="Arial Unicode MS" w:eastAsia="Arial Unicode MS"/>
          <w:b/>
          <w:color w:val="17365D"/>
          <w:sz w:val="24"/>
        </w:rPr>
        <w:t>口径、指标与范围边界</w:t>
      </w:r>
      <w:r>
        <w:rPr>
          <w:rFonts w:ascii="Arial Unicode MS" w:hAnsi="Arial Unicode MS" w:eastAsia="Arial Unicode MS"/>
          <w:b w:val="0"/>
          <w:color w:val="667085"/>
          <w:sz w:val="20"/>
        </w:rPr>
        <w:br/>
        <w:t xml:space="preserve">      统一对外表达，避免能力误读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FF8E8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A6B00"/>
                <w:sz w:val="22"/>
              </w:rPr>
              <w:t>运营先记住的三件事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① 企业主统一管理员工身份、权限、项目与分成；② 配置变更通常只影响保存后的新订单，历史订单不追溯；③ 企业主不能替用户设置或修改昵称。</w:t>
            </w:r>
          </w:p>
        </w:tc>
      </w:tr>
    </w:tbl>
    <w:p>
      <w:pPr>
        <w:spacing w:after="40" w:line="120" w:lineRule="auto"/>
      </w:pPr>
    </w:p>
    <w:p>
      <w:r>
        <w:br w:type="page"/>
      </w:r>
    </w:p>
    <w:p>
      <w:pPr>
        <w:pStyle w:val="Heading1"/>
      </w:pPr>
      <w:r>
        <w:t>1. 产品定位与业务闭环</w:t>
      </w: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企业号服务于以项目推广、内容生产和订单结算为核心的企业协作场景。企业主在一个工作台中完成品牌配置、人员组织、项目权限、任务记录、收益查看和离职处置；员工在被授权的范围内参与任务、管理平台账号、提交关键词和作品回填，并查看个人收益或申请提现。</w:t>
      </w:r>
    </w:p>
    <w:p>
      <w:pPr>
        <w:pStyle w:val="Heading2"/>
      </w:pPr>
      <w:r>
        <w:t>1.1 核心业务对象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280"/>
        <w:gridCol w:w="3580"/>
      </w:tblGrid>
      <w:tr>
        <w:trPr>
          <w:tblHeader w:val="true"/>
        </w:trPr>
        <w:tc>
          <w:tcPr>
            <w:tcW w:type="dxa" w:w="150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业务对象</w:t>
            </w:r>
          </w:p>
        </w:tc>
        <w:tc>
          <w:tcPr>
            <w:tcW w:type="dxa" w:w="428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它是什么</w:t>
            </w:r>
          </w:p>
        </w:tc>
        <w:tc>
          <w:tcPr>
            <w:tcW w:type="dxa" w:w="358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运营关注点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</w:t>
            </w:r>
          </w:p>
        </w:tc>
        <w:tc>
          <w:tcPr>
            <w:tcW w:type="dxa" w:w="42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承载品牌、邀请码、项目授权、员工关系和经营数据的主体</w:t>
            </w:r>
          </w:p>
        </w:tc>
        <w:tc>
          <w:tcPr>
            <w:tcW w:type="dxa" w:w="35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认证与品牌信息、可用项目、协议合规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员工关系</w:t>
            </w:r>
          </w:p>
        </w:tc>
        <w:tc>
          <w:tcPr>
            <w:tcW w:type="dxa" w:w="42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用户加入某企业后形成的协作关系，包含状态、角色、权限、分成和归属</w:t>
            </w:r>
          </w:p>
        </w:tc>
        <w:tc>
          <w:tcPr>
            <w:tcW w:type="dxa" w:w="35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在职/离职、角色层级、收益与项目权限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项目/任务</w:t>
            </w:r>
          </w:p>
        </w:tc>
        <w:tc>
          <w:tcPr>
            <w:tcW w:type="dxa" w:w="42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企业被授权运营的业务项目，以及员工可参与的任务内容</w:t>
            </w:r>
          </w:p>
        </w:tc>
        <w:tc>
          <w:tcPr>
            <w:tcW w:type="dxa" w:w="35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项目是否开放、任务规则、动态表单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关键词</w:t>
            </w:r>
          </w:p>
        </w:tc>
        <w:tc>
          <w:tcPr>
            <w:tcW w:type="dxa" w:w="42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员工参与任务后形成的可追踪生产资产，可继续提词、回填或转赠</w:t>
            </w:r>
          </w:p>
        </w:tc>
        <w:tc>
          <w:tcPr>
            <w:tcW w:type="dxa" w:w="35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归属、状态、离职回收、转赠记录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平台账号</w:t>
            </w:r>
          </w:p>
        </w:tc>
        <w:tc>
          <w:tcPr>
            <w:tcW w:type="dxa" w:w="42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员工用于内容发布与回填的平台账号资料</w:t>
            </w:r>
          </w:p>
        </w:tc>
        <w:tc>
          <w:tcPr>
            <w:tcW w:type="dxa" w:w="35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账号 ID/UID、主页链接、账号映射与可用性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订单与收益</w:t>
            </w:r>
          </w:p>
        </w:tc>
        <w:tc>
          <w:tcPr>
            <w:tcW w:type="dxa" w:w="42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回填结果经审核和订单拉取后形成的结算记录</w:t>
            </w:r>
          </w:p>
        </w:tc>
        <w:tc>
          <w:tcPr>
            <w:tcW w:type="dxa" w:w="35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订单快照、分佣、结算状态、流水与提现</w:t>
            </w:r>
          </w:p>
        </w:tc>
      </w:tr>
    </w:tbl>
    <w:p>
      <w:pPr>
        <w:spacing w:after="40"/>
      </w:pPr>
    </w:p>
    <w:p>
      <w:pPr>
        <w:pStyle w:val="Heading2"/>
      </w:pPr>
      <w:r>
        <w:t>1.2 业务闭环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企业主完成企业品牌、邀请规则和项目预设配置，并生成二维码或邀请链接。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用户登录、同意协议并提交加入申请；企业主审核通过后建立员工关系。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企业主设置员工状态、真实角色、展示标签、项目权限、分成与收益查看权限。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员工浏览任务并参与，形成关键词或组合提词记录；必要时维护发布平台账号。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员工发布内容后进行单条或批量回填，平台完成审核、订单拉取和结算。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收益按订单形成时的员工状态、身份、归属及分佣配置快照入账。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员工完成实名认证、绑定收款账户并在授权范围内申请提现；企业主查看经营记录和整体收益。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color w:val="222222"/>
          <w:sz w:val="22"/>
        </w:rPr>
        <w:t>员工离职时，未提现余额自动回收至企业主，未完成关键词进入转赠池继续分配。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1F5FB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B59C3"/>
                <w:sz w:val="22"/>
              </w:rPr>
              <w:t>配置生效原则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员工身份、层级归属和分佣配置保存后立即生效，但只用于后续新订单；历史订单沿用形成时的快照，不做追溯重算。</w:t>
            </w:r>
          </w:p>
        </w:tc>
      </w:tr>
    </w:tbl>
    <w:p>
      <w:pPr>
        <w:spacing w:after="40" w:line="120" w:lineRule="auto"/>
      </w:pPr>
    </w:p>
    <w:p>
      <w:pPr>
        <w:pStyle w:val="Heading1"/>
      </w:pPr>
      <w:r>
        <w:t>2. 角色与权限边界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2250"/>
        <w:gridCol w:w="3550"/>
        <w:gridCol w:w="2310"/>
      </w:tblGrid>
      <w:tr>
        <w:trPr>
          <w:tblHeader w:val="true"/>
        </w:trPr>
        <w:tc>
          <w:tcPr>
            <w:tcW w:type="dxa" w:w="125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角色</w:t>
            </w:r>
          </w:p>
        </w:tc>
        <w:tc>
          <w:tcPr>
            <w:tcW w:type="dxa" w:w="225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核心职责</w:t>
            </w:r>
          </w:p>
        </w:tc>
        <w:tc>
          <w:tcPr>
            <w:tcW w:type="dxa" w:w="355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典型可见能力</w:t>
            </w:r>
          </w:p>
        </w:tc>
        <w:tc>
          <w:tcPr>
            <w:tcW w:type="dxa" w:w="231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主要限制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企业主</w:t>
            </w:r>
          </w:p>
        </w:tc>
        <w:tc>
          <w:tcPr>
            <w:tcW w:type="dxa" w:w="2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经营管理与组织治理</w:t>
            </w:r>
          </w:p>
        </w:tc>
        <w:tc>
          <w:tcPr>
            <w:tcW w:type="dxa" w:w="35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总览、员工/项目权限、任务与财务记录、邀请、品牌、离职处置</w:t>
            </w:r>
          </w:p>
        </w:tc>
        <w:tc>
          <w:tcPr>
            <w:tcW w:type="dxa" w:w="231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不能替用户修改昵称；不应改写历史订单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普通员工</w:t>
            </w:r>
          </w:p>
        </w:tc>
        <w:tc>
          <w:tcPr>
            <w:tcW w:type="dxa" w:w="2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独立参与项目并提交成果</w:t>
            </w:r>
          </w:p>
        </w:tc>
        <w:tc>
          <w:tcPr>
            <w:tcW w:type="dxa" w:w="35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任务、词库、账号、回填、个人收益、钱包</w:t>
            </w:r>
          </w:p>
        </w:tc>
        <w:tc>
          <w:tcPr>
            <w:tcW w:type="dxa" w:w="231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仅访问企业和本人被授权的范围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小组长</w:t>
            </w:r>
          </w:p>
        </w:tc>
        <w:tc>
          <w:tcPr>
            <w:tcW w:type="dxa" w:w="2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带领组员并承担团队协作</w:t>
            </w:r>
          </w:p>
        </w:tc>
        <w:tc>
          <w:tcPr>
            <w:tcW w:type="dxa" w:w="35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工作室、组员数据；经授权可看下属订单、个人收益和做单统计</w:t>
            </w:r>
          </w:p>
        </w:tc>
        <w:tc>
          <w:tcPr>
            <w:tcW w:type="dxa" w:w="231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是否可看下属数据由企业主开关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组员</w:t>
            </w:r>
          </w:p>
        </w:tc>
        <w:tc>
          <w:tcPr>
            <w:tcW w:type="dxa" w:w="2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归属某位小组长参与任务</w:t>
            </w:r>
          </w:p>
        </w:tc>
        <w:tc>
          <w:tcPr>
            <w:tcW w:type="dxa" w:w="35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员工侧任务、账号、回填、个人收益</w:t>
            </w:r>
          </w:p>
        </w:tc>
        <w:tc>
          <w:tcPr>
            <w:tcW w:type="dxa" w:w="231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同一时间只能归属一名在职小组长</w:t>
            </w:r>
          </w:p>
        </w:tc>
      </w:tr>
    </w:tbl>
    <w:p>
      <w:pPr>
        <w:spacing w:after="40"/>
      </w:pPr>
    </w:p>
    <w:p>
      <w:pPr>
        <w:pStyle w:val="Heading2"/>
      </w:pPr>
      <w:r>
        <w:t>2.1 企业主管理能力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管理员工在职/离职状态、收益数据查看权限和常规分成比例。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设置真实身份为普通员工、小组长或组员，并维护小组长与组员的归属关系。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配置员工可参与项目、字节任务台入口和提现权限；支持部分批量操作。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查看企业总览、员工数据、推广/回填/收益/提现记录，并发放虚拟订单。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处理员工离职后的余额回收和关键词重新分配。</w:t>
      </w:r>
    </w:p>
    <w:p>
      <w:pPr>
        <w:pStyle w:val="Heading2"/>
      </w:pPr>
      <w:r>
        <w:t>2.2 昵称与角色标签：必须区分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FF1F0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本版需求调整：移除企业主自定义用户昵称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企业主端不提供“为员工设置昵称、备注昵称、企业内别名”能力，也不向员工配置接口提交昵称字段。列表、搜索、订单和记录中显示的昵称来自用户个人资料。</w:t>
            </w:r>
          </w:p>
        </w:tc>
      </w:tr>
    </w:tbl>
    <w:p>
      <w:pPr>
        <w:spacing w:after="40" w:line="12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字段/能力</w:t>
            </w:r>
          </w:p>
        </w:tc>
        <w:tc>
          <w:tcPr>
            <w:tcW w:type="dxa" w:w="686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现有产品口径</w:t>
            </w:r>
          </w:p>
        </w:tc>
      </w:tr>
      <w:tr>
        <w:trPr/>
        <w:tc>
          <w:tcPr>
            <w:tcW w:type="dxa" w:w="2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用户昵称</w:t>
            </w:r>
          </w:p>
        </w:tc>
        <w:tc>
          <w:tcPr>
            <w:tcW w:type="dxa" w:w="68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由用户本人在“账户中心—修改昵称”维护；企业主只能查看和按昵称搜索。</w:t>
            </w:r>
          </w:p>
        </w:tc>
      </w:tr>
      <w:tr>
        <w:trPr/>
        <w:tc>
          <w:tcPr>
            <w:tcW w:type="dxa" w:w="2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企业主自定义用户昵称</w:t>
            </w:r>
          </w:p>
        </w:tc>
        <w:tc>
          <w:tcPr>
            <w:tcW w:type="dxa" w:w="68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不在现有需求范围，产品不提供入口、字段、批量设置或企业内独立昵称。</w:t>
            </w:r>
          </w:p>
        </w:tc>
      </w:tr>
      <w:tr>
        <w:trPr/>
        <w:tc>
          <w:tcPr>
            <w:tcW w:type="dxa" w:w="2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自定义角色标签</w:t>
            </w:r>
          </w:p>
        </w:tc>
        <w:tc>
          <w:tcPr>
            <w:tcW w:type="dxa" w:w="68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继续保留。企业主可设置 1—5 个汉字，仅替换员工姓名旁的角色展示，不改变真实身份、权限、归属或分佣。</w:t>
            </w:r>
          </w:p>
        </w:tc>
      </w:tr>
      <w:tr>
        <w:trPr/>
        <w:tc>
          <w:tcPr>
            <w:tcW w:type="dxa" w:w="2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协作识别</w:t>
            </w:r>
          </w:p>
        </w:tc>
        <w:tc>
          <w:tcPr>
            <w:tcW w:type="dxa" w:w="68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运营定位人员时同时使用用户昵称、手机号、用户/协作 ID；昵称不应作为唯一身份凭证。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运营答复建议：用户反馈“企业主改不了员工昵称”时，应说明这是产品权限边界，并引导员工本人进入账户中心修改；若企业只想区分岗位，可使用自定义角色标签。</w:t>
      </w:r>
    </w:p>
    <w:p>
      <w:pPr>
        <w:pStyle w:val="Heading1"/>
      </w:pPr>
      <w:r>
        <w:t>3. 企业入驻与员工加入</w:t>
      </w:r>
    </w:p>
    <w:p>
      <w:pPr>
        <w:pStyle w:val="Heading2"/>
      </w:pPr>
      <w:r>
        <w:t>3.1 企业准备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222222"/>
          <w:sz w:val="22"/>
        </w:rPr>
        <w:t>配置员工端品牌名称、Logo 和简介，并确认企业可用协议；员工端采用白标展示。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222222"/>
          <w:sz w:val="22"/>
        </w:rPr>
        <w:t>确认企业已获授权的项目范围，并在邀请设置中配置新员工默认的收益查看权限。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222222"/>
          <w:sz w:val="22"/>
        </w:rPr>
        <w:t>设置项目预设：决定新加入员工默认开放哪些项目；后续也可同步给全部协作者。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222222"/>
          <w:sz w:val="22"/>
        </w:rPr>
        <w:t>生成并分发二维码或邀请链接。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FF8E8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A6B00"/>
                <w:sz w:val="22"/>
              </w:rPr>
              <w:t>预设生效范围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邀请设置中的员工权限预设仅对配置变更后新加入的员工生效；项目预设可通过“同步给所有协作者”主动覆盖现有协作者的项目开关。</w:t>
            </w:r>
          </w:p>
        </w:tc>
      </w:tr>
    </w:tbl>
    <w:p>
      <w:pPr>
        <w:spacing w:after="40" w:line="120" w:lineRule="auto"/>
      </w:pPr>
    </w:p>
    <w:p>
      <w:pPr>
        <w:pStyle w:val="Heading2"/>
      </w:pPr>
      <w:r>
        <w:t>3.2 用户加入与审核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color w:val="222222"/>
          <w:sz w:val="22"/>
        </w:rPr>
        <w:t>用户通过二维码/链接进入邀请页，完成手机号验证码或密码登录。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color w:val="222222"/>
          <w:sz w:val="22"/>
        </w:rPr>
        <w:t>用户确认企业信息，阅读并同意相关协议后提交加入申请。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color w:val="222222"/>
          <w:sz w:val="22"/>
        </w:rPr>
        <w:t>企业主在“加入申请”查看申请人、手机号、申请时间等信息，并进行通过或驳回。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color w:val="222222"/>
          <w:sz w:val="22"/>
        </w:rPr>
        <w:t>驳回时填写原因，便于申请人补充后重新提交；已处理申请不可重复审核。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color w:val="222222"/>
          <w:sz w:val="22"/>
        </w:rPr>
        <w:t>通过后形成员工关系，企业主继续完成员工状态、项目、角色、分成等配置。</w:t>
      </w:r>
    </w:p>
    <w:p>
      <w:pPr>
        <w:pStyle w:val="Heading2"/>
      </w:pPr>
      <w:r>
        <w:t>3.3 加入后的首轮检查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员工是否为在职状态。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员工是否看得到应参与的项目和任务。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收益数据、提现、字节任务台等入口是否按运营方案开启。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若启用进阶管理，小组长/组员关系和分成是否保存成功。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员工本人昵称、手机号和协作 ID 是否能用于准确识别。</w:t>
      </w:r>
    </w:p>
    <w:p>
      <w:pPr>
        <w:pStyle w:val="Heading1"/>
      </w:pPr>
      <w:r>
        <w:t>4. 企业主经营工作台</w:t>
      </w:r>
    </w:p>
    <w:p>
      <w:pPr>
        <w:pStyle w:val="Heading2"/>
      </w:pPr>
      <w:r>
        <w:t>4.1 总览</w:t>
      </w: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总览用于快速判断企业经营规模和近期表现，包含企业主总收益、推广总收益、员工总收益、员工数量、推广任务量和回填量，并可按时间区间查看明细。员工维度可展示角色、收益、推广任务和回填数量。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1F5FB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B59C3"/>
                <w:sz w:val="22"/>
              </w:rPr>
              <w:t>运营用途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总览适合做健康度判断和异常发现，不替代订单/流水对账；金额问题要继续进入收益记录、订单记录或钱包流水核对。</w:t>
            </w:r>
          </w:p>
        </w:tc>
      </w:tr>
    </w:tbl>
    <w:p>
      <w:pPr>
        <w:spacing w:after="40" w:line="120" w:lineRule="auto"/>
      </w:pPr>
    </w:p>
    <w:p>
      <w:pPr>
        <w:pStyle w:val="Heading2"/>
      </w:pPr>
      <w:r>
        <w:t>4.2 运营中心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模块</w:t>
            </w:r>
          </w:p>
        </w:tc>
        <w:tc>
          <w:tcPr>
            <w:tcW w:type="dxa" w:w="470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企业主可以做什么</w:t>
            </w:r>
          </w:p>
        </w:tc>
        <w:tc>
          <w:tcPr>
            <w:tcW w:type="dxa" w:w="316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运营重点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员工管理</w:t>
            </w:r>
          </w:p>
        </w:tc>
        <w:tc>
          <w:tcPr>
            <w:tcW w:type="dxa" w:w="4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搜索/筛选员工，配置状态、权限、分成、角色标签、进阶角色与项目权限</w:t>
            </w:r>
          </w:p>
        </w:tc>
        <w:tc>
          <w:tcPr>
            <w:tcW w:type="dxa" w:w="31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变更对新订单生效；离职需二次确认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批量操作</w:t>
            </w:r>
          </w:p>
        </w:tc>
        <w:tc>
          <w:tcPr>
            <w:tcW w:type="dxa" w:w="4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批量设置展示标签、分成、提现或字节任务台等支持的权限</w:t>
            </w:r>
          </w:p>
        </w:tc>
        <w:tc>
          <w:tcPr>
            <w:tcW w:type="dxa" w:w="31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先核对选择范围，避免误操作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虚拟订单</w:t>
            </w:r>
          </w:p>
        </w:tc>
        <w:tc>
          <w:tcPr>
            <w:tcW w:type="dxa" w:w="4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选择员工、金额和关键词后生成业务订单</w:t>
            </w:r>
          </w:p>
        </w:tc>
        <w:tc>
          <w:tcPr>
            <w:tcW w:type="dxa" w:w="31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确认员工与关键词有效，关注记录留痕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关键词转赠</w:t>
            </w:r>
          </w:p>
        </w:tc>
        <w:tc>
          <w:tcPr>
            <w:tcW w:type="dxa" w:w="4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处理离职关键词公池，将未完成关键词重新分配给在职员工</w:t>
            </w:r>
          </w:p>
        </w:tc>
        <w:tc>
          <w:tcPr>
            <w:tcW w:type="dxa" w:w="31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仅更新当前归属，保留转赠记录</w:t>
            </w:r>
          </w:p>
        </w:tc>
      </w:tr>
      <w:tr>
        <w:trPr/>
        <w:tc>
          <w:tcPr>
            <w:tcW w:type="dxa" w:w="15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记录中心</w:t>
            </w:r>
          </w:p>
        </w:tc>
        <w:tc>
          <w:tcPr>
            <w:tcW w:type="dxa" w:w="47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查看推广任务、回填、收益和提现记录，支持关键词/昵称/项目等搜索</w:t>
            </w:r>
          </w:p>
        </w:tc>
        <w:tc>
          <w:tcPr>
            <w:tcW w:type="dxa" w:w="31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按业务单号和人员信息定位异常</w:t>
            </w:r>
          </w:p>
        </w:tc>
      </w:tr>
    </w:tbl>
    <w:p>
      <w:pPr>
        <w:spacing w:after="40"/>
      </w:pPr>
    </w:p>
    <w:p>
      <w:pPr>
        <w:pStyle w:val="Heading2"/>
      </w:pPr>
      <w:r>
        <w:t>4.3 员工基础与进阶管理</w:t>
      </w: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基础管理包含员工状态、收益数据查看和常规分成。项目权限按项目逐一或批量开启/关闭。进阶管理开启后，普通员工可升级为小组长或组员，并配置层级归属、个人分成、团队业绩分成及下属数据查看权限。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设置为组员时，必须选择一名在职小组长；组员只能归属一个小组长。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设置为小组长时，可关联符合条件的在职普通员工，并可解除单个或多个组员关系。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关闭进阶管理后恢复普通员工并解除层级关系。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角色标签只是展示层；真实角色以系统保存的普通员工/小组长/组员为准。</w:t>
      </w:r>
    </w:p>
    <w:p>
      <w:pPr>
        <w:pStyle w:val="Heading2"/>
      </w:pPr>
      <w:r>
        <w:t>4.4 企业设置与消息合规</w:t>
      </w: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“我”页聚合企业收益卡、快捷入口、消息通知和设置。企业设置支持员工端品牌名称、Logo、简介及合规协议查看；企业主还可获取员工邀请码、保存邀请配置和同步项目预设。平台公告、帮助中心、风险与处罚、税务与发票等内容用于运营解释和合规触达。</w:t>
      </w:r>
    </w:p>
    <w:p>
      <w:pPr>
        <w:pStyle w:val="Heading1"/>
      </w:pPr>
      <w:r>
        <w:t>5. 任务、关键词与内容回填</w:t>
      </w:r>
    </w:p>
    <w:p>
      <w:pPr>
        <w:pStyle w:val="Heading2"/>
      </w:pPr>
      <w:r>
        <w:t>5.1 员工任务链路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222222"/>
          <w:sz w:val="22"/>
        </w:rPr>
        <w:t>在员工首页/工作室查看被授权且当前可参与的任务。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222222"/>
          <w:sz w:val="22"/>
        </w:rPr>
        <w:t>进入任务详情，阅读项目介绍、说明要求、流程、注意事项、教学和参与记录。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222222"/>
          <w:sz w:val="22"/>
        </w:rPr>
        <w:t>点击参与后填写项目动态表单；不同项目可能要求书籍、关键词、账号或其他字段。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222222"/>
          <w:sz w:val="22"/>
        </w:rPr>
        <w:t>提交后在“我的词库”查看关键词状态，并使用提词、组合提词或生成记录继续生产内容。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222222"/>
          <w:sz w:val="22"/>
        </w:rPr>
        <w:t>发布内容后进入立即回填或批量回填，填写视频链接、平台账号、发布日期、播放量、附件等项目字段。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222222"/>
          <w:sz w:val="22"/>
        </w:rPr>
        <w:t>提交后查看作品/回填记录和审核结果；通过后进入订单拉取与收益结算。</w:t>
      </w:r>
    </w:p>
    <w:p>
      <w:pPr>
        <w:pStyle w:val="Heading2"/>
      </w:pPr>
      <w:r>
        <w:t>5.2 关键词生命周期</w:t>
      </w: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关键词是连接任务参与、内容生产、作品回填和收益追踪的关键资产。员工可在词库中查看状态、编辑被驳回记录、切换符合条件的项目、删除允许删除的记录或进行批量回填。组合提词可多选项目并形成组合回填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1F5FB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B59C3"/>
                <w:sz w:val="22"/>
              </w:rPr>
              <w:t>离职关键词规则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员工离职后，其未完成关键词自动进入待转赠池。企业主选择新的在职员工后完成转赠；系统只更新当前归属并新增一条归属变更记录，不抹除原员工和操作轨迹。</w:t>
            </w:r>
          </w:p>
        </w:tc>
      </w:tr>
    </w:tbl>
    <w:p>
      <w:pPr>
        <w:spacing w:after="40" w:line="120" w:lineRule="auto"/>
      </w:pPr>
    </w:p>
    <w:p>
      <w:pPr>
        <w:pStyle w:val="Heading2"/>
      </w:pPr>
      <w:r>
        <w:t>5.3 发布账号资产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员工可新增、编辑和删除平台账号，字段包括平台、账号 ID、账号名称、UID、DID、粉丝量和主页链接等。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支持粘贴主页链接进行智能识别，也可手动添加；平台字段规则按项目和平台动态展示。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CapCut 与 TikTok 场景可能要求账号一一对应，回填时需选择有效账号。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账号昵称属于发布平台账号资料，不等同于企业主为员工设置用户昵称。</w:t>
      </w:r>
    </w:p>
    <w:p>
      <w:pPr>
        <w:pStyle w:val="Heading2"/>
      </w:pPr>
      <w:r>
        <w:t>5.4 字节任务台</w:t>
      </w: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企业主可为员工开启字节任务台入口并查看员工绑定状态。员工进入后可获取机构专属链接，填写字节 UID、登录手机号并上传能显示机构名称和 UID 的截图。未获入口权限时，页面提示联系企业主开启。</w:t>
      </w:r>
    </w:p>
    <w:p>
      <w:pPr>
        <w:pStyle w:val="Heading1"/>
      </w:pPr>
      <w:r>
        <w:t>6. 收益、钱包与员工离职</w:t>
      </w:r>
    </w:p>
    <w:p>
      <w:pPr>
        <w:pStyle w:val="Heading2"/>
      </w:pPr>
      <w:r>
        <w:t>6.1 收益形成与展示</w:t>
      </w:r>
    </w:p>
    <w:p>
      <w:pPr>
        <w:keepNext w:val="0"/>
        <w:spacing w:after="120" w:line="300" w:lineRule="auto"/>
      </w:pPr>
      <w:r>
        <w:rPr>
          <w:rFonts w:ascii="Arial Unicode MS" w:hAnsi="Arial Unicode MS" w:eastAsia="Arial Unicode MS"/>
          <w:b w:val="0"/>
          <w:color w:val="222222"/>
          <w:sz w:val="22"/>
        </w:rPr>
        <w:t>企业收益来自通过业务链路形成的订单。系统区分待结算与已结算，并提供订单日期、关键词、员工、项目、分佣比例和收益等明细。企业主可查看企业整体、推广、员工及个人维度的收益；员工是否可见收益页由企业主权限控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普通员工订单按订单形成时保存的员工分成规则入账，企业主获得相应企业收益。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进阶角色订单按保存时的小组长/组员归属、个人分成和团队业绩分成规则计算。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身份、归属和分成调整只影响新订单；历史订单使用原快照。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订单拉取时固化在职/离职状态，避免员工离职后仍新增待提现收益。</w:t>
      </w:r>
    </w:p>
    <w:p>
      <w:pPr>
        <w:pStyle w:val="Heading2"/>
      </w:pPr>
      <w:r>
        <w:t>6.2 员工提现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color w:val="222222"/>
          <w:sz w:val="22"/>
        </w:rPr>
        <w:t>员工完成实名认证；未认证、审核中或驳回时按页面提示处理。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color w:val="222222"/>
          <w:sz w:val="22"/>
        </w:rPr>
        <w:t>绑定个人收款账户/银行卡，并确保账户信息有效。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color w:val="222222"/>
          <w:sz w:val="22"/>
        </w:rPr>
        <w:t>企业主已为员工开启提现权限；员工设置提现密码。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color w:val="222222"/>
          <w:sz w:val="22"/>
        </w:rPr>
        <w:t>员工输入提现金额，系统计算预扣税额并提交申请。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color w:val="222222"/>
          <w:sz w:val="22"/>
        </w:rPr>
        <w:t>员工可查看审核中、已打款、已驳回等记录，以及实际到账、税额和时间信息。</w:t>
      </w:r>
    </w:p>
    <w:p>
      <w:pPr>
        <w:pStyle w:val="Heading2"/>
      </w:pPr>
      <w:r>
        <w:t>6.3 离职收益回收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FF1F0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当前正式规则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员工有待提现余额也可以离职。企业主将状态从在职改为离职并二次确认后，系统一次性完成员工负数回收流水、企业主等额正数流水和离职回收累计金额更新。</w:t>
            </w:r>
          </w:p>
        </w:tc>
      </w:tr>
    </w:tbl>
    <w:p>
      <w:pPr>
        <w:spacing w:after="40" w:line="120" w:lineRule="auto"/>
      </w:pP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企业主在员工管理中可直接看到当前待提现金额；切换离职后保存按钮变为“确认离职并保存”。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确认弹层明确展示员工、余额和三步处理结果；取消不提交。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回收后员工待提现金额归零，企业主“我”页收益卡增加“离职员工回收金额”。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员工负流水与企业主正流水金额一致，并可通过同一回收配对号进行对账；重复离职请求不得重复回收。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离职后的新订单不得再进入员工待提现，按服务端既定离职订单归属规则计入企业主。</w:t>
      </w:r>
    </w:p>
    <w:p>
      <w:pPr>
        <w:pStyle w:val="Heading2"/>
      </w:pPr>
      <w:r>
        <w:t>6.4 离职对账检查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员工状态已变为离职，待提现金额为 0。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员工出现一笔等额负数离职回收流水。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企业主出现一笔等额正数离职员工收益回收流水。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两笔流水回收配对号一致，离职回收累计金额同步增加。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后续订单未再增加该员工待提现；未完成关键词已进入转赠池。</w:t>
      </w:r>
    </w:p>
    <w:p>
      <w:pPr>
        <w:pStyle w:val="Heading1"/>
      </w:pPr>
      <w:r>
        <w:t>7. 运营日常与异常处理</w:t>
      </w:r>
    </w:p>
    <w:p>
      <w:pPr>
        <w:pStyle w:val="Heading2"/>
      </w:pPr>
      <w:r>
        <w:t>7.1 日常巡检清单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4930"/>
        <w:gridCol w:w="3180"/>
      </w:tblGrid>
      <w:tr>
        <w:trPr>
          <w:tblHeader w:val="true"/>
        </w:trPr>
        <w:tc>
          <w:tcPr>
            <w:tcW w:type="dxa" w:w="125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频率</w:t>
            </w:r>
          </w:p>
        </w:tc>
        <w:tc>
          <w:tcPr>
            <w:tcW w:type="dxa" w:w="493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建议动作</w:t>
            </w:r>
          </w:p>
        </w:tc>
        <w:tc>
          <w:tcPr>
            <w:tcW w:type="dxa" w:w="318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关注结果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每日</w:t>
            </w:r>
          </w:p>
        </w:tc>
        <w:tc>
          <w:tcPr>
            <w:tcW w:type="dxa" w:w="493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查看加入申请、消息公告、回填/收益/提现异常记录</w:t>
            </w:r>
          </w:p>
        </w:tc>
        <w:tc>
          <w:tcPr>
            <w:tcW w:type="dxa" w:w="31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申请及时处理，失败或驳回有明确原因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每日</w:t>
            </w:r>
          </w:p>
        </w:tc>
        <w:tc>
          <w:tcPr>
            <w:tcW w:type="dxa" w:w="493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关注员工离职、余额回收和关键词待转赠</w:t>
            </w:r>
          </w:p>
        </w:tc>
        <w:tc>
          <w:tcPr>
            <w:tcW w:type="dxa" w:w="31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余额只回收一次，关键词及时重新分配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每周</w:t>
            </w:r>
          </w:p>
        </w:tc>
        <w:tc>
          <w:tcPr>
            <w:tcW w:type="dxa" w:w="493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查看企业总览、员工活跃与任务/回填趋势</w:t>
            </w:r>
          </w:p>
        </w:tc>
        <w:tc>
          <w:tcPr>
            <w:tcW w:type="dxa" w:w="31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定位低参与、低回填或收益异常员工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每周</w:t>
            </w:r>
          </w:p>
        </w:tc>
        <w:tc>
          <w:tcPr>
            <w:tcW w:type="dxa" w:w="493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抽查角色、项目、收益查看、提现和字节入口权限</w:t>
            </w:r>
          </w:p>
        </w:tc>
        <w:tc>
          <w:tcPr>
            <w:tcW w:type="dxa" w:w="31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权限与运营方案一致，无批量误配</w:t>
            </w:r>
          </w:p>
        </w:tc>
      </w:tr>
      <w:tr>
        <w:trPr/>
        <w:tc>
          <w:tcPr>
            <w:tcW w:type="dxa" w:w="125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配置后</w:t>
            </w:r>
          </w:p>
        </w:tc>
        <w:tc>
          <w:tcPr>
            <w:tcW w:type="dxa" w:w="493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验证新员工预设、项目同步及新订单快照</w:t>
            </w:r>
          </w:p>
        </w:tc>
        <w:tc>
          <w:tcPr>
            <w:tcW w:type="dxa" w:w="31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生效范围与时间符合预期</w:t>
            </w:r>
          </w:p>
        </w:tc>
      </w:tr>
    </w:tbl>
    <w:p>
      <w:pPr>
        <w:spacing w:after="40"/>
      </w:pPr>
    </w:p>
    <w:p>
      <w:pPr>
        <w:pStyle w:val="Heading2"/>
      </w:pPr>
      <w:r>
        <w:t>7.2 常见问题定位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员工看不到任务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先确认员工在职；再检查企业是否获项目授权、员工项目权限、邀请预设/同步结果和任务当前状态。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员工看不到收益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检查员工的“收益数据”权限；确认菜单由服务端按角色和权限返回。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员工不能提现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依次核对实名认证、收款账户、企业主提现权限、提现密码、可提现余额及税费计算。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企业主想改员工昵称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明确告知不支持。由员工本人在账户中心修改昵称；岗位区分使用自定义角色标签。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离职后余额没有归零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检查离职是否真正确认成功、员工/企业主是否出现成对流水及累计回收金额；按员工 ID、回收配对号升级对账。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离职后员工仍有新收益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核对订单日期、订单拉取时间和在职状态快照；历史订单不追溯，新订单不应进入离职员工待提现。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关键词无法转赠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确认关键词位于离职待转赠池、接收人是在职且符合候选条件，并核对转赠记录。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字节任务台未开放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由企业主开启员工入口；员工再提交 UID、手机号和两张要求截图。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color w:val="17365D"/>
          <w:sz w:val="22"/>
        </w:rPr>
        <w:t>回填识别失败</w:t>
      </w:r>
    </w:p>
    <w:p>
      <w:pPr>
        <w:spacing w:after="140" w:line="288" w:lineRule="auto"/>
        <w:ind w:left="259"/>
      </w:pPr>
      <w:r>
        <w:rPr>
          <w:rFonts w:ascii="Arial Unicode MS" w:hAnsi="Arial Unicode MS" w:eastAsia="Arial Unicode MS"/>
          <w:b w:val="0"/>
          <w:color w:val="222222"/>
          <w:sz w:val="21"/>
        </w:rPr>
        <w:t>检查链接平台和格式、账号对应关系、项目字段是否完整；无法识别时改为手动回填。</w:t>
      </w:r>
    </w:p>
    <w:p>
      <w:pPr>
        <w:pStyle w:val="Heading2"/>
      </w:pPr>
      <w:r>
        <w:t>7.3 工单最小信息集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企业 ID/名称、用户 ID、员工关系 ID及手机号后四位。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问题发生时间、入口路径、角色和当前员工状态。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项目 ID、关键词 ID、订单号、提现号或回收配对号等业务标识。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页面截图、提示文案、是否可稳定复现。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涉及金额时同时提供员工流水与企业主流水，不仅提供汇总数。</w:t>
      </w:r>
    </w:p>
    <w:p>
      <w:pPr>
        <w:pStyle w:val="Heading1"/>
      </w:pPr>
      <w:r>
        <w:t>8. 口径、指标与范围边界</w:t>
      </w:r>
    </w:p>
    <w:p>
      <w:pPr>
        <w:pStyle w:val="Heading2"/>
      </w:pPr>
      <w:r>
        <w:t>8.1 核心指标口径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指标</w:t>
            </w:r>
          </w:p>
        </w:tc>
        <w:tc>
          <w:tcPr>
            <w:tcW w:type="dxa" w:w="430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业务含义</w:t>
            </w:r>
          </w:p>
        </w:tc>
        <w:tc>
          <w:tcPr>
            <w:tcW w:type="dxa" w:w="296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使用提醒</w:t>
            </w:r>
          </w:p>
        </w:tc>
      </w:tr>
      <w:tr>
        <w:trPr/>
        <w:tc>
          <w:tcPr>
            <w:tcW w:type="dxa" w:w="21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企业主总收益</w:t>
            </w:r>
          </w:p>
        </w:tc>
        <w:tc>
          <w:tcPr>
            <w:tcW w:type="dxa" w:w="43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企业主维度累计收益</w:t>
            </w:r>
          </w:p>
        </w:tc>
        <w:tc>
          <w:tcPr>
            <w:tcW w:type="dxa" w:w="29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金额异常需下钻订单和钱包流水</w:t>
            </w:r>
          </w:p>
        </w:tc>
      </w:tr>
      <w:tr>
        <w:trPr/>
        <w:tc>
          <w:tcPr>
            <w:tcW w:type="dxa" w:w="21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推广总收益</w:t>
            </w:r>
          </w:p>
        </w:tc>
        <w:tc>
          <w:tcPr>
            <w:tcW w:type="dxa" w:w="43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企业推广业务产生的整体收益</w:t>
            </w:r>
          </w:p>
        </w:tc>
        <w:tc>
          <w:tcPr>
            <w:tcW w:type="dxa" w:w="29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与员工收益并非同义字段</w:t>
            </w:r>
          </w:p>
        </w:tc>
      </w:tr>
      <w:tr>
        <w:trPr/>
        <w:tc>
          <w:tcPr>
            <w:tcW w:type="dxa" w:w="21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员工总收益</w:t>
            </w:r>
          </w:p>
        </w:tc>
        <w:tc>
          <w:tcPr>
            <w:tcW w:type="dxa" w:w="43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企业员工维度汇总收益</w:t>
            </w:r>
          </w:p>
        </w:tc>
        <w:tc>
          <w:tcPr>
            <w:tcW w:type="dxa" w:w="29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受订单状态、分佣和员工状态影响</w:t>
            </w:r>
          </w:p>
        </w:tc>
      </w:tr>
      <w:tr>
        <w:trPr/>
        <w:tc>
          <w:tcPr>
            <w:tcW w:type="dxa" w:w="21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待结算</w:t>
            </w:r>
          </w:p>
        </w:tc>
        <w:tc>
          <w:tcPr>
            <w:tcW w:type="dxa" w:w="43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已形成但尚未完成结算的收益</w:t>
            </w:r>
          </w:p>
        </w:tc>
        <w:tc>
          <w:tcPr>
            <w:tcW w:type="dxa" w:w="29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不是可直接提现金额</w:t>
            </w:r>
          </w:p>
        </w:tc>
      </w:tr>
      <w:tr>
        <w:trPr/>
        <w:tc>
          <w:tcPr>
            <w:tcW w:type="dxa" w:w="21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已结算</w:t>
            </w:r>
          </w:p>
        </w:tc>
        <w:tc>
          <w:tcPr>
            <w:tcW w:type="dxa" w:w="43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已完成结算的收益</w:t>
            </w:r>
          </w:p>
        </w:tc>
        <w:tc>
          <w:tcPr>
            <w:tcW w:type="dxa" w:w="29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仍需结合钱包可提现口径</w:t>
            </w:r>
          </w:p>
        </w:tc>
      </w:tr>
      <w:tr>
        <w:trPr/>
        <w:tc>
          <w:tcPr>
            <w:tcW w:type="dxa" w:w="21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待提现金额</w:t>
            </w:r>
          </w:p>
        </w:tc>
        <w:tc>
          <w:tcPr>
            <w:tcW w:type="dxa" w:w="43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员工当前可纳入提现或离职回收的余额</w:t>
            </w:r>
          </w:p>
        </w:tc>
        <w:tc>
          <w:tcPr>
            <w:tcW w:type="dxa" w:w="29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离职确认后应清零</w:t>
            </w:r>
          </w:p>
        </w:tc>
      </w:tr>
      <w:tr>
        <w:trPr/>
        <w:tc>
          <w:tcPr>
            <w:tcW w:type="dxa" w:w="21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离职员工回收金额</w:t>
            </w:r>
          </w:p>
        </w:tc>
        <w:tc>
          <w:tcPr>
            <w:tcW w:type="dxa" w:w="430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企业主累计收到的离职员工待提现余额回收</w:t>
            </w:r>
          </w:p>
        </w:tc>
        <w:tc>
          <w:tcPr>
            <w:tcW w:type="dxa" w:w="296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应等于有效企业主正向回收流水之和</w:t>
            </w:r>
          </w:p>
        </w:tc>
      </w:tr>
    </w:tbl>
    <w:p>
      <w:pPr>
        <w:spacing w:after="40"/>
      </w:pPr>
    </w:p>
    <w:p>
      <w:pPr>
        <w:pStyle w:val="Heading2"/>
      </w:pPr>
      <w:r>
        <w:t>8.2 对外统一表述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企业号支持企业统一管理员工身份、项目权限、分成和任务协作。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员工数据和菜单会随角色、在职状态及权限配置变化。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用户昵称属于个人资料，由用户本人维护；企业主不能自定义或覆盖员工昵称。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企业主可自定义员工姓名旁的角色标签，但标签不改变真实权限和分佣。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员工离职不会因存在待提现余额而被阻断，余额会自动成对回收并可对账。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历史订单按原快照保留，角色或分佣变更只影响后续新订单。</w:t>
      </w:r>
    </w:p>
    <w:p>
      <w:pPr>
        <w:pStyle w:val="Heading2"/>
      </w:pPr>
      <w:r>
        <w:t>8.3 当前范围内与范围外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当前产品范围内</w:t>
            </w:r>
          </w:p>
        </w:tc>
        <w:tc>
          <w:tcPr>
            <w:tcW w:type="dxa" w:w="4680"/>
            <w:shd w:fill="E8EEF5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17365D"/>
                <w:sz w:val="20"/>
              </w:rPr>
              <w:t>本版明确不包含</w:t>
            </w:r>
          </w:p>
        </w:tc>
      </w:tr>
      <w:tr>
        <w:trPr/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企业品牌白标、邀请与申请审核</w:t>
            </w:r>
          </w:p>
        </w:tc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企业主为员工设置企业内昵称/备注昵称</w:t>
            </w:r>
          </w:p>
        </w:tc>
      </w:tr>
      <w:tr>
        <w:trPr/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员工状态、角色层级、展示标签和项目权限</w:t>
            </w:r>
          </w:p>
        </w:tc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因配置变更自动重算历史订单</w:t>
            </w:r>
          </w:p>
        </w:tc>
      </w:tr>
      <w:tr>
        <w:trPr/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任务、关键词、账号、回填、订单和收益闭环</w:t>
            </w:r>
          </w:p>
        </w:tc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运营在无业务标识时仅凭昵称完成资金对账</w:t>
            </w:r>
          </w:p>
        </w:tc>
      </w:tr>
      <w:tr>
        <w:trPr/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实名认证、收款账户、税费与提现记录</w:t>
            </w:r>
          </w:p>
        </w:tc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绕过实名、权限或合规校验的人工提现</w:t>
            </w:r>
          </w:p>
        </w:tc>
      </w:tr>
      <w:tr>
        <w:trPr/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离职余额回收和关键词转赠留痕</w:t>
            </w:r>
          </w:p>
        </w:tc>
        <w:tc>
          <w:tcPr>
            <w:tcW w:type="dxa" w:w="4680"/>
            <w:tcBorders>
              <w:top w:val="single" w:sz="6" w:color="D7DFEA"/>
              <w:left w:val="single" w:sz="6" w:color="D7DFEA"/>
              <w:bottom w:val="single" w:sz="6" w:color="D7DFEA"/>
              <w:right w:val="single" w:sz="6" w:color="D7DFEA"/>
              <w:insideH w:val="single" w:sz="6" w:color="D7DFEA"/>
              <w:insideV w:val="single" w:sz="6" w:color="D7DF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删除离职、转赠或资金流水历史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180" w:type="dxa"/>
              <w:end w:w="180" w:type="dxa"/>
            </w:tcMar>
            <w:shd w:fill="F5F7FA"/>
            <w:tcBorders>
              <w:top w:val="single" w:sz="8" w:color="D7DFEA"/>
              <w:left w:val="single" w:sz="8" w:color="D7DFEA"/>
              <w:bottom w:val="single" w:sz="8" w:color="D7DFEA"/>
              <w:right w:val="single" w:sz="8" w:color="D7DFEA"/>
              <w:insideH w:val="single" w:sz="8" w:color="D7DFEA"/>
              <w:insideV w:val="single" w:sz="8" w:color="D7DFEA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17365D"/>
                <w:sz w:val="22"/>
              </w:rPr>
              <w:t>文档维护建议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后续如新增角色、菜单、资金口径或审核状态，应同时更新角色矩阵、业务闭环、异常处理和指标口径；若再次讨论昵称能力，必须明确区分“用户本人昵称”与“企业角色标签”。</w:t>
            </w:r>
          </w:p>
        </w:tc>
      </w:tr>
    </w:tbl>
    <w:p>
      <w:pPr>
        <w:spacing w:after="40" w:line="120" w:lineRule="auto"/>
      </w:pPr>
    </w:p>
    <w:p>
      <w:pPr>
        <w:spacing w:before="400"/>
        <w:jc w:val="center"/>
      </w:pPr>
      <w:r>
        <w:rPr>
          <w:rFonts w:ascii="Arial Unicode MS" w:hAnsi="Arial Unicode MS" w:eastAsia="Arial Unicode MS"/>
          <w:b w:val="0"/>
          <w:color w:val="667085"/>
          <w:sz w:val="20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667085"/>
        <w:sz w:val="18"/>
      </w:rPr>
      <w:t xml:space="preserve">内部业务参考  ·  </w:t>
    </w:r>
    <w:r>
      <w:rPr>
        <w:rFonts w:ascii="Arial Unicode MS" w:hAnsi="Arial Unicode MS" w:eastAsia="Arial Unicode MS"/>
        <w:b w:val="0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67085"/>
        <w:sz w:val="18"/>
      </w:rPr>
      <w:t>企业号｜运营业务手册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Arial Unicode MS" w:hAnsi="Arial Unicode MS" w:eastAsia="Arial Unicode MS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B59C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B59C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企业号产品业务手册（运营版）</dc:title>
  <dc:subject>企业号现有产品业务、角色权限、核心流程与运营口径</dc:subject>
  <dc:creator>产品团队</dc:creator>
  <cp:keywords>企业号, 运营手册, 企业主, 员工, 任务, 收益, 离职回收</cp:keywords>
  <dc:description>已移除企业主自定义用户昵称能力口径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