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spacing w:before="400" w:after="280"/>
        <w:jc w:val="center"/>
      </w:pPr>
      <w:r>
        <w:rPr>
          <w:rFonts w:ascii="Garamond" w:hAnsi="Garamond" w:eastAsia="Garamond"/>
          <w:b/>
          <w:color w:val="000000"/>
          <w:sz w:val="44"/>
          <w:u w:val="none"/>
        </w:rPr>
        <w:t>MSA Variables and More Granular Alternatives</w:t>
      </w:r>
    </w:p>
    <w:p>
      <w:pPr>
        <w:tabs>
          <w:tab w:pos="1512" w:val="left"/>
        </w:tabs>
        <w:spacing w:after="20" w:line="240" w:lineRule="auto"/>
        <w:jc w:val="left"/>
      </w:pPr>
      <w:r>
        <w:rPr>
          <w:rFonts w:ascii="Garamond" w:hAnsi="Garamond" w:eastAsia="Garamond"/>
          <w:b/>
          <w:color w:val="000000"/>
          <w:sz w:val="23"/>
        </w:rPr>
        <w:t>Prepared for</w:t>
      </w:r>
      <w:r>
        <w:rPr>
          <w:rFonts w:ascii="Garamond" w:hAnsi="Garamond" w:eastAsia="Garamond"/>
          <w:color w:val="000000"/>
          <w:sz w:val="23"/>
        </w:rPr>
        <w:tab/>
        <w:t>Project mentor</w:t>
      </w:r>
    </w:p>
    <w:p>
      <w:pPr>
        <w:tabs>
          <w:tab w:pos="1512" w:val="left"/>
        </w:tabs>
        <w:spacing w:after="20" w:line="240" w:lineRule="auto"/>
        <w:jc w:val="left"/>
      </w:pPr>
      <w:r>
        <w:rPr>
          <w:rFonts w:ascii="Garamond" w:hAnsi="Garamond" w:eastAsia="Garamond"/>
          <w:b/>
          <w:color w:val="000000"/>
          <w:sz w:val="23"/>
        </w:rPr>
        <w:t>Prepared by</w:t>
      </w:r>
      <w:r>
        <w:rPr>
          <w:rFonts w:ascii="Garamond" w:hAnsi="Garamond" w:eastAsia="Garamond"/>
          <w:color w:val="000000"/>
          <w:sz w:val="23"/>
        </w:rPr>
        <w:tab/>
        <w:t>Los Angeles Housing Database Project</w:t>
      </w:r>
    </w:p>
    <w:p>
      <w:pPr>
        <w:tabs>
          <w:tab w:pos="1512" w:val="left"/>
        </w:tabs>
        <w:spacing w:after="20" w:line="240" w:lineRule="auto"/>
        <w:jc w:val="left"/>
      </w:pPr>
      <w:r>
        <w:rPr>
          <w:rFonts w:ascii="Garamond" w:hAnsi="Garamond" w:eastAsia="Garamond"/>
          <w:b/>
          <w:color w:val="000000"/>
          <w:sz w:val="23"/>
        </w:rPr>
        <w:t>Inventory date</w:t>
      </w:r>
      <w:r>
        <w:rPr>
          <w:rFonts w:ascii="Garamond" w:hAnsi="Garamond" w:eastAsia="Garamond"/>
          <w:color w:val="000000"/>
          <w:sz w:val="23"/>
        </w:rPr>
        <w:tab/>
        <w:t>August 24, 2026</w:t>
      </w:r>
    </w:p>
    <w:p>
      <w:pPr>
        <w:tabs>
          <w:tab w:pos="1512" w:val="left"/>
        </w:tabs>
        <w:spacing w:after="20" w:line="240" w:lineRule="auto"/>
        <w:jc w:val="left"/>
      </w:pPr>
      <w:r>
        <w:rPr>
          <w:rFonts w:ascii="Garamond" w:hAnsi="Garamond" w:eastAsia="Garamond"/>
          <w:b/>
          <w:color w:val="000000"/>
          <w:sz w:val="23"/>
        </w:rPr>
        <w:t>Source review</w:t>
      </w:r>
      <w:r>
        <w:rPr>
          <w:rFonts w:ascii="Garamond" w:hAnsi="Garamond" w:eastAsia="Garamond"/>
          <w:color w:val="000000"/>
          <w:sz w:val="23"/>
        </w:rPr>
        <w:tab/>
        <w:t>September 4, 2026</w:t>
      </w:r>
    </w:p>
    <w:p>
      <w:pPr>
        <w:tabs>
          <w:tab w:pos="1512" w:val="left"/>
        </w:tabs>
        <w:spacing w:after="20" w:line="240" w:lineRule="auto"/>
        <w:jc w:val="left"/>
      </w:pPr>
      <w:r>
        <w:rPr>
          <w:rFonts w:ascii="Garamond" w:hAnsi="Garamond" w:eastAsia="Garamond"/>
          <w:b/>
          <w:color w:val="000000"/>
          <w:sz w:val="23"/>
        </w:rPr>
        <w:t>Subject</w:t>
      </w:r>
      <w:r>
        <w:rPr>
          <w:rFonts w:ascii="Garamond" w:hAnsi="Garamond" w:eastAsia="Garamond"/>
          <w:color w:val="000000"/>
          <w:sz w:val="23"/>
        </w:rPr>
        <w:tab/>
        <w:t>Metropolitan geography and recommended local alternatives</w:t>
      </w:r>
    </w:p>
    <w:p>
      <w:pPr>
        <w:spacing w:before="120" w:after="120"/>
        <w:pBdr>
          <w:bottom w:val="single" w:sz="6" w:space="1" w:color="000000"/>
        </w:pBdr>
      </w:pPr>
    </w:p>
    <w:p>
      <w:pPr>
        <w:pStyle w:val="Heading1"/>
        <w:keepNext/>
        <w:keepLines/>
        <w:spacing w:before="200" w:after="100"/>
        <w:jc w:val="center"/>
      </w:pPr>
      <w:r>
        <w:rPr>
          <w:rFonts w:ascii="Garamond" w:hAnsi="Garamond" w:eastAsia="Garamond"/>
          <w:b/>
          <w:color w:val="000000"/>
          <w:sz w:val="25"/>
          <w:u w:val="single"/>
        </w:rPr>
        <w:t>Executive Summary</w:t>
      </w:r>
    </w:p>
    <w:p>
      <w:pPr>
        <w:spacing w:before="0" w:after="80" w:line="283" w:lineRule="auto"/>
        <w:jc w:val="both"/>
      </w:pPr>
      <w:r>
        <w:rPr>
          <w:rFonts w:ascii="Garamond" w:hAnsi="Garamond" w:eastAsia="Garamond"/>
          <w:b/>
          <w:color w:val="000000"/>
          <w:sz w:val="22"/>
        </w:rPr>
        <w:t>Main conclusion.</w:t>
      </w:r>
      <w:r>
        <w:rPr>
          <w:rFonts w:ascii="Garamond" w:hAnsi="Garamond" w:eastAsia="Garamond"/>
          <w:color w:val="000000"/>
          <w:sz w:val="22"/>
        </w:rPr>
        <w:t xml:space="preserve"> The database snapshot contains 11 variable IDs with metropolitan-area involvement. Eight measure areas broader than Los Angeles County: three CES employment variables, two CPI variables, and three Housing Vacancy Survey variables. Three FHFA variables use Metropolitan Division 31084, a provider-defined geography whose footprint consists only of Los Angeles County. Those FHFA observations are county-equivalent in area, but the official metropolitan-division label and method should remain intact.</w:t>
      </w:r>
    </w:p>
    <w:p>
      <w:pPr>
        <w:spacing w:before="0" w:after="80" w:line="283" w:lineRule="auto"/>
        <w:jc w:val="both"/>
      </w:pPr>
      <w:r>
        <w:rPr>
          <w:rFonts w:ascii="Garamond" w:hAnsi="Garamond" w:eastAsia="Garamond"/>
          <w:color w:val="000000"/>
          <w:sz w:val="22"/>
        </w:rPr>
        <w:t>The highest-value correction is to add the official BLS seasonally adjusted total nonfarm payroll series for the Los Angeles Long Beach Glendale Metropolitan Division, series SMS06310840000000001, together with separate month-over-month and year-over-year growth IDs. The existing two-county CES series should remain as a regional comparator. FHFA annual ZIP5 and tract indexes, BLS QCEW county measures, and ACS tract vacancy estimates can then extend local coverage without changing native geography or frequency.</w:t>
      </w:r>
    </w:p>
    <w:p>
      <w:pPr>
        <w:spacing w:before="0" w:after="80" w:line="283" w:lineRule="auto"/>
        <w:jc w:val="both"/>
      </w:pPr>
      <w:r>
        <w:rPr>
          <w:rFonts w:ascii="Garamond" w:hAnsi="Garamond" w:eastAsia="Garamond"/>
          <w:color w:val="000000"/>
          <w:sz w:val="22"/>
        </w:rPr>
        <w:t>This is a review document, not an ingestion result. The counts and date ranges below describe the August 24, 2026 database inventory. Public-source availability was reviewed on September 4, 2026. No source file was downloaded, no schema was changed, and no new observation was represented as implemented during this review.</w:t>
      </w:r>
    </w:p>
    <w:p>
      <w:pPr>
        <w:pStyle w:val="Heading1"/>
        <w:keepNext/>
        <w:keepLines/>
        <w:spacing w:before="200" w:after="100"/>
        <w:jc w:val="center"/>
      </w:pPr>
      <w:r>
        <w:rPr>
          <w:rFonts w:ascii="Garamond" w:hAnsi="Garamond" w:eastAsia="Garamond"/>
          <w:b/>
          <w:color w:val="000000"/>
          <w:sz w:val="25"/>
          <w:u w:val="single"/>
        </w:rPr>
        <w:t>Inventory of Metropolitan Variables</w:t>
      </w:r>
    </w:p>
    <w:p>
      <w:pPr>
        <w:spacing w:before="0" w:after="80" w:line="283" w:lineRule="auto"/>
        <w:jc w:val="both"/>
      </w:pPr>
      <w:r>
        <w:rPr>
          <w:rFonts w:ascii="Garamond" w:hAnsi="Garamond" w:eastAsia="Garamond"/>
          <w:color w:val="000000"/>
          <w:sz w:val="22"/>
        </w:rPr>
        <w:t>The following inventory reports variable IDs rather than conceptual indicators. A level series and its derived growth series are therefore counted separately because each has its own ID, coverage, and transformation contract.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trPr>
        <w:tc>
          <w:tcPr>
            <w:tcW w:type="dxa" w:w="1080"/>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8"/>
              </w:rPr>
              <w:t>Family</w:t>
            </w:r>
          </w:p>
        </w:tc>
        <w:tc>
          <w:tcPr>
            <w:tcW w:type="dxa" w:w="3096"/>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8"/>
              </w:rPr>
              <w:t>Variable ID</w:t>
            </w:r>
          </w:p>
        </w:tc>
        <w:tc>
          <w:tcPr>
            <w:tcW w:type="dxa" w:w="1944"/>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8"/>
              </w:rPr>
              <w:t>Source geography</w:t>
            </w:r>
          </w:p>
        </w:tc>
        <w:tc>
          <w:tcPr>
            <w:tcW w:type="dxa" w:w="1224"/>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8"/>
              </w:rPr>
              <w:t>Frequency</w:t>
            </w:r>
          </w:p>
        </w:tc>
        <w:tc>
          <w:tcPr>
            <w:tcW w:type="dxa" w:w="2664"/>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8"/>
              </w:rPr>
              <w:t>Snapshot coverage</w:t>
            </w:r>
          </w:p>
        </w:tc>
      </w:tr>
      <w:tr>
        <w:tc>
          <w:tcPr>
            <w:tcW w:type="dxa" w:w="1080"/>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CES</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ces_total_nonfarm_employment_sa</w:t>
            </w:r>
          </w:p>
        </w:tc>
        <w:tc>
          <w:tcPr>
            <w:tcW w:type="dxa" w:w="194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LA Long Beach Anaheim MSA</w:t>
            </w:r>
          </w:p>
        </w:tc>
        <w:tc>
          <w:tcPr>
            <w:tcW w:type="dxa" w:w="1224"/>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Monthly</w:t>
            </w:r>
          </w:p>
        </w:tc>
        <w:tc>
          <w:tcPr>
            <w:tcW w:type="dxa" w:w="266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257 observations</w:t>
              <w:br/>
              <w:t>Jan 2005 to May 2026</w:t>
            </w:r>
          </w:p>
        </w:tc>
      </w:tr>
      <w:tr>
        <w:tc>
          <w:tcPr>
            <w:tcW w:type="dxa" w:w="1080"/>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CES</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ces_total_nonfarm_employment_growth_mom</w:t>
            </w:r>
          </w:p>
        </w:tc>
        <w:tc>
          <w:tcPr>
            <w:tcW w:type="dxa" w:w="194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LA Long Beach Anaheim MSA</w:t>
            </w:r>
          </w:p>
        </w:tc>
        <w:tc>
          <w:tcPr>
            <w:tcW w:type="dxa" w:w="1224"/>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Monthly</w:t>
            </w:r>
          </w:p>
        </w:tc>
        <w:tc>
          <w:tcPr>
            <w:tcW w:type="dxa" w:w="266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256 observations</w:t>
              <w:br/>
              <w:t>Feb 2005 to May 2026</w:t>
            </w:r>
          </w:p>
        </w:tc>
      </w:tr>
      <w:tr>
        <w:tc>
          <w:tcPr>
            <w:tcW w:type="dxa" w:w="1080"/>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CES</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ces_total_nonfarm_employment_growth_yoy</w:t>
            </w:r>
          </w:p>
        </w:tc>
        <w:tc>
          <w:tcPr>
            <w:tcW w:type="dxa" w:w="194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LA Long Beach Anaheim MSA</w:t>
            </w:r>
          </w:p>
        </w:tc>
        <w:tc>
          <w:tcPr>
            <w:tcW w:type="dxa" w:w="1224"/>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Monthly</w:t>
            </w:r>
          </w:p>
        </w:tc>
        <w:tc>
          <w:tcPr>
            <w:tcW w:type="dxa" w:w="266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245 observations</w:t>
              <w:br/>
              <w:t>Jan 2006 to May 2026</w:t>
            </w:r>
          </w:p>
        </w:tc>
      </w:tr>
      <w:tr>
        <w:tc>
          <w:tcPr>
            <w:tcW w:type="dxa" w:w="1080"/>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CPI</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cpi_u_all_items_la_nsa</w:t>
            </w:r>
          </w:p>
        </w:tc>
        <w:tc>
          <w:tcPr>
            <w:tcW w:type="dxa" w:w="194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LA Long Beach Anaheim CPI area</w:t>
            </w:r>
          </w:p>
        </w:tc>
        <w:tc>
          <w:tcPr>
            <w:tcW w:type="dxa" w:w="1224"/>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Monthly schedule</w:t>
            </w:r>
          </w:p>
        </w:tc>
        <w:tc>
          <w:tcPr>
            <w:tcW w:type="dxa" w:w="266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1,094 observations</w:t>
              <w:br/>
              <w:t>Dec 1914 to May 2026 with gaps</w:t>
            </w:r>
          </w:p>
        </w:tc>
      </w:tr>
      <w:tr>
        <w:tc>
          <w:tcPr>
            <w:tcW w:type="dxa" w:w="1080"/>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CPI</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cpi_inflation_yoy</w:t>
            </w:r>
          </w:p>
        </w:tc>
        <w:tc>
          <w:tcPr>
            <w:tcW w:type="dxa" w:w="194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LA Long Beach Anaheim CPI area</w:t>
            </w:r>
          </w:p>
        </w:tc>
        <w:tc>
          <w:tcPr>
            <w:tcW w:type="dxa" w:w="1224"/>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Monthly schedule</w:t>
            </w:r>
          </w:p>
        </w:tc>
        <w:tc>
          <w:tcPr>
            <w:tcW w:type="dxa" w:w="266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1,082 observations</w:t>
              <w:br/>
              <w:t>Mar 1922 to May 2026 with gaps</w:t>
            </w:r>
          </w:p>
        </w:tc>
      </w:tr>
      <w:tr>
        <w:tc>
          <w:tcPr>
            <w:tcW w:type="dxa" w:w="1080"/>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HVS</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hvs_rental_vacancy_rate_la_metro</w:t>
            </w:r>
          </w:p>
        </w:tc>
        <w:tc>
          <w:tcPr>
            <w:tcW w:type="dxa" w:w="194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Published Los Angeles metro</w:t>
            </w:r>
          </w:p>
        </w:tc>
        <w:tc>
          <w:tcPr>
            <w:tcW w:type="dxa" w:w="1224"/>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Quarterly</w:t>
            </w:r>
          </w:p>
        </w:tc>
        <w:tc>
          <w:tcPr>
            <w:tcW w:type="dxa" w:w="266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85 observations</w:t>
              <w:br/>
              <w:t>2005 Q1 to 2026 Q1</w:t>
            </w:r>
          </w:p>
        </w:tc>
      </w:tr>
      <w:tr>
        <w:tc>
          <w:tcPr>
            <w:tcW w:type="dxa" w:w="1080"/>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HVS</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hvs_rental_vacancy_rate_la_metro_moe</w:t>
            </w:r>
          </w:p>
        </w:tc>
        <w:tc>
          <w:tcPr>
            <w:tcW w:type="dxa" w:w="194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Published Los Angeles metro</w:t>
            </w:r>
          </w:p>
        </w:tc>
        <w:tc>
          <w:tcPr>
            <w:tcW w:type="dxa" w:w="1224"/>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Quarterly</w:t>
            </w:r>
          </w:p>
        </w:tc>
        <w:tc>
          <w:tcPr>
            <w:tcW w:type="dxa" w:w="266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85 observations</w:t>
              <w:br/>
              <w:t>2005 Q1 to 2026 Q1</w:t>
            </w:r>
          </w:p>
        </w:tc>
      </w:tr>
      <w:tr>
        <w:tc>
          <w:tcPr>
            <w:tcW w:type="dxa" w:w="1080"/>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HVS</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hvs_rental_vacancy_change_yoy_pp</w:t>
            </w:r>
          </w:p>
        </w:tc>
        <w:tc>
          <w:tcPr>
            <w:tcW w:type="dxa" w:w="194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State or published metro</w:t>
            </w:r>
          </w:p>
        </w:tc>
        <w:tc>
          <w:tcPr>
            <w:tcW w:type="dxa" w:w="1224"/>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Quarterly</w:t>
            </w:r>
          </w:p>
        </w:tc>
        <w:tc>
          <w:tcPr>
            <w:tcW w:type="dxa" w:w="266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81 LA metro observations</w:t>
              <w:br/>
              <w:t>2006 Q1 to 2026 Q1</w:t>
            </w:r>
          </w:p>
        </w:tc>
      </w:tr>
      <w:tr>
        <w:tc>
          <w:tcPr>
            <w:tcW w:type="dxa" w:w="1080"/>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FHFA</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fhfa_hpi_la_metropolitan_division_purchase_only_nsa</w:t>
            </w:r>
          </w:p>
        </w:tc>
        <w:tc>
          <w:tcPr>
            <w:tcW w:type="dxa" w:w="194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LA Long Beach Glendale MD 31084</w:t>
            </w:r>
          </w:p>
        </w:tc>
        <w:tc>
          <w:tcPr>
            <w:tcW w:type="dxa" w:w="1224"/>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Quarterly</w:t>
            </w:r>
          </w:p>
        </w:tc>
        <w:tc>
          <w:tcPr>
            <w:tcW w:type="dxa" w:w="266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141 observations</w:t>
              <w:br/>
              <w:t>1991 Q1 to 2026 Q1</w:t>
            </w:r>
          </w:p>
        </w:tc>
      </w:tr>
      <w:tr>
        <w:tc>
          <w:tcPr>
            <w:tcW w:type="dxa" w:w="1080"/>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FHFA</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fhfa_hpi_la_metropolitan_division_purchase_only_sa</w:t>
            </w:r>
          </w:p>
        </w:tc>
        <w:tc>
          <w:tcPr>
            <w:tcW w:type="dxa" w:w="194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LA Long Beach Glendale MD 31084</w:t>
            </w:r>
          </w:p>
        </w:tc>
        <w:tc>
          <w:tcPr>
            <w:tcW w:type="dxa" w:w="1224"/>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8"/>
              </w:rPr>
              <w:t>Quarterly</w:t>
            </w:r>
          </w:p>
        </w:tc>
        <w:tc>
          <w:tcPr>
            <w:tcW w:type="dxa" w:w="2664"/>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8"/>
              </w:rPr>
              <w:t>141 observations</w:t>
              <w:br/>
              <w:t>1991 Q1 to 2026 Q1</w:t>
            </w:r>
          </w:p>
        </w:tc>
      </w:tr>
      <w:tr>
        <w:tc>
          <w:tcPr>
            <w:tcW w:type="dxa" w:w="1080"/>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FHFA</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fhfa_hpi_growth_yoy</w:t>
            </w:r>
          </w:p>
        </w:tc>
        <w:tc>
          <w:tcPr>
            <w:tcW w:type="dxa" w:w="194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MD quarterly and county annual</w:t>
            </w:r>
          </w:p>
        </w:tc>
        <w:tc>
          <w:tcPr>
            <w:tcW w:type="dxa" w:w="1224"/>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8"/>
              </w:rPr>
              <w:t>Mixed by geography</w:t>
            </w:r>
          </w:p>
        </w:tc>
        <w:tc>
          <w:tcPr>
            <w:tcW w:type="dxa" w:w="2664"/>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8"/>
              </w:rPr>
              <w:t>137 MD observations</w:t>
              <w:br/>
              <w:t>1992 Q1 to 2026 Q1</w:t>
            </w:r>
          </w:p>
        </w:tc>
      </w:tr>
    </w:tbl>
    <w:p>
      <w:pPr>
        <w:spacing w:after="20"/>
      </w:pPr>
    </w:p>
    <w:p>
      <w:pPr>
        <w:pStyle w:val="Heading1"/>
        <w:keepNext/>
        <w:keepLines/>
        <w:spacing w:before="200" w:after="100"/>
        <w:jc w:val="center"/>
      </w:pPr>
      <w:r>
        <w:rPr>
          <w:rFonts w:ascii="Garamond" w:hAnsi="Garamond" w:eastAsia="Garamond"/>
          <w:b/>
          <w:color w:val="000000"/>
          <w:sz w:val="25"/>
          <w:u w:val="single"/>
        </w:rPr>
        <w:t>Geographic Interpretation</w:t>
      </w:r>
    </w:p>
    <w:p>
      <w:pPr>
        <w:spacing w:before="0" w:after="80" w:line="283" w:lineRule="auto"/>
        <w:jc w:val="both"/>
      </w:pPr>
      <w:r>
        <w:rPr>
          <w:rFonts w:ascii="Garamond" w:hAnsi="Garamond" w:eastAsia="Garamond"/>
          <w:color w:val="000000"/>
          <w:sz w:val="22"/>
        </w:rPr>
        <w:t>The metropolitan label does not have one meaning across sources. CES and CPI use the Los Angeles Long Beach Anaheim area, which includes Los Angeles and Orange counties. The HVS Los Angeles metro series is also broader than the county. FHFA is different: Metropolitan Division 31084 contains Los Angeles County only. The database should retain each provider's official name and code while adding an explicit county-equivalence flag where supported.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152"/>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Source</w:t>
            </w:r>
          </w:p>
        </w:tc>
        <w:tc>
          <w:tcPr>
            <w:tcW w:type="dxa" w:w="648"/>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IDs</w:t>
            </w:r>
          </w:p>
        </w:tc>
        <w:tc>
          <w:tcPr>
            <w:tcW w:type="dxa" w:w="3168"/>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Footprint</w:t>
            </w:r>
          </w:p>
        </w:tc>
        <w:tc>
          <w:tcPr>
            <w:tcW w:type="dxa" w:w="5040"/>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Required interpretation</w:t>
            </w:r>
          </w:p>
        </w:tc>
      </w:tr>
      <w:tr>
        <w:tc>
          <w:tcPr>
            <w:tcW w:type="dxa" w:w="1152"/>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9"/>
              </w:rPr>
              <w:t>CES</w:t>
            </w:r>
          </w:p>
        </w:tc>
        <w:tc>
          <w:tcPr>
            <w:tcW w:type="dxa" w:w="648"/>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9"/>
              </w:rPr>
              <w:t>3</w:t>
            </w:r>
          </w:p>
        </w:tc>
        <w:tc>
          <w:tcPr>
            <w:tcW w:type="dxa" w:w="3168"/>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Los Angeles and Orange counties</w:t>
            </w:r>
          </w:p>
        </w:tc>
        <w:tc>
          <w:tcPr>
            <w:tcW w:type="dxa" w:w="504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Broader regional employment control</w:t>
            </w:r>
          </w:p>
        </w:tc>
      </w:tr>
      <w:tr>
        <w:tc>
          <w:tcPr>
            <w:tcW w:type="dxa" w:w="1152"/>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9"/>
              </w:rPr>
              <w:t>CPI</w:t>
            </w:r>
          </w:p>
        </w:tc>
        <w:tc>
          <w:tcPr>
            <w:tcW w:type="dxa" w:w="648"/>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9"/>
              </w:rPr>
              <w:t>2</w:t>
            </w:r>
          </w:p>
        </w:tc>
        <w:tc>
          <w:tcPr>
            <w:tcW w:type="dxa" w:w="3168"/>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Los Angeles and Orange counties</w:t>
            </w:r>
          </w:p>
        </w:tc>
        <w:tc>
          <w:tcPr>
            <w:tcW w:type="dxa" w:w="504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Broader regional inflation control</w:t>
            </w:r>
          </w:p>
        </w:tc>
      </w:tr>
      <w:tr>
        <w:tc>
          <w:tcPr>
            <w:tcW w:type="dxa" w:w="1152"/>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9"/>
              </w:rPr>
              <w:t>HVS</w:t>
            </w:r>
          </w:p>
        </w:tc>
        <w:tc>
          <w:tcPr>
            <w:tcW w:type="dxa" w:w="648"/>
            <w:tcMar>
              <w:top w:w="95" w:type="dxa"/>
              <w:start w:w="110" w:type="dxa"/>
              <w:bottom w:w="95" w:type="dxa"/>
              <w:end w:w="110" w:type="dxa"/>
            </w:tcMar>
            <w:vAlign w:val="center"/>
          </w:tcPr>
          <w:p>
            <w:pPr>
              <w:spacing w:after="0" w:line="252" w:lineRule="auto"/>
              <w:jc w:val="center"/>
            </w:pPr>
            <w:r>
              <w:rPr>
                <w:rFonts w:ascii="Garamond" w:hAnsi="Garamond" w:eastAsia="Garamond"/>
                <w:color w:val="000000"/>
                <w:sz w:val="19"/>
              </w:rPr>
              <w:t>3</w:t>
            </w:r>
          </w:p>
        </w:tc>
        <w:tc>
          <w:tcPr>
            <w:tcW w:type="dxa" w:w="3168"/>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Published Los Angeles metro</w:t>
            </w:r>
          </w:p>
        </w:tc>
        <w:tc>
          <w:tcPr>
            <w:tcW w:type="dxa" w:w="504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Broader quarterly vacancy control</w:t>
            </w:r>
          </w:p>
        </w:tc>
      </w:tr>
      <w:tr>
        <w:tc>
          <w:tcPr>
            <w:tcW w:type="dxa" w:w="1152"/>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9"/>
              </w:rPr>
              <w:t>FHFA</w:t>
            </w:r>
          </w:p>
        </w:tc>
        <w:tc>
          <w:tcPr>
            <w:tcW w:type="dxa" w:w="648"/>
            <w:tcMar>
              <w:top w:w="95" w:type="dxa"/>
              <w:start w:w="110" w:type="dxa"/>
              <w:bottom w:w="95" w:type="dxa"/>
              <w:end w:w="110" w:type="dxa"/>
            </w:tcMar>
            <w:shd w:fill="F7F7F7"/>
            <w:vAlign w:val="center"/>
          </w:tcPr>
          <w:p>
            <w:pPr>
              <w:spacing w:after="0" w:line="252" w:lineRule="auto"/>
              <w:jc w:val="center"/>
            </w:pPr>
            <w:r>
              <w:rPr>
                <w:rFonts w:ascii="Garamond" w:hAnsi="Garamond" w:eastAsia="Garamond"/>
                <w:color w:val="000000"/>
                <w:sz w:val="19"/>
              </w:rPr>
              <w:t>3</w:t>
            </w:r>
          </w:p>
        </w:tc>
        <w:tc>
          <w:tcPr>
            <w:tcW w:type="dxa" w:w="3168"/>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Metropolitan Division 31084 consists of Los Angeles County</w:t>
            </w:r>
          </w:p>
        </w:tc>
        <w:tc>
          <w:tcPr>
            <w:tcW w:type="dxa" w:w="504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County-equivalent footprint; preserve provider label</w:t>
            </w:r>
          </w:p>
        </w:tc>
      </w:tr>
    </w:tbl>
    <w:p>
      <w:pPr>
        <w:spacing w:after="20"/>
      </w:pPr>
    </w:p>
    <w:p>
      <w:pPr>
        <w:spacing w:before="0" w:after="80" w:line="283" w:lineRule="auto"/>
        <w:jc w:val="both"/>
      </w:pPr>
      <w:r>
        <w:rPr>
          <w:rFonts w:ascii="Garamond" w:hAnsi="Garamond" w:eastAsia="Garamond"/>
          <w:b/>
          <w:color w:val="000000"/>
          <w:sz w:val="22"/>
        </w:rPr>
        <w:t>Postal ZIP codes and Census ZCTAs are separate geographies.</w:t>
      </w:r>
      <w:r>
        <w:rPr>
          <w:rFonts w:ascii="Garamond" w:hAnsi="Garamond" w:eastAsia="Garamond"/>
          <w:color w:val="000000"/>
          <w:sz w:val="22"/>
        </w:rPr>
        <w:t xml:space="preserve"> Postal ZIPs are mail-delivery constructs maintained by USPS; ZCTAs are Census statistical approximations assembled from Census blocks. Matching five-digit codes do not prove identical land area or population coverage. The database must keep both geography types explicit, preserve leading zeros, and require a dated crosswalk plus an approved weighting method before any comparison or aggregation that assumes spatial equivalence.</w:t>
      </w:r>
    </w:p>
    <w:p>
      <w:pPr>
        <w:pStyle w:val="Heading1"/>
        <w:keepNext/>
        <w:keepLines/>
        <w:spacing w:before="200" w:after="100"/>
        <w:jc w:val="center"/>
      </w:pPr>
      <w:r>
        <w:rPr>
          <w:rFonts w:ascii="Garamond" w:hAnsi="Garamond" w:eastAsia="Garamond"/>
          <w:b/>
          <w:color w:val="000000"/>
          <w:sz w:val="25"/>
          <w:u w:val="single"/>
        </w:rPr>
        <w:t>More Granular Alternatives</w:t>
      </w:r>
    </w:p>
    <w:p>
      <w:pPr>
        <w:pStyle w:val="Heading2"/>
        <w:keepNext/>
        <w:keepLines/>
        <w:spacing w:before="140" w:after="100"/>
        <w:jc w:val="left"/>
      </w:pPr>
      <w:r>
        <w:rPr>
          <w:rFonts w:ascii="Garamond" w:hAnsi="Garamond" w:eastAsia="Garamond"/>
          <w:b/>
          <w:color w:val="000000"/>
          <w:sz w:val="23"/>
          <w:u w:val="none"/>
        </w:rPr>
        <w:t>Employment</w:t>
      </w:r>
    </w:p>
    <w:p>
      <w:pPr>
        <w:spacing w:before="0" w:after="80" w:line="283" w:lineRule="auto"/>
        <w:jc w:val="both"/>
      </w:pPr>
      <w:r>
        <w:rPr>
          <w:rFonts w:ascii="Garamond" w:hAnsi="Garamond" w:eastAsia="Garamond"/>
          <w:color w:val="000000"/>
          <w:sz w:val="22"/>
        </w:rPr>
        <w:t>BLS publishes seasonally adjusted total nonfarm employment for the Los Angeles Long Beach Glendale Metropolitan Division as series SMS06310840000000001. Because that division consists of Los Angeles County, it is the closest official monthly replacement for the current two-county CES level while preserving the payroll-establishment concept. It should receive a new ID and new derived growth IDs; it should not overwrite the existing MSA history.</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Existing LAUS county variables provide monthly employment, unemployment, unemployment rate, and labor force. They are residence-based and are not direct substitutes for CES payroll jobs.</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BLS QCEW can add quarterly Los Angeles County employment, establishment counts, and wages by industry. It is employer-based and highly detailed, but it is quarterly and generally not seasonally adjusted.</w:t>
      </w:r>
    </w:p>
    <w:p>
      <w:pPr>
        <w:pStyle w:val="Heading2"/>
        <w:keepNext/>
        <w:keepLines/>
        <w:spacing w:before="140" w:after="100"/>
        <w:jc w:val="left"/>
      </w:pPr>
      <w:r>
        <w:rPr>
          <w:rFonts w:ascii="Garamond" w:hAnsi="Garamond" w:eastAsia="Garamond"/>
          <w:b/>
          <w:color w:val="000000"/>
          <w:sz w:val="23"/>
          <w:u w:val="none"/>
        </w:rPr>
        <w:t>Inflation</w:t>
      </w:r>
    </w:p>
    <w:p>
      <w:pPr>
        <w:spacing w:before="0" w:after="80" w:line="283" w:lineRule="auto"/>
        <w:jc w:val="both"/>
      </w:pPr>
      <w:r>
        <w:rPr>
          <w:rFonts w:ascii="Garamond" w:hAnsi="Garamond" w:eastAsia="Garamond"/>
          <w:color w:val="000000"/>
          <w:sz w:val="22"/>
        </w:rPr>
        <w:t>No official BLS general consumer price index specifically for Los Angeles County, postal ZIPs, ZCTAs, or Census tracts was identified. The current CPI variables should remain labeled as Los Angeles Orange regional controls. Allocating the CPI by population, employment, or income would create a modeled estimate and should not be introduced without a separately approved method and ID.</w:t>
      </w:r>
    </w:p>
    <w:p>
      <w:pPr>
        <w:pStyle w:val="Heading2"/>
        <w:keepNext/>
        <w:keepLines/>
        <w:spacing w:before="140" w:after="100"/>
        <w:jc w:val="left"/>
      </w:pPr>
      <w:r>
        <w:rPr>
          <w:rFonts w:ascii="Garamond" w:hAnsi="Garamond" w:eastAsia="Garamond"/>
          <w:b/>
          <w:color w:val="000000"/>
          <w:sz w:val="23"/>
          <w:u w:val="none"/>
        </w:rPr>
        <w:t>Rental Vacancy</w:t>
      </w:r>
    </w:p>
    <w:p>
      <w:pPr>
        <w:spacing w:before="0" w:after="80" w:line="283" w:lineRule="auto"/>
        <w:jc w:val="both"/>
      </w:pPr>
      <w:r>
        <w:rPr>
          <w:rFonts w:ascii="Garamond" w:hAnsi="Garamond" w:eastAsia="Garamond"/>
          <w:color w:val="000000"/>
          <w:sz w:val="22"/>
        </w:rPr>
        <w:t>The Housing Vacancy Survey publishes quarterly vacancy measures for states and large metropolitan areas, not an official quarterly Los Angeles County series. More local alternatives exist, but they differ in frequency or concept.</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ACS county and ZCTA variables already maintained include renter occupied units, corresponding margins of error, for rent vacant units, corresponding margins of error, and a county rental availability rate.</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ACS five-year tract estimates can add annual local detail. They must retain their annual five-year-estimate status and published margins of error, and they must not be interpolated to quarters or relabeled as postal ZIP data.</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HUD USPS vacancy measures already provide quarterly county, tract, and modeled Los Angeles County portions of postal ZIPs. They measure vacant residential addresses, not renter-specific vacancy, so they remain a proxy rather than an HVS or ACS replacement.</w:t>
      </w:r>
    </w:p>
    <w:p>
      <w:pPr>
        <w:pStyle w:val="Heading2"/>
        <w:keepNext/>
        <w:keepLines/>
        <w:spacing w:before="140" w:after="100"/>
        <w:jc w:val="left"/>
      </w:pPr>
      <w:r>
        <w:rPr>
          <w:rFonts w:ascii="Garamond" w:hAnsi="Garamond" w:eastAsia="Garamond"/>
          <w:b/>
          <w:color w:val="000000"/>
          <w:sz w:val="23"/>
          <w:u w:val="none"/>
        </w:rPr>
        <w:t>House Prices</w:t>
      </w:r>
    </w:p>
    <w:p>
      <w:pPr>
        <w:spacing w:before="0" w:after="80" w:line="283" w:lineRule="auto"/>
        <w:jc w:val="both"/>
      </w:pPr>
      <w:r>
        <w:rPr>
          <w:rFonts w:ascii="Garamond" w:hAnsi="Garamond" w:eastAsia="Garamond"/>
          <w:color w:val="000000"/>
          <w:sz w:val="22"/>
        </w:rPr>
        <w:t>The database already maintains fhfa_hpi_la_county_all_transactions_nsa_annual. FHFA also publishes developmental annual HPI products for five-digit ZIP codes and Census tracts. These are strong local additions, but they should remain separate from the standard quarterly purchase-only metropolitan-division series.</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Preserve missing or suppressed local indexes when transaction volume is insufficient.</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Verify and document the provider's ZIP5 geography before joining to postal ZIP or Census ZCTA records.</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Do not splice annual developmental series into quarterly purchase-only series or imply a common method.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Current need</w:t>
            </w:r>
          </w:p>
        </w:tc>
        <w:tc>
          <w:tcPr>
            <w:tcW w:type="dxa" w:w="2232"/>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Official option</w:t>
            </w:r>
          </w:p>
        </w:tc>
        <w:tc>
          <w:tcPr>
            <w:tcW w:type="dxa" w:w="2880"/>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Native geography and frequency</w:t>
            </w:r>
          </w:p>
        </w:tc>
        <w:tc>
          <w:tcPr>
            <w:tcW w:type="dxa" w:w="3096"/>
            <w:tcMar>
              <w:top w:w="105" w:type="dxa"/>
              <w:start w:w="110" w:type="dxa"/>
              <w:bottom w:w="105" w:type="dxa"/>
              <w:end w:w="110" w:type="dxa"/>
            </w:tcMar>
            <w:shd w:fill="E7E6E6"/>
            <w:vAlign w:val="center"/>
          </w:tcPr>
          <w:p>
            <w:pPr>
              <w:spacing w:after="0" w:line="252" w:lineRule="auto"/>
              <w:jc w:val="center"/>
            </w:pPr>
            <w:r>
              <w:rPr>
                <w:rFonts w:ascii="Garamond" w:hAnsi="Garamond" w:eastAsia="Garamond"/>
                <w:b/>
                <w:color w:val="000000"/>
                <w:sz w:val="19"/>
              </w:rPr>
              <w:t>Use and limitation</w:t>
            </w:r>
          </w:p>
        </w:tc>
      </w:tr>
      <w:tr>
        <w:tc>
          <w:tcPr>
            <w:tcW w:type="dxa" w:w="180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CES payroll employment</w:t>
            </w:r>
          </w:p>
        </w:tc>
        <w:tc>
          <w:tcPr>
            <w:tcW w:type="dxa" w:w="2232"/>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BLS CES MD 31084</w:t>
            </w:r>
          </w:p>
        </w:tc>
        <w:tc>
          <w:tcPr>
            <w:tcW w:type="dxa" w:w="288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Monthly; LA County-equivalent</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Best same-concept local addition</w:t>
            </w:r>
          </w:p>
        </w:tc>
      </w:tr>
      <w:tr>
        <w:tc>
          <w:tcPr>
            <w:tcW w:type="dxa" w:w="180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Employment detail</w:t>
            </w:r>
          </w:p>
        </w:tc>
        <w:tc>
          <w:tcPr>
            <w:tcW w:type="dxa" w:w="2232"/>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BLS QCEW</w:t>
            </w:r>
          </w:p>
        </w:tc>
        <w:tc>
          <w:tcPr>
            <w:tcW w:type="dxa" w:w="288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Quarterly; county and industry</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Add detail; do not replace monthly CES</w:t>
            </w:r>
          </w:p>
        </w:tc>
      </w:tr>
      <w:tr>
        <w:tc>
          <w:tcPr>
            <w:tcW w:type="dxa" w:w="180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General inflation</w:t>
            </w:r>
          </w:p>
        </w:tc>
        <w:tc>
          <w:tcPr>
            <w:tcW w:type="dxa" w:w="2232"/>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No official local replacement found</w:t>
            </w:r>
          </w:p>
        </w:tc>
        <w:tc>
          <w:tcPr>
            <w:tcW w:type="dxa" w:w="288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Current CPI area only</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Keep regional control; do not allocate</w:t>
            </w:r>
          </w:p>
        </w:tc>
      </w:tr>
      <w:tr>
        <w:tc>
          <w:tcPr>
            <w:tcW w:type="dxa" w:w="180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Rental vacancy</w:t>
            </w:r>
          </w:p>
        </w:tc>
        <w:tc>
          <w:tcPr>
            <w:tcW w:type="dxa" w:w="2232"/>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ACS five-year</w:t>
            </w:r>
          </w:p>
        </w:tc>
        <w:tc>
          <w:tcPr>
            <w:tcW w:type="dxa" w:w="288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Annual; county, ZCTA, tract</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More local but less frequent; retain MOEs</w:t>
            </w:r>
          </w:p>
        </w:tc>
      </w:tr>
      <w:tr>
        <w:tc>
          <w:tcPr>
            <w:tcW w:type="dxa" w:w="180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Address vacancy</w:t>
            </w:r>
          </w:p>
        </w:tc>
        <w:tc>
          <w:tcPr>
            <w:tcW w:type="dxa" w:w="2232"/>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HUD USPS</w:t>
            </w:r>
          </w:p>
        </w:tc>
        <w:tc>
          <w:tcPr>
            <w:tcW w:type="dxa" w:w="2880"/>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Quarterly; county, tract, modeled postal ZIP parts</w:t>
            </w:r>
          </w:p>
        </w:tc>
        <w:tc>
          <w:tcPr>
            <w:tcW w:type="dxa" w:w="3096"/>
            <w:tcMar>
              <w:top w:w="95" w:type="dxa"/>
              <w:start w:w="110" w:type="dxa"/>
              <w:bottom w:w="95" w:type="dxa"/>
              <w:end w:w="110" w:type="dxa"/>
            </w:tcMar>
            <w:vAlign w:val="center"/>
          </w:tcPr>
          <w:p>
            <w:pPr>
              <w:spacing w:after="0" w:line="252" w:lineRule="auto"/>
              <w:jc w:val="left"/>
            </w:pPr>
            <w:r>
              <w:rPr>
                <w:rFonts w:ascii="Garamond" w:hAnsi="Garamond" w:eastAsia="Garamond"/>
                <w:color w:val="000000"/>
                <w:sz w:val="19"/>
              </w:rPr>
              <w:t>Useful proxy; not renter-specific</w:t>
            </w:r>
          </w:p>
        </w:tc>
      </w:tr>
      <w:tr>
        <w:tc>
          <w:tcPr>
            <w:tcW w:type="dxa" w:w="180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House prices</w:t>
            </w:r>
          </w:p>
        </w:tc>
        <w:tc>
          <w:tcPr>
            <w:tcW w:type="dxa" w:w="2232"/>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FHFA developmental local HPI</w:t>
            </w:r>
          </w:p>
        </w:tc>
        <w:tc>
          <w:tcPr>
            <w:tcW w:type="dxa" w:w="2880"/>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Annual; county, ZIP5, tract</w:t>
            </w:r>
          </w:p>
        </w:tc>
        <w:tc>
          <w:tcPr>
            <w:tcW w:type="dxa" w:w="3096"/>
            <w:tcMar>
              <w:top w:w="95" w:type="dxa"/>
              <w:start w:w="110" w:type="dxa"/>
              <w:bottom w:w="95" w:type="dxa"/>
              <w:end w:w="110" w:type="dxa"/>
            </w:tcMar>
            <w:shd w:fill="F7F7F7"/>
            <w:vAlign w:val="center"/>
          </w:tcPr>
          <w:p>
            <w:pPr>
              <w:spacing w:after="0" w:line="252" w:lineRule="auto"/>
              <w:jc w:val="left"/>
            </w:pPr>
            <w:r>
              <w:rPr>
                <w:rFonts w:ascii="Garamond" w:hAnsi="Garamond" w:eastAsia="Garamond"/>
                <w:color w:val="000000"/>
                <w:sz w:val="19"/>
              </w:rPr>
              <w:t>Add separately; preserve suppression</w:t>
            </w:r>
          </w:p>
        </w:tc>
      </w:tr>
    </w:tbl>
    <w:p>
      <w:pPr>
        <w:spacing w:after="20"/>
      </w:pPr>
    </w:p>
    <w:p>
      <w:pPr>
        <w:pStyle w:val="Heading1"/>
        <w:keepNext/>
        <w:keepLines/>
        <w:spacing w:before="200" w:after="100"/>
        <w:jc w:val="center"/>
      </w:pPr>
      <w:r>
        <w:rPr>
          <w:rFonts w:ascii="Garamond" w:hAnsi="Garamond" w:eastAsia="Garamond"/>
          <w:b/>
          <w:color w:val="000000"/>
          <w:sz w:val="25"/>
          <w:u w:val="single"/>
        </w:rPr>
        <w:t>Implementation Priorities</w:t>
      </w:r>
    </w:p>
    <w:p>
      <w:pPr>
        <w:spacing w:after="60" w:line="269" w:lineRule="auto"/>
        <w:ind w:left="691" w:hanging="374"/>
      </w:pPr>
      <w:r>
        <w:rPr>
          <w:rFonts w:ascii="Garamond" w:hAnsi="Garamond" w:eastAsia="Garamond"/>
          <w:color w:val="000000"/>
          <w:sz w:val="22"/>
        </w:rPr>
        <w:t>1.</w:t>
        <w:tab/>
        <w:t>Add BLS series SMS06310840000000001 and create separately identified level, month-over-month growth, and year-over-year growth variables. Make the county-equivalent family the primary local payroll control while retaining the existing MSA family as a regional comparator.</w:t>
      </w:r>
    </w:p>
    <w:p>
      <w:pPr>
        <w:spacing w:after="60" w:line="269" w:lineRule="auto"/>
        <w:ind w:left="691" w:hanging="374"/>
      </w:pPr>
      <w:r>
        <w:rPr>
          <w:rFonts w:ascii="Garamond" w:hAnsi="Garamond" w:eastAsia="Garamond"/>
          <w:color w:val="000000"/>
          <w:sz w:val="22"/>
        </w:rPr>
        <w:t>2.</w:t>
        <w:tab/>
        <w:t>Add FHFA annual ZIP5 HPI and, if tract research is required, the annual tract HPI. Add BLS QCEW county employment, establishments, and wages as a separate quarterly family.</w:t>
      </w:r>
    </w:p>
    <w:p>
      <w:pPr>
        <w:spacing w:after="60" w:line="269" w:lineRule="auto"/>
        <w:ind w:left="691" w:hanging="374"/>
      </w:pPr>
      <w:r>
        <w:rPr>
          <w:rFonts w:ascii="Garamond" w:hAnsi="Garamond" w:eastAsia="Garamond"/>
          <w:color w:val="000000"/>
          <w:sz w:val="22"/>
        </w:rPr>
        <w:t>3.</w:t>
        <w:tab/>
        <w:t>Evaluate an annual ACS tract rental-vacancy product. Retain existing county and ZCTA estimates at native annual frequency and HVS as a broader quarterly control.</w:t>
      </w:r>
    </w:p>
    <w:p>
      <w:pPr>
        <w:spacing w:after="60" w:line="269" w:lineRule="auto"/>
        <w:ind w:left="691" w:hanging="374"/>
      </w:pPr>
      <w:r>
        <w:rPr>
          <w:rFonts w:ascii="Garamond" w:hAnsi="Garamond" w:eastAsia="Garamond"/>
          <w:color w:val="000000"/>
          <w:sz w:val="22"/>
        </w:rPr>
        <w:t>4.</w:t>
        <w:tab/>
        <w:t>Keep the Los Angeles-area CPI as a Los Angeles Orange regional control. Do not allocate or relabel it as county, postal ZIP, ZCTA, or tract data.</w:t>
      </w:r>
    </w:p>
    <w:p>
      <w:pPr>
        <w:pStyle w:val="Heading1"/>
        <w:keepNext/>
        <w:keepLines/>
        <w:spacing w:before="200" w:after="100"/>
        <w:jc w:val="center"/>
      </w:pPr>
      <w:r>
        <w:rPr>
          <w:rFonts w:ascii="Garamond" w:hAnsi="Garamond" w:eastAsia="Garamond"/>
          <w:b/>
          <w:color w:val="000000"/>
          <w:sz w:val="25"/>
          <w:u w:val="single"/>
        </w:rPr>
        <w:t>Automation and Validation Requirements</w:t>
      </w:r>
    </w:p>
    <w:p>
      <w:pPr>
        <w:spacing w:before="0" w:after="80" w:line="283" w:lineRule="auto"/>
        <w:jc w:val="both"/>
      </w:pPr>
      <w:r>
        <w:rPr>
          <w:rFonts w:ascii="Garamond" w:hAnsi="Garamond" w:eastAsia="Garamond"/>
          <w:color w:val="000000"/>
          <w:sz w:val="22"/>
        </w:rPr>
        <w:t>Every refresh should discover and ingest the newest provider-published release available at run time rather than relying on a frozen local filename. Automation must still preserve an immutable raw vintage and enough metadata to reproduce every clean or derived observation.</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Archive source vintage, retrieval timestamp, checksum, original source filename, endpoint, and provider geography.</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Use a separate variable ID whenever geography, frequency, seasonal adjustment, or method changes.</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Apply source-specific frequency conversion rules; do not use one aggregation rule for every variable.</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Do not interpolate missing housing observations or silently fill ZIP, ZCTA, or tract observations with county, MSA, state, or national values.</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Stop validation on structural failures such as invalid geography codes, duplicate keys, unexpected source truncation, missing required columns, or a source vintage that is older than the archived active vintage.</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Treat plausible economic outliers as warnings for review rather than deleting them automatically.</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Update code, configuration, the variable dictionary, the transformation log, documentation, and tests together.</w:t>
      </w:r>
    </w:p>
    <w:p>
      <w:pPr>
        <w:spacing w:after="60" w:line="269" w:lineRule="auto"/>
        <w:ind w:left="504" w:hanging="259"/>
      </w:pPr>
      <w:r>
        <w:rPr>
          <w:rFonts w:ascii="Garamond" w:hAnsi="Garamond" w:eastAsia="Garamond"/>
          <w:color w:val="000000"/>
          <w:sz w:val="22"/>
        </w:rPr>
        <w:t>•</w:t>
        <w:tab/>
      </w:r>
      <w:r>
        <w:rPr>
          <w:rFonts w:ascii="Garamond" w:hAnsi="Garamond" w:eastAsia="Garamond"/>
          <w:color w:val="000000"/>
          <w:sz w:val="22"/>
        </w:rPr>
        <w:t>Run the complete pytest suite and python run_pipeline.py --stage validate before declaring an implementation complete.</w:t>
      </w:r>
    </w:p>
    <w:p>
      <w:pPr>
        <w:spacing w:before="0" w:after="80" w:line="283" w:lineRule="auto"/>
        <w:jc w:val="both"/>
      </w:pPr>
      <w:r>
        <w:rPr>
          <w:rFonts w:ascii="Garamond" w:hAnsi="Garamond" w:eastAsia="Garamond"/>
          <w:b/>
          <w:color w:val="000000"/>
          <w:sz w:val="22"/>
        </w:rPr>
        <w:t>Access status.</w:t>
      </w:r>
      <w:r>
        <w:rPr>
          <w:rFonts w:ascii="Garamond" w:hAnsi="Garamond" w:eastAsia="Garamond"/>
          <w:color w:val="000000"/>
          <w:sz w:val="22"/>
        </w:rPr>
        <w:t xml:space="preserve"> The reviewed BLS, Census, and FHFA routes appear public, and no new login or credential requirement was identified during source discovery. Full acquisition was not run. Implementation should stop and request user intervention if a provider introduces authentication, blocks automated access, changes an endpoint, or presents an ambiguous new schema.</w:t>
      </w:r>
    </w:p>
    <w:p>
      <w:pPr>
        <w:pStyle w:val="Heading1"/>
        <w:keepNext/>
        <w:keepLines/>
        <w:spacing w:before="200" w:after="100"/>
        <w:jc w:val="center"/>
      </w:pPr>
      <w:r>
        <w:rPr>
          <w:rFonts w:ascii="Garamond" w:hAnsi="Garamond" w:eastAsia="Garamond"/>
          <w:b/>
          <w:color w:val="000000"/>
          <w:sz w:val="25"/>
          <w:u w:val="single"/>
        </w:rPr>
        <w:t>Official Sources</w:t>
      </w:r>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BLS California CES publication structure: </w:t>
      </w:r>
      <w:hyperlink r:id="rId6">
        <w:r>
          <w:rPr>
            <w:rFonts w:ascii="Garamond" w:hAnsi="Garamond"/>
            <w:color w:val="1F4E79"/>
            <w:u w:val="single"/>
            <w:sz w:val="20"/>
          </w:rPr>
          <w:t>https://www.bls.gov/sae/additional-resources/list-of-published-state-and-metropolitan-area-series/california.htm</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BLS CPI geographic sample: </w:t>
      </w:r>
      <w:hyperlink r:id="rId9">
        <w:r>
          <w:rPr>
            <w:rFonts w:ascii="Garamond" w:hAnsi="Garamond"/>
            <w:color w:val="1F4E79"/>
            <w:u w:val="single"/>
            <w:sz w:val="20"/>
          </w:rPr>
          <w:t>https://www.bls.gov/cpi/additional-resources/geographic-sample.htm</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BLS Local Area Unemployment Statistics: </w:t>
      </w:r>
      <w:hyperlink r:id="rId10">
        <w:r>
          <w:rPr>
            <w:rFonts w:ascii="Garamond" w:hAnsi="Garamond"/>
            <w:color w:val="1F4E79"/>
            <w:u w:val="single"/>
            <w:sz w:val="20"/>
          </w:rPr>
          <w:t>https://www.bls.gov/lau/lauavail.htm</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BLS Quarterly Census of Employment and Wages: </w:t>
      </w:r>
      <w:hyperlink r:id="rId11">
        <w:r>
          <w:rPr>
            <w:rFonts w:ascii="Garamond" w:hAnsi="Garamond"/>
            <w:color w:val="1F4E79"/>
            <w:u w:val="single"/>
            <w:sz w:val="20"/>
          </w:rPr>
          <w:t>https://www.bls.gov/cew/home.htm</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Census Housing Vacancy Survey tables: </w:t>
      </w:r>
      <w:hyperlink r:id="rId12">
        <w:r>
          <w:rPr>
            <w:rFonts w:ascii="Garamond" w:hAnsi="Garamond"/>
            <w:color w:val="1F4E79"/>
            <w:u w:val="single"/>
            <w:sz w:val="20"/>
          </w:rPr>
          <w:t>https://www.census.gov/housing/hvs/data/rates.html</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Census housing data geography guidance: </w:t>
      </w:r>
      <w:hyperlink r:id="rId13">
        <w:r>
          <w:rPr>
            <w:rFonts w:ascii="Garamond" w:hAnsi="Garamond"/>
            <w:color w:val="1F4E79"/>
            <w:u w:val="single"/>
            <w:sz w:val="20"/>
          </w:rPr>
          <w:t>https://www.census.gov/topics/housing/guidance/topics.html</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FHFA HPI datasets: </w:t>
      </w:r>
      <w:hyperlink r:id="rId14">
        <w:r>
          <w:rPr>
            <w:rFonts w:ascii="Garamond" w:hAnsi="Garamond"/>
            <w:color w:val="1F4E79"/>
            <w:u w:val="single"/>
            <w:sz w:val="20"/>
          </w:rPr>
          <w:t>https://www.fhfa.gov/house-price-index?tab=HPI+Datasets</w:t>
        </w:r>
      </w:hyperlink>
    </w:p>
    <w:p>
      <w:pPr>
        <w:spacing w:after="20" w:line="240" w:lineRule="auto"/>
        <w:ind w:left="504" w:hanging="259"/>
      </w:pPr>
      <w:r>
        <w:rPr>
          <w:rFonts w:ascii="Garamond" w:hAnsi="Garamond" w:eastAsia="Garamond"/>
          <w:color w:val="000000"/>
          <w:sz w:val="19"/>
        </w:rPr>
        <w:t>•</w:t>
        <w:tab/>
      </w:r>
      <w:r>
        <w:rPr>
          <w:rFonts w:ascii="Garamond" w:hAnsi="Garamond" w:eastAsia="Garamond"/>
          <w:b/>
          <w:color w:val="000000"/>
          <w:sz w:val="19"/>
        </w:rPr>
        <w:t xml:space="preserve">OMB metropolitan area delineations: </w:t>
      </w:r>
      <w:hyperlink r:id="rId15">
        <w:r>
          <w:rPr>
            <w:rFonts w:ascii="Garamond" w:hAnsi="Garamond"/>
            <w:color w:val="1F4E79"/>
            <w:u w:val="single"/>
            <w:sz w:val="20"/>
          </w:rPr>
          <w:t>https://www.bls.gov/bls/omb-bulletin-18-03-revised-delineations-of-metropolitan-statistical-areas.pdf</w:t>
        </w:r>
      </w:hyperlink>
    </w:p>
    <w:p>
      <w:pPr>
        <w:pStyle w:val="Heading1"/>
        <w:keepNext/>
        <w:keepLines/>
        <w:spacing w:before="200" w:after="100"/>
        <w:jc w:val="center"/>
      </w:pPr>
      <w:r>
        <w:rPr>
          <w:rFonts w:ascii="Garamond" w:hAnsi="Garamond" w:eastAsia="Garamond"/>
          <w:b/>
          <w:color w:val="000000"/>
          <w:sz w:val="25"/>
          <w:u w:val="single"/>
        </w:rPr>
        <w:t>Conclusion</w:t>
      </w:r>
    </w:p>
    <w:p>
      <w:pPr>
        <w:spacing w:before="0" w:after="80" w:line="283" w:lineRule="auto"/>
        <w:jc w:val="both"/>
      </w:pPr>
      <w:r>
        <w:rPr>
          <w:rFonts w:ascii="Garamond" w:hAnsi="Garamond" w:eastAsia="Garamond"/>
          <w:color w:val="000000"/>
          <w:sz w:val="22"/>
        </w:rPr>
        <w:t>Eight CES, CPI, and HVS IDs use geographies broader than Los Angeles County. Three FHFA IDs use Division 31084, whose footprint equals the county but whose provider label remains metropolitan. Add the county-equivalent monthly CES series as a new family, retain the regional comparisons, and add FHFA ZIP5 or tract, QCEW county, and ACS tract measures only as separate source-native series.</w:t>
      </w:r>
    </w:p>
    <w:sectPr>
      <w:headerReference r:id="rId7" w:type="default"/>
      <w:footerReference r:id="rId8" w:type="default"/>
      <w:pgSz w:h="15840" w:w="12240"/>
      <w:pgMar w:bottom="1080" w:top="1152" w:left="1123" w:right="1123"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hAnsi="Arial" w:eastAsia="Arial"/>
        <w:color w:val="B7B7B7"/>
        <w:sz w:val="17"/>
      </w:rPr>
      <w:t>LOS ANGELES HOUSING DATABASE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yperlink" Target="https://www.bls.gov/sae/additional-resources/list-of-published-state-and-metropolitan-area-series/california.htm" TargetMode="External"/><Relationship Id="rId9" Type="http://schemas.openxmlformats.org/officeDocument/2006/relationships/hyperlink" Target="https://www.bls.gov/cpi/additional-resources/geographic-sample.htm" TargetMode="External"/><Relationship Id="rId10" Type="http://schemas.openxmlformats.org/officeDocument/2006/relationships/hyperlink" Target="https://www.bls.gov/lau/lauavail.htm" TargetMode="External"/><Relationship Id="rId11" Type="http://schemas.openxmlformats.org/officeDocument/2006/relationships/hyperlink" Target="https://www.bls.gov/cew/home.htm" TargetMode="External"/><Relationship Id="rId12" Type="http://schemas.openxmlformats.org/officeDocument/2006/relationships/hyperlink" Target="https://www.census.gov/housing/hvs/data/rates.html" TargetMode="External"/><Relationship Id="rId13" Type="http://schemas.openxmlformats.org/officeDocument/2006/relationships/hyperlink" Target="https://www.census.gov/topics/housing/guidance/topics.html" TargetMode="External"/><Relationship Id="rId14" Type="http://schemas.openxmlformats.org/officeDocument/2006/relationships/hyperlink" Target="https://www.fhfa.gov/house-price-index?tab=HPI+Datasets" TargetMode="External"/><Relationship Id="rId15" Type="http://schemas.openxmlformats.org/officeDocument/2006/relationships/hyperlink" Target="https://www.bls.gov/bls/omb-bulletin-18-03-revised-delineations-of-metropolitan-statistical-area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