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软件需求3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一、功能性需求分析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设备管理模块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：统一管理系统中的各种智能设备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设备注册与发现：</w:t>
      </w:r>
      <w:r>
        <w:rPr>
          <w:rFonts w:eastAsia="等线" w:ascii="Arial" w:cs="Arial" w:hAnsi="Arial"/>
          <w:sz w:val="22"/>
        </w:rPr>
        <w:t>支持手动添加新设备（录入品牌、型号、通信方式等信息）；支持自动发现设备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设备控制与状态获取：</w:t>
      </w:r>
      <w:r>
        <w:rPr>
          <w:rFonts w:eastAsia="等线" w:ascii="Arial" w:cs="Arial" w:hAnsi="Arial"/>
          <w:sz w:val="22"/>
        </w:rPr>
        <w:t>提供统一的接口来控制不同设备（开关、亮度、温度、模式等）；支持周期性或实时更新设备状态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设备分组与分类：</w:t>
      </w:r>
      <w:r>
        <w:rPr>
          <w:rFonts w:eastAsia="等线" w:ascii="Arial" w:cs="Arial" w:hAnsi="Arial"/>
          <w:sz w:val="22"/>
        </w:rPr>
        <w:t>用户可自定义房间、区域或功能分组；支持对组的批量控制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设备适配层：</w:t>
      </w:r>
      <w:r>
        <w:rPr>
          <w:rFonts w:eastAsia="等线" w:ascii="Arial" w:cs="Arial" w:hAnsi="Arial"/>
          <w:sz w:val="22"/>
        </w:rPr>
        <w:t>针对不同品牌或协议设计适配器；新增设备类型时仅需增加对应的适配器类，无需修改核心逻辑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规则引擎模块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：根据触发条件自动执行预定义动作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条件定义：</w:t>
      </w:r>
      <w:r>
        <w:rPr>
          <w:rFonts w:eastAsia="等线" w:ascii="Arial" w:cs="Arial" w:hAnsi="Arial"/>
          <w:sz w:val="22"/>
        </w:rPr>
        <w:t>支持多种触发类型（时间触发、传感器触发、手动触发、组合触发（多条件与/或逻辑））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动作定义：</w:t>
      </w:r>
      <w:r>
        <w:rPr>
          <w:rFonts w:eastAsia="等线" w:ascii="Arial" w:cs="Arial" w:hAnsi="Arial"/>
          <w:sz w:val="22"/>
        </w:rPr>
        <w:t>动作可以包括设备操作（开关、设置温度、调节亮度等）或系统操作（推送消息等）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规则存储与执行：</w:t>
      </w:r>
      <w:r>
        <w:rPr>
          <w:rFonts w:eastAsia="等线" w:ascii="Arial" w:cs="Arial" w:hAnsi="Arial"/>
          <w:sz w:val="22"/>
        </w:rPr>
        <w:t>规则可持久化存储在数据库中；支持规则启用/禁用、优先级设定、冲突检测；执行引擎可通过事件总线监听触发条件并执行动作链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可扩展性：</w:t>
      </w:r>
      <w:r>
        <w:rPr>
          <w:rFonts w:eastAsia="等线" w:ascii="Arial" w:cs="Arial" w:hAnsi="Arial"/>
          <w:sz w:val="22"/>
        </w:rPr>
        <w:t>新增触发类型或动作类型时无需修改引擎主体，只需注册新模块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统一控制接口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：屏蔽设备差异，对上层应用提供统一的接口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API接口层：</w:t>
      </w:r>
      <w:r>
        <w:rPr>
          <w:rFonts w:eastAsia="等线" w:ascii="Arial" w:cs="Arial" w:hAnsi="Arial"/>
          <w:sz w:val="22"/>
        </w:rPr>
        <w:t>提供接口，用于前端App或语音助手调用；有统一的命令格式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抽象设备接口：</w:t>
      </w:r>
      <w:r>
        <w:rPr>
          <w:rFonts w:eastAsia="等线" w:ascii="Arial" w:cs="Arial" w:hAnsi="Arial"/>
          <w:sz w:val="22"/>
        </w:rPr>
        <w:t>定义统一的接口规范；所有具体设备适配器必须实现该接口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日志与监控：</w:t>
      </w:r>
      <w:r>
        <w:rPr>
          <w:rFonts w:eastAsia="等线" w:ascii="Arial" w:cs="Arial" w:hAnsi="Arial"/>
          <w:sz w:val="22"/>
        </w:rPr>
        <w:t>每次控制操作和规则执行都有日志记录；提供设备状态监控和执行历史查询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二、非功能性需求</w:t>
      </w:r>
      <w:bookmarkEnd w:id="1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可扩展性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新增设备、协议或规则类型时，不影响已有模块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使用“策略模式”或“工厂模式”动态注册设备类型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低耦合性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通过事件总线实现模块间通信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设备管理与规则引擎相互独立，仅通过接口或消息交互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高可维护性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采用模块化代码结构，统一日志、配置、异常处理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可靠性与容错性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设备离线或响应异常时系统应自动重试或给出告警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规则执行失败时记录原因并不中断其他任务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安全性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接口访问需鉴权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设备控制命令需加密传输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26296">
    <w:lvl>
      <w:start w:val="1"/>
      <w:numFmt w:val="decimal"/>
      <w:suff w:val="tab"/>
      <w:lvlText w:val="%1."/>
      <w:rPr>
        <w:color w:val="3370ff"/>
      </w:rPr>
    </w:lvl>
  </w:abstractNum>
  <w:abstractNum w:abstractNumId="526297">
    <w:lvl>
      <w:numFmt w:val="bullet"/>
      <w:suff w:val="tab"/>
      <w:lvlText w:val="•"/>
      <w:rPr>
        <w:color w:val="3370ff"/>
      </w:rPr>
    </w:lvl>
  </w:abstractNum>
  <w:abstractNum w:abstractNumId="526298">
    <w:lvl>
      <w:numFmt w:val="bullet"/>
      <w:suff w:val="tab"/>
      <w:lvlText w:val="•"/>
      <w:rPr>
        <w:color w:val="3370ff"/>
      </w:rPr>
    </w:lvl>
  </w:abstractNum>
  <w:abstractNum w:abstractNumId="526299">
    <w:lvl>
      <w:numFmt w:val="bullet"/>
      <w:suff w:val="tab"/>
      <w:lvlText w:val="•"/>
      <w:rPr>
        <w:color w:val="3370ff"/>
      </w:rPr>
    </w:lvl>
  </w:abstractNum>
  <w:abstractNum w:abstractNumId="526300">
    <w:lvl>
      <w:numFmt w:val="bullet"/>
      <w:suff w:val="tab"/>
      <w:lvlText w:val="•"/>
      <w:rPr>
        <w:color w:val="3370ff"/>
      </w:rPr>
    </w:lvl>
  </w:abstractNum>
  <w:abstractNum w:abstractNumId="526301">
    <w:lvl>
      <w:start w:val="2"/>
      <w:numFmt w:val="decimal"/>
      <w:suff w:val="tab"/>
      <w:lvlText w:val="%1."/>
      <w:rPr>
        <w:color w:val="3370ff"/>
      </w:rPr>
    </w:lvl>
  </w:abstractNum>
  <w:abstractNum w:abstractNumId="526302">
    <w:lvl>
      <w:numFmt w:val="bullet"/>
      <w:suff w:val="tab"/>
      <w:lvlText w:val="•"/>
      <w:rPr>
        <w:color w:val="3370ff"/>
      </w:rPr>
    </w:lvl>
  </w:abstractNum>
  <w:abstractNum w:abstractNumId="526303">
    <w:lvl>
      <w:numFmt w:val="bullet"/>
      <w:suff w:val="tab"/>
      <w:lvlText w:val="•"/>
      <w:rPr>
        <w:color w:val="3370ff"/>
      </w:rPr>
    </w:lvl>
  </w:abstractNum>
  <w:abstractNum w:abstractNumId="526304">
    <w:lvl>
      <w:numFmt w:val="bullet"/>
      <w:suff w:val="tab"/>
      <w:lvlText w:val="•"/>
      <w:rPr>
        <w:color w:val="3370ff"/>
      </w:rPr>
    </w:lvl>
  </w:abstractNum>
  <w:abstractNum w:abstractNumId="526305">
    <w:lvl>
      <w:numFmt w:val="bullet"/>
      <w:suff w:val="tab"/>
      <w:lvlText w:val="•"/>
      <w:rPr>
        <w:color w:val="3370ff"/>
      </w:rPr>
    </w:lvl>
  </w:abstractNum>
  <w:abstractNum w:abstractNumId="526306">
    <w:lvl>
      <w:start w:val="3"/>
      <w:numFmt w:val="decimal"/>
      <w:suff w:val="tab"/>
      <w:lvlText w:val="%1."/>
      <w:rPr>
        <w:color w:val="3370ff"/>
      </w:rPr>
    </w:lvl>
  </w:abstractNum>
  <w:abstractNum w:abstractNumId="526307">
    <w:lvl>
      <w:numFmt w:val="bullet"/>
      <w:suff w:val="tab"/>
      <w:lvlText w:val="•"/>
      <w:rPr>
        <w:color w:val="3370ff"/>
      </w:rPr>
    </w:lvl>
  </w:abstractNum>
  <w:abstractNum w:abstractNumId="526308">
    <w:lvl>
      <w:numFmt w:val="bullet"/>
      <w:suff w:val="tab"/>
      <w:lvlText w:val="•"/>
      <w:rPr>
        <w:color w:val="3370ff"/>
      </w:rPr>
    </w:lvl>
  </w:abstractNum>
  <w:abstractNum w:abstractNumId="526309">
    <w:lvl>
      <w:numFmt w:val="bullet"/>
      <w:suff w:val="tab"/>
      <w:lvlText w:val="•"/>
      <w:rPr>
        <w:color w:val="3370ff"/>
      </w:rPr>
    </w:lvl>
  </w:abstractNum>
  <w:abstractNum w:abstractNumId="526310">
    <w:lvl>
      <w:start w:val="1"/>
      <w:numFmt w:val="decimal"/>
      <w:suff w:val="tab"/>
      <w:lvlText w:val="%1."/>
      <w:rPr>
        <w:color w:val="3370ff"/>
      </w:rPr>
    </w:lvl>
  </w:abstractNum>
  <w:abstractNum w:abstractNumId="526311">
    <w:lvl>
      <w:numFmt w:val="bullet"/>
      <w:suff w:val="tab"/>
      <w:lvlText w:val="￮"/>
      <w:rPr>
        <w:color w:val="3370ff"/>
      </w:rPr>
    </w:lvl>
  </w:abstractNum>
  <w:abstractNum w:abstractNumId="526312">
    <w:lvl>
      <w:numFmt w:val="bullet"/>
      <w:suff w:val="tab"/>
      <w:lvlText w:val="￮"/>
      <w:rPr>
        <w:color w:val="3370ff"/>
      </w:rPr>
    </w:lvl>
  </w:abstractNum>
  <w:abstractNum w:abstractNumId="526313">
    <w:lvl>
      <w:start w:val="2"/>
      <w:numFmt w:val="decimal"/>
      <w:suff w:val="tab"/>
      <w:lvlText w:val="%1."/>
      <w:rPr>
        <w:color w:val="3370ff"/>
      </w:rPr>
    </w:lvl>
  </w:abstractNum>
  <w:abstractNum w:abstractNumId="526314">
    <w:lvl>
      <w:numFmt w:val="bullet"/>
      <w:suff w:val="tab"/>
      <w:lvlText w:val="￮"/>
      <w:rPr>
        <w:color w:val="3370ff"/>
      </w:rPr>
    </w:lvl>
  </w:abstractNum>
  <w:abstractNum w:abstractNumId="526315">
    <w:lvl>
      <w:numFmt w:val="bullet"/>
      <w:suff w:val="tab"/>
      <w:lvlText w:val="￮"/>
      <w:rPr>
        <w:color w:val="3370ff"/>
      </w:rPr>
    </w:lvl>
  </w:abstractNum>
  <w:abstractNum w:abstractNumId="526316">
    <w:lvl>
      <w:start w:val="3"/>
      <w:numFmt w:val="decimal"/>
      <w:suff w:val="tab"/>
      <w:lvlText w:val="%1."/>
      <w:rPr>
        <w:color w:val="3370ff"/>
      </w:rPr>
    </w:lvl>
  </w:abstractNum>
  <w:abstractNum w:abstractNumId="526317">
    <w:lvl>
      <w:numFmt w:val="bullet"/>
      <w:suff w:val="tab"/>
      <w:lvlText w:val="￮"/>
      <w:rPr>
        <w:color w:val="3370ff"/>
      </w:rPr>
    </w:lvl>
  </w:abstractNum>
  <w:abstractNum w:abstractNumId="526318">
    <w:lvl>
      <w:start w:val="4"/>
      <w:numFmt w:val="decimal"/>
      <w:suff w:val="tab"/>
      <w:lvlText w:val="%1."/>
      <w:rPr>
        <w:color w:val="3370ff"/>
      </w:rPr>
    </w:lvl>
  </w:abstractNum>
  <w:abstractNum w:abstractNumId="526319">
    <w:lvl>
      <w:numFmt w:val="bullet"/>
      <w:suff w:val="tab"/>
      <w:lvlText w:val="￮"/>
      <w:rPr>
        <w:color w:val="3370ff"/>
      </w:rPr>
    </w:lvl>
  </w:abstractNum>
  <w:abstractNum w:abstractNumId="526320">
    <w:lvl>
      <w:numFmt w:val="bullet"/>
      <w:suff w:val="tab"/>
      <w:lvlText w:val="￮"/>
      <w:rPr>
        <w:color w:val="3370ff"/>
      </w:rPr>
    </w:lvl>
  </w:abstractNum>
  <w:abstractNum w:abstractNumId="526321">
    <w:lvl>
      <w:start w:val="5"/>
      <w:numFmt w:val="decimal"/>
      <w:suff w:val="tab"/>
      <w:lvlText w:val="%1."/>
      <w:rPr>
        <w:color w:val="3370ff"/>
      </w:rPr>
    </w:lvl>
  </w:abstractNum>
  <w:abstractNum w:abstractNumId="526322">
    <w:lvl>
      <w:numFmt w:val="bullet"/>
      <w:suff w:val="tab"/>
      <w:lvlText w:val="￮"/>
      <w:rPr>
        <w:color w:val="3370ff"/>
      </w:rPr>
    </w:lvl>
  </w:abstractNum>
  <w:abstractNum w:abstractNumId="526323">
    <w:lvl>
      <w:numFmt w:val="bullet"/>
      <w:suff w:val="tab"/>
      <w:lvlText w:val="￮"/>
      <w:rPr>
        <w:color w:val="3370ff"/>
      </w:rPr>
    </w:lvl>
  </w:abstractNum>
  <w:num w:numId="1">
    <w:abstractNumId w:val="526296"/>
  </w:num>
  <w:num w:numId="2">
    <w:abstractNumId w:val="526297"/>
  </w:num>
  <w:num w:numId="3">
    <w:abstractNumId w:val="526298"/>
  </w:num>
  <w:num w:numId="4">
    <w:abstractNumId w:val="526299"/>
  </w:num>
  <w:num w:numId="5">
    <w:abstractNumId w:val="526300"/>
  </w:num>
  <w:num w:numId="6">
    <w:abstractNumId w:val="526301"/>
  </w:num>
  <w:num w:numId="7">
    <w:abstractNumId w:val="526302"/>
  </w:num>
  <w:num w:numId="8">
    <w:abstractNumId w:val="526303"/>
  </w:num>
  <w:num w:numId="9">
    <w:abstractNumId w:val="526304"/>
  </w:num>
  <w:num w:numId="10">
    <w:abstractNumId w:val="526305"/>
  </w:num>
  <w:num w:numId="11">
    <w:abstractNumId w:val="526306"/>
  </w:num>
  <w:num w:numId="12">
    <w:abstractNumId w:val="526307"/>
  </w:num>
  <w:num w:numId="13">
    <w:abstractNumId w:val="526308"/>
  </w:num>
  <w:num w:numId="14">
    <w:abstractNumId w:val="526309"/>
  </w:num>
  <w:num w:numId="15">
    <w:abstractNumId w:val="526310"/>
  </w:num>
  <w:num w:numId="16">
    <w:abstractNumId w:val="526311"/>
  </w:num>
  <w:num w:numId="17">
    <w:abstractNumId w:val="526312"/>
  </w:num>
  <w:num w:numId="18">
    <w:abstractNumId w:val="526313"/>
  </w:num>
  <w:num w:numId="19">
    <w:abstractNumId w:val="526314"/>
  </w:num>
  <w:num w:numId="20">
    <w:abstractNumId w:val="526315"/>
  </w:num>
  <w:num w:numId="21">
    <w:abstractNumId w:val="526316"/>
  </w:num>
  <w:num w:numId="22">
    <w:abstractNumId w:val="526317"/>
  </w:num>
  <w:num w:numId="23">
    <w:abstractNumId w:val="526318"/>
  </w:num>
  <w:num w:numId="24">
    <w:abstractNumId w:val="526319"/>
  </w:num>
  <w:num w:numId="25">
    <w:abstractNumId w:val="526320"/>
  </w:num>
  <w:num w:numId="26">
    <w:abstractNumId w:val="526321"/>
  </w:num>
  <w:num w:numId="27">
    <w:abstractNumId w:val="526322"/>
  </w:num>
  <w:num w:numId="28">
    <w:abstractNumId w:val="52632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2025-10-09T03:20:21Z</dcterms:created>
  <dc:creator>Apache POI</dc:creator>
</cp:coreProperties>
</file>