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A87A" w14:textId="77777777">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6735274F" w14:textId="77777777">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7D31FD7A" w14:textId="77777777">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01D63439" w14:textId="77777777">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119E2EC6" w14:textId="77777777">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7C752105" w14:textId="77777777">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3480AB69" w14:textId="77777777">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473CB8E1" w14:textId="77777777">
      <w:pPr>
        <w:spacing w:after="0" w:line="20" w:lineRule="auto"/>
        <w:rPr>
          <w:rFonts w:ascii="Helvetica Neue" w:eastAsia="Helvetica Neue" w:hAnsi="Helvetica Neue" w:cs="Helvetica Neue"/>
          <w:color w:val="000000"/>
        </w:rPr>
      </w:pPr>
    </w:p>
    <w:p w14:paraId="7F8D727D" w14:textId="41B8AEFA">
      <w:pPr>
        <w:pStyle w:val="Title"/>
        <w:spacing w:line="240" w:lineRule="auto"/>
        <w:rPr>
          <w:rFonts w:ascii="Helvetica Neue Light" w:eastAsia="Helvetica Neue Light" w:hAnsi="Helvetica Neue Light" w:cs="Helvetica Neue Light"/>
          <w:b w:val="0"/>
          <w:bCs w:val="0"/>
          <w:color w:val="5B7085"/>
          <w:sz w:val="72"/>
          <w:szCs w:val="72"/>
        </w:rPr>
      </w:pPr>
      <w:r>
        <w:rPr>
          <w:rFonts w:ascii="Helvetica Neue Light" w:eastAsia="Helvetica Neue Light" w:hAnsi="Helvetica Neue Light" w:cs="Helvetica Neue Light"/>
          <w:b w:val="0"/>
          <w:bCs w:val="0"/>
          <w:color w:val="5B7085"/>
          <w:sz w:val="72"/>
          <w:szCs w:val="72"/>
        </w:rPr>
        <w:t>ORYARES TRADING DESK</w:t>
      </w:r>
    </w:p>
    <w:p w14:paraId="706E350C" w14:textId="37A18021">
      <w:pPr>
        <w:pStyle w:val="Title"/>
        <w:spacing w:line="240" w:lineRule="auto"/>
        <w:rPr>
          <w:rFonts w:ascii="Helvetica Neue" w:eastAsia="Helvetica Neue" w:hAnsi="Helvetica Neue" w:cs="Helvetica Neue"/>
          <w:sz w:val="72"/>
          <w:szCs w:val="72"/>
        </w:rPr>
      </w:pPr>
      <w:r>
        <w:rPr>
          <w:rFonts w:ascii="Helvetica Neue" w:eastAsia="Helvetica Neue" w:hAnsi="Helvetica Neue" w:cs="Helvetica Neue"/>
          <w:sz w:val="72"/>
          <w:szCs w:val="72"/>
        </w:rPr>
        <w:t>PRODUCTIZATION SYSTEM DESIGN</w:t>
      </w:r>
    </w:p>
    <w:p w14:paraId="4EF5EF24" w14:textId="77777777">
      <w:pPr>
        <w:rPr>
          <w:rFonts w:ascii="Helvetica Neue" w:eastAsia="Helvetica Neue" w:hAnsi="Helvetica Neue" w:cs="Helvetica Neue"/>
        </w:rPr>
      </w:pPr>
    </w:p>
    <w:p w14:paraId="4BE41391" w14:textId="77777777">
      <w:pPr>
        <w:rPr>
          <w:rFonts w:ascii="Helvetica Neue" w:eastAsia="Helvetica Neue" w:hAnsi="Helvetica Neue" w:cs="Helvetica Neue"/>
        </w:rPr>
      </w:pPr>
    </w:p>
    <w:p w14:paraId="07CF7334" w14:textId="77777777">
      <w:pPr>
        <w:rPr>
          <w:rFonts w:ascii="Helvetica Neue" w:eastAsia="Helvetica Neue" w:hAnsi="Helvetica Neue" w:cs="Helvetica Neue"/>
        </w:rPr>
      </w:pPr>
    </w:p>
    <w:p w14:paraId="3C8336FB" w14:textId="77777777">
      <w:pPr>
        <w:rPr>
          <w:rFonts w:ascii="Helvetica Neue" w:eastAsia="Helvetica Neue" w:hAnsi="Helvetica Neue" w:cs="Helvetica Neue"/>
        </w:rPr>
      </w:pPr>
    </w:p>
    <w:p w14:paraId="10E111A7" w14:textId="77777777">
      <w:pPr>
        <w:rPr>
          <w:rFonts w:ascii="Helvetica Neue" w:eastAsia="Helvetica Neue" w:hAnsi="Helvetica Neue" w:cs="Helvetica Neue"/>
        </w:rPr>
      </w:pPr>
    </w:p>
    <w:p w14:paraId="256EFEAC" w14:textId="77777777">
      <w:pPr>
        <w:rPr>
          <w:rFonts w:ascii="Helvetica Neue" w:eastAsia="Helvetica Neue" w:hAnsi="Helvetica Neue" w:cs="Helvetica Neue"/>
        </w:rPr>
      </w:pPr>
    </w:p>
    <w:p w14:paraId="2E2CDF82" w14:textId="77777777">
      <w:pPr>
        <w:rPr>
          <w:rFonts w:ascii="Helvetica Neue" w:eastAsia="Helvetica Neue" w:hAnsi="Helvetica Neue" w:cs="Helvetica Neue"/>
        </w:rPr>
      </w:pPr>
    </w:p>
    <w:p w14:paraId="0A873B99" w14:textId="77777777">
      <w:pPr>
        <w:rPr>
          <w:rFonts w:ascii="Helvetica Neue" w:eastAsia="Helvetica Neue" w:hAnsi="Helvetica Neue" w:cs="Helvetica Neue"/>
        </w:rPr>
      </w:pPr>
    </w:p>
    <w:p w14:paraId="010606FF" w14:textId="77777777">
      <w:pPr>
        <w:rPr>
          <w:rFonts w:ascii="Helvetica Neue" w:eastAsia="Helvetica Neue" w:hAnsi="Helvetica Neue" w:cs="Helvetica Neue"/>
        </w:rPr>
      </w:pPr>
    </w:p>
    <w:p w14:paraId="5F4710C5" w14:textId="77777777">
      <w:pPr>
        <w:rPr>
          <w:rFonts w:ascii="Helvetica Neue" w:eastAsia="Helvetica Neue" w:hAnsi="Helvetica Neue" w:cs="Helvetica Neue"/>
        </w:rPr>
      </w:pPr>
    </w:p>
    <w:tbl>
      <w:tblPr>
        <w:tblStyle w:val="a"/>
        <w:tblW w:w="10400" w:type="dxa"/>
        <w:jc w:val="center"/>
        <w:tblInd w:w="0" w:type="dxa"/>
        <w:tblLayout w:type="fixed"/>
        <w:tblLook w:val="0600" w:firstRow="0" w:lastRow="0" w:firstColumn="0" w:lastColumn="0" w:noHBand="1" w:noVBand="1"/>
      </w:tblPr>
      <w:tblGrid>
        <w:gridCol w:w="3200"/>
        <w:gridCol w:w="400"/>
        <w:gridCol w:w="3200"/>
        <w:gridCol w:w="400"/>
        <w:gridCol w:w="3200"/>
      </w:tblGrid>
      <w:tr w14:paraId="68C5A863" w14:textId="77777777">
        <w:trPr>
          <w:jc w:val="center"/>
        </w:trPr>
        <w:tc>
          <w:tcPr>
            <w:tcW w:w="3200" w:type="dxa"/>
          </w:tcPr>
          <w:p w14:paraId="445B2EE2" w14:textId="77777777">
            <w:pPr>
              <w:pStyle w:val="Heading3"/>
            </w:pPr>
            <w:bookmarkStart w:id="0" w:name="_heading=h.7ykrt4nkacae" w:colFirst="0" w:colLast="0"/>
            <w:bookmarkEnd w:id="0"/>
            <w:r>
              <w:t>STATUS</w:t>
            </w:r>
          </w:p>
          <w:p w14:paraId="792266D2" w14:textId="7D24406B">
            <w:pPr>
              <w:rPr>
                <w:rFonts w:ascii="Helvetica Neue" w:eastAsia="Helvetica Neue" w:hAnsi="Helvetica Neue" w:cs="Helvetica Neue"/>
              </w:rPr>
            </w:pPr>
            <w:r>
              <w:rPr>
                <w:rFonts w:ascii="Helvetica Neue" w:eastAsia="Helvetica Neue" w:hAnsi="Helvetica Neue" w:cs="Helvetica Neue"/>
              </w:rPr>
              <w:t>PROPOSED</w:t>
            </w:r>
          </w:p>
        </w:tc>
        <w:tc>
          <w:tcPr>
            <w:tcW w:w="400" w:type="dxa"/>
          </w:tcPr>
          <w:p w14:paraId="37CF7482" w14:textId="77777777">
            <w:pPr>
              <w:rPr>
                <w:rFonts w:ascii="Helvetica Neue" w:eastAsia="Helvetica Neue" w:hAnsi="Helvetica Neue" w:cs="Helvetica Neue"/>
              </w:rPr>
            </w:pPr>
          </w:p>
        </w:tc>
        <w:tc>
          <w:tcPr>
            <w:tcW w:w="3200" w:type="dxa"/>
          </w:tcPr>
          <w:p w14:paraId="2CB5808F" w14:textId="77777777">
            <w:pPr>
              <w:pStyle w:val="Heading3"/>
            </w:pPr>
            <w:bookmarkStart w:id="1" w:name="_heading=h.yfftl1hqu8kl" w:colFirst="0" w:colLast="0"/>
            <w:bookmarkEnd w:id="1"/>
            <w:r>
              <w:t>OWNER</w:t>
            </w:r>
          </w:p>
          <w:p w14:paraId="4A11C5EA" w14:textId="081B5611">
            <w:pPr>
              <w:rPr>
                <w:rFonts w:ascii="Helvetica Neue" w:eastAsia="Helvetica Neue" w:hAnsi="Helvetica Neue" w:cs="Helvetica Neue"/>
              </w:rPr>
            </w:pPr>
            <w:r>
              <w:rPr>
                <w:rFonts w:ascii="Helvetica Neue" w:eastAsia="Helvetica Neue" w:hAnsi="Helvetica Neue" w:cs="Helvetica Neue"/>
              </w:rPr>
              <w:t>ORYARES SOL</w:t>
            </w:r>
          </w:p>
        </w:tc>
        <w:tc>
          <w:tcPr>
            <w:tcW w:w="400" w:type="dxa"/>
          </w:tcPr>
          <w:p w14:paraId="26E2854A" w14:textId="77777777">
            <w:pPr>
              <w:rPr>
                <w:rFonts w:ascii="Helvetica Neue" w:eastAsia="Helvetica Neue" w:hAnsi="Helvetica Neue" w:cs="Helvetica Neue"/>
              </w:rPr>
            </w:pPr>
          </w:p>
        </w:tc>
        <w:tc>
          <w:tcPr>
            <w:tcW w:w="3200" w:type="dxa"/>
          </w:tcPr>
          <w:p w14:paraId="5B203535" w14:textId="77777777">
            <w:pPr>
              <w:pStyle w:val="Heading3"/>
            </w:pPr>
            <w:bookmarkStart w:id="2" w:name="_heading=h.jp27tbh10tsa" w:colFirst="0" w:colLast="0"/>
            <w:bookmarkEnd w:id="2"/>
            <w:r>
              <w:t>LAST UPDATED</w:t>
            </w:r>
          </w:p>
          <w:p w14:paraId="7DA61D79" w14:textId="66CADAB0">
            <w:pPr>
              <w:rPr>
                <w:rFonts w:ascii="Helvetica Neue" w:eastAsia="Helvetica Neue" w:hAnsi="Helvetica Neue" w:cs="Helvetica Neue"/>
              </w:rPr>
            </w:pPr>
            <w:r>
              <w:rPr>
                <w:rFonts w:ascii="Helvetica Neue" w:eastAsia="Helvetica Neue" w:hAnsi="Helvetica Neue" w:cs="Helvetica Neue"/>
              </w:rPr>
              <w:t>SEPTEMBER 3, 2026</w:t>
            </w:r>
          </w:p>
        </w:tc>
      </w:tr>
    </w:tbl>
    <w:p w14:paraId="01D9BA81" w14:textId="77777777">
      <w:pPr>
        <w:rPr>
          <w:rFonts w:ascii="Helvetica Neue" w:eastAsia="Helvetica Neue" w:hAnsi="Helvetica Neue" w:cs="Helvetica Neue"/>
        </w:rPr>
      </w:pPr>
    </w:p>
    <w:tbl>
      <w:tblPr>
        <w:tblStyle w:val="a0"/>
        <w:tblW w:w="10155"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15"/>
        <w:gridCol w:w="8340"/>
      </w:tblGrid>
      <w:tr w14:paraId="148C20EE" w14:textId="77777777">
        <w:trPr>
          <w:cantSplit/>
          <w:jc w:val="center"/>
        </w:trPr>
        <w:tc>
          <w:tcPr>
            <w:tcW w:w="1815" w:type="dxa"/>
            <w:shd w:val="clear" w:color="auto" w:fill="CFE2F3"/>
            <w:tcMar>
              <w:top w:w="110" w:type="dxa"/>
              <w:left w:w="120" w:type="dxa"/>
              <w:bottom w:w="110" w:type="dxa"/>
              <w:right w:w="120" w:type="dxa"/>
            </w:tcMar>
            <w:vAlign w:val="center"/>
          </w:tcPr>
          <w:p w14:paraId="18D4A6DB" w14:textId="77777777">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Authors</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3111D7AF" w14:textId="6956C01E">
            <w:pPr>
              <w:spacing w:before="20" w:after="25" w:line="285" w:lineRule="auto"/>
              <w:rPr>
                <w:rFonts w:ascii="Helvetica Neue" w:eastAsia="Helvetica Neue" w:hAnsi="Helvetica Neue" w:cs="Helvetica Neue"/>
              </w:rPr>
            </w:pPr>
            <w:r>
              <w:rPr>
                <w:rFonts w:ascii="Helvetica Neue" w:eastAsia="Helvetica Neue" w:hAnsi="Helvetica Neue" w:cs="Helvetica Neue"/>
              </w:rPr>
              <w:t>Product &amp; Engineering</w:t>
            </w:r>
          </w:p>
        </w:tc>
      </w:tr>
      <w:tr w14:paraId="28E28F2D" w14:textId="77777777">
        <w:trPr>
          <w:cantSplit/>
          <w:trHeight w:val="404"/>
          <w:jc w:val="center"/>
        </w:trPr>
        <w:tc>
          <w:tcPr>
            <w:tcW w:w="1815" w:type="dxa"/>
            <w:shd w:val="clear" w:color="auto" w:fill="CFE2F3"/>
            <w:tcMar>
              <w:top w:w="110" w:type="dxa"/>
              <w:left w:w="120" w:type="dxa"/>
              <w:bottom w:w="110" w:type="dxa"/>
              <w:right w:w="120" w:type="dxa"/>
            </w:tcMar>
            <w:vAlign w:val="center"/>
          </w:tcPr>
          <w:p w14:paraId="5ED80175" w14:textId="77777777">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Reviewers</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1FBCCBC9" w14:textId="07FAB2F4">
            <w:pPr>
              <w:spacing w:before="20" w:after="25" w:line="285" w:lineRule="auto"/>
              <w:rPr>
                <w:rFonts w:ascii="Helvetica Neue" w:eastAsia="Helvetica Neue" w:hAnsi="Helvetica Neue" w:cs="Helvetica Neue"/>
              </w:rPr>
            </w:pPr>
            <w:r>
              <w:rPr>
                <w:rFonts w:ascii="Helvetica Neue" w:eastAsia="Helvetica Neue" w:hAnsi="Helvetica Neue" w:cs="Helvetica Neue"/>
              </w:rPr>
              <w:t>Founder; Engineering; Compliance Counsel</w:t>
            </w:r>
          </w:p>
        </w:tc>
      </w:tr>
      <w:tr w14:paraId="1DB494CC" w14:textId="77777777">
        <w:trPr>
          <w:cantSplit/>
          <w:jc w:val="center"/>
        </w:trPr>
        <w:tc>
          <w:tcPr>
            <w:tcW w:w="1815" w:type="dxa"/>
            <w:shd w:val="clear" w:color="auto" w:fill="CFE2F3"/>
            <w:tcMar>
              <w:top w:w="110" w:type="dxa"/>
              <w:left w:w="120" w:type="dxa"/>
              <w:bottom w:w="110" w:type="dxa"/>
              <w:right w:w="120" w:type="dxa"/>
            </w:tcMar>
            <w:vAlign w:val="center"/>
          </w:tcPr>
          <w:p w14:paraId="169B6AD2" w14:textId="77777777">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Related docs</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635DB9FA" w14:textId="7115A02D">
            <w:pPr>
              <w:spacing w:before="20" w:after="25" w:line="285" w:lineRule="auto"/>
              <w:rPr>
                <w:rFonts w:ascii="Helvetica Neue" w:eastAsia="Helvetica Neue" w:hAnsi="Helvetica Neue" w:cs="Helvetica Neue"/>
              </w:rPr>
            </w:pPr>
            <w:r>
              <w:rPr>
                <w:rFonts w:ascii="Helvetica Neue" w:eastAsia="Helvetica Neue" w:hAnsi="Helvetica Neue" w:cs="Helvetica Neue"/>
              </w:rPr>
              <w:t>docs/productization/PRODUCTIZATION_READINESS_2026-09-03.md</w:t>
            </w:r>
          </w:p>
        </w:tc>
      </w:tr>
      <w:tr w14:paraId="23A228DD" w14:textId="77777777">
        <w:trPr>
          <w:cantSplit/>
          <w:jc w:val="center"/>
        </w:trPr>
        <w:tc>
          <w:tcPr>
            <w:tcW w:w="1815" w:type="dxa"/>
            <w:shd w:val="clear" w:color="auto" w:fill="CFE2F3"/>
            <w:tcMar>
              <w:top w:w="110" w:type="dxa"/>
              <w:left w:w="120" w:type="dxa"/>
              <w:bottom w:w="110" w:type="dxa"/>
              <w:right w:w="120" w:type="dxa"/>
            </w:tcMar>
            <w:vAlign w:val="center"/>
          </w:tcPr>
          <w:p w14:paraId="33BD1BF2" w14:textId="77777777">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Scope</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78E5D17A" w14:textId="7C584A1C">
            <w:pPr>
              <w:spacing w:before="20" w:after="25" w:line="285" w:lineRule="auto"/>
              <w:rPr>
                <w:rFonts w:ascii="Helvetica Neue" w:eastAsia="Helvetica Neue" w:hAnsi="Helvetica Neue" w:cs="Helvetica Neue"/>
              </w:rPr>
            </w:pPr>
            <w:r>
              <w:rPr>
                <w:rFonts w:ascii="Helvetica Neue" w:eastAsia="Helvetica Neue" w:hAnsi="Helvetica Neue" w:cs="Helvetica Neue"/>
              </w:rPr>
              <w:t>Evidence-first research and paper-trading product for gold, Bitcoin, and major FX.</w:t>
            </w:r>
          </w:p>
        </w:tc>
      </w:tr>
    </w:tbl>
    <w:p w14:paraId="1F065D5C" w14:textId="77777777">
      <w:pPr>
        <w:pStyle w:val="Heading1"/>
        <w:rPr>
          <w:rFonts w:ascii="Helvetica Neue" w:eastAsia="Helvetica Neue" w:hAnsi="Helvetica Neue" w:cs="Helvetica Neue"/>
          <w:color w:val="000000"/>
        </w:rPr>
      </w:pPr>
      <w:r>
        <w:rPr>
          <w:rFonts w:ascii="Helvetica Neue" w:eastAsia="Helvetica Neue" w:hAnsi="Helvetica Neue" w:cs="Helvetica Neue"/>
        </w:rPr>
        <w:lastRenderedPageBreak/>
        <w:t>1.  Abstract</w:t>
      </w:r>
    </w:p>
    <w:p w14:paraId="5238594E" w14:textId="77777777">
      <w:pPr>
        <w:jc w:val="both"/>
        <w:rPr>
          <w:rFonts w:ascii="Helvetica Neue" w:eastAsia="Helvetica Neue" w:hAnsi="Helvetica Neue" w:cs="Helvetica Neue"/>
        </w:rPr>
      </w:pPr>
      <w:r>
        <w:rPr>
          <w:rFonts w:ascii="Helvetica Neue" w:eastAsia="Helvetica Neue" w:hAnsi="Helvetica Neue" w:cs="Helvetica Neue"/>
        </w:rPr>
        <w:t>[Summarize the proposed system, the problem it solves, and the intended outcome. Describe the core design at a high level, including the main boundaries, dependencies, and guarantees. Keep this section concise enough that a reviewer can understand the proposal without reading the full document.]</w:t>
      </w:r>
    </w:p>
    <w:p w14:paraId="56C6D8BB" w14:textId="77777777">
      <w:pPr>
        <w:jc w:val="both"/>
        <w:rPr>
          <w:rFonts w:ascii="Helvetica Neue" w:eastAsia="Helvetica Neue" w:hAnsi="Helvetica Neue" w:cs="Helvetica Neue"/>
        </w:rPr>
      </w:pPr>
      <w:r>
        <w:rPr>
          <w:rFonts w:ascii="Helvetica Neue" w:eastAsia="Helvetica Neue" w:hAnsi="Helvetica Neue" w:cs="Helvetica Neue"/>
        </w:rPr>
        <w:t>[Describe the workloads and constraints this design must support. Clarify what the proposal does not attempt to solve, the assumptions it relies on, and the most important operational or implementation boundaries.]</w:t>
      </w:r>
    </w:p>
    <w:p w14:paraId="25755E25" w14:textId="77777777">
      <w:pPr>
        <w:spacing w:after="0" w:line="120" w:lineRule="auto"/>
        <w:jc w:val="both"/>
        <w:rPr>
          <w:rFonts w:ascii="Helvetica Neue" w:eastAsia="Helvetica Neue" w:hAnsi="Helvetica Neue" w:cs="Helvetica Neue"/>
        </w:rPr>
      </w:pPr>
    </w:p>
    <w:p w14:paraId="22A96D9C" w14:textId="77777777">
      <w:pPr>
        <w:pStyle w:val="Heading1"/>
        <w:rPr>
          <w:rFonts w:ascii="Helvetica Neue" w:eastAsia="Helvetica Neue" w:hAnsi="Helvetica Neue" w:cs="Helvetica Neue"/>
        </w:rPr>
      </w:pPr>
      <w:r>
        <w:rPr>
          <w:rFonts w:ascii="Helvetica Neue" w:eastAsia="Helvetica Neue" w:hAnsi="Helvetica Neue" w:cs="Helvetica Neue"/>
        </w:rPr>
        <w:t>2.  Goals and Non-Goals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14:paraId="0A9923B7"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8DECE0A"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Goals</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69343B3"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Non-goals</w:t>
            </w:r>
          </w:p>
        </w:tc>
      </w:tr>
      <w:tr w14:paraId="27DAE51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FFBD65C"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[Goal 1: measurable outcome this design must achieve]</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B5B47B5"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[Non-goal 1: explicitly excluded capability or outcome]</w:t>
            </w:r>
          </w:p>
        </w:tc>
      </w:tr>
      <w:tr w14:paraId="35F8347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139454D7"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[Goal 2: reliability, scale, security, or user outcome]</w:t>
            </w:r>
          </w:p>
        </w:tc>
        <w:tc>
          <w:tcPr>
            <w:tcW w:w="5112"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3C8784A3"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[Non-goal 2: adjacent problem deferred to a later phase]</w:t>
            </w:r>
          </w:p>
        </w:tc>
      </w:tr>
      <w:tr w14:paraId="0477C10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E016524"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[Goal 3: required platform, policy, or operational capability]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6691DA7C"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[Non-goal 3: unsupported workflow, audience, or interface]</w:t>
            </w:r>
          </w:p>
        </w:tc>
      </w:tr>
      <w:tr w14:paraId="28301F0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01351EA9"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[Goal 4: rollout, reversibility, or blast-radius constraint]</w:t>
            </w:r>
          </w:p>
        </w:tc>
        <w:tc>
          <w:tcPr>
            <w:tcW w:w="5112"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6DE5E932"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[Non-goal 4: guarantee the design cannot or will not provide]</w:t>
            </w:r>
          </w:p>
        </w:tc>
      </w:tr>
    </w:tbl>
    <w:p w14:paraId="5922F1EF" w14:textId="77777777">
      <w:pPr>
        <w:pStyle w:val="Heading1"/>
        <w:spacing w:line="216" w:lineRule="auto"/>
        <w:rPr>
          <w:rFonts w:ascii="Helvetica Neue" w:eastAsia="Helvetica Neue" w:hAnsi="Helvetica Neue" w:cs="Helvetica Neue"/>
          <w:color w:val="000000"/>
        </w:rPr>
      </w:pPr>
    </w:p>
    <w:p w14:paraId="2CA845FA" w14:textId="77777777">
      <w:pPr>
        <w:pStyle w:val="Heading1"/>
        <w:rPr>
          <w:rFonts w:ascii="Helvetica Neue" w:eastAsia="Helvetica Neue" w:hAnsi="Helvetica Neue" w:cs="Helvetica Neue"/>
        </w:rPr>
      </w:pPr>
      <w:r>
        <w:rPr>
          <w:rFonts w:ascii="Helvetica Neue" w:eastAsia="Helvetica Neue" w:hAnsi="Helvetica Neue" w:cs="Helvetica Neue"/>
        </w:rPr>
        <w:t>3.  Background and Problem Statement</w:t>
      </w:r>
    </w:p>
    <w:p w14:paraId="4E914DBA" w14:textId="77777777">
      <w:pPr>
        <w:jc w:val="both"/>
        <w:rPr>
          <w:rFonts w:ascii="Helvetica Neue" w:eastAsia="Helvetica Neue" w:hAnsi="Helvetica Neue" w:cs="Helvetica Neue"/>
        </w:rPr>
      </w:pPr>
      <w:r>
        <w:rPr>
          <w:rFonts w:ascii="Helvetica Neue" w:eastAsia="Helvetica Neue" w:hAnsi="Helvetica Neue" w:cs="Helvetica Neue"/>
        </w:rPr>
        <w:t>[Describe the current state, the specific problem, and why the existing approach is no longer sufficient. Include relevant scale, reliability, security, cost, or developer-experience constraints, and explain the impact of leaving the problem unresolved.]</w:t>
      </w:r>
    </w:p>
    <w:p w14:paraId="375FC478" w14:textId="77777777">
      <w:pPr>
        <w:jc w:val="both"/>
        <w:rPr>
          <w:rFonts w:ascii="Helvetica Neue" w:eastAsia="Helvetica Neue" w:hAnsi="Helvetica Neue" w:cs="Helvetica Neue"/>
          <w:color w:val="000000"/>
        </w:rPr>
      </w:pPr>
      <w:r>
        <w:rPr>
          <w:rFonts w:ascii="Helvetica Neue" w:eastAsia="Helvetica Neue" w:hAnsi="Helvetica Neue" w:cs="Helvetica Neue"/>
        </w:rPr>
        <w:t>[Explain the proposed system boundary and the major responsibilities on each side. Name the primary components, how they interact, and which inputs determine behavior. State the key design principle or invariant that should guide implementation and review.]</w:t>
      </w:r>
      <w:r>
        <w:rPr>
          <w:rFonts w:ascii="Helvetica Neue" w:eastAsia="Helvetica Neue" w:hAnsi="Helvetica Neue" w:cs="Helvetica Neue"/>
          <w:sz w:val="13"/>
          <w:szCs w:val="13"/>
          <w:vertAlign w:val="superscript"/>
        </w:rPr>
        <w:footnoteReference w:id="1"/>
      </w:r>
      <w:r>
        <w:br w:type="page"/>
      </w:r>
    </w:p>
    <w:p w14:paraId="7000F8A5" w14:textId="77777777">
      <w:pPr>
        <w:pStyle w:val="Heading1"/>
        <w:rPr>
          <w:rFonts w:ascii="Helvetica Neue" w:eastAsia="Helvetica Neue" w:hAnsi="Helvetica Neue" w:cs="Helvetica Neue"/>
        </w:rPr>
      </w:pPr>
      <w:r>
        <w:rPr>
          <w:rFonts w:ascii="Helvetica Neue" w:eastAsia="Helvetica Neue" w:hAnsi="Helvetica Neue" w:cs="Helvetica Neue"/>
        </w:rPr>
        <w:lastRenderedPageBreak/>
        <w:t>4.  Proposed Architecture</w:t>
      </w:r>
    </w:p>
    <w:p w14:paraId="704FD5F6" w14:textId="77777777">
      <w:pPr>
        <w:spacing w:after="0" w:line="144" w:lineRule="auto"/>
        <w:rPr>
          <w:rFonts w:ascii="Helvetica Neue" w:eastAsia="Helvetica Neue" w:hAnsi="Helvetica Neue" w:cs="Helvetica Neue"/>
        </w:rPr>
      </w:pPr>
    </w:p>
    <w:p w14:paraId="41D040AB" w14:textId="77777777">
      <w:pPr>
        <w:rPr>
          <w:rFonts w:ascii="Helvetica Neue" w:eastAsia="Helvetica Neue" w:hAnsi="Helvetica Neue" w:cs="Helvetica Neue"/>
        </w:rPr>
      </w:pPr>
      <w:r>
        <w:rPr>
          <w:rFonts w:ascii="Helvetica Neue" w:eastAsia="Helvetica Neue" w:hAnsi="Helvetica Neue" w:cs="Helvetica Neue"/>
          <w:noProof/>
        </w:rPr>
        <w:drawing>
          <wp:inline distT="0" distB="0" distL="0" distR="0" wp14:anchorId="6C19EEA0" wp14:editId="39E45F18">
            <wp:extent cx="6126480" cy="313982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26480" cy="3139821"/>
                    </a:xfrm>
                    <a:prstGeom prst="rect">
                      <a:avLst/>
                    </a:prstGeom>
                    <a:ln/>
                  </pic:spPr>
                </pic:pic>
              </a:graphicData>
            </a:graphic>
          </wp:inline>
        </w:drawing>
      </w:r>
    </w:p>
    <w:p w14:paraId="6D4DB52A" w14:textId="77777777">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 [Proposed System Architecture].</w:t>
      </w:r>
    </w:p>
    <w:p w14:paraId="592BEC51" w14:textId="77777777">
      <w:pPr>
        <w:pBdr>
          <w:top w:val="nil"/>
          <w:left w:val="nil"/>
          <w:bottom w:val="nil"/>
          <w:right w:val="nil"/>
          <w:between w:val="nil"/>
        </w:pBdr>
        <w:spacing w:after="100" w:line="270" w:lineRule="auto"/>
        <w:rPr>
          <w:rFonts w:ascii="Helvetica Neue" w:eastAsia="Helvetica Neue" w:hAnsi="Helvetica Neue" w:cs="Helvetica Neue"/>
          <w:color w:val="082A4A"/>
        </w:rPr>
      </w:pPr>
    </w:p>
    <w:p w14:paraId="0515B42C" w14:textId="77777777">
      <w:pPr>
        <w:pStyle w:val="Heading3"/>
        <w:spacing w:after="90" w:line="280" w:lineRule="auto"/>
      </w:pPr>
      <w:bookmarkStart w:id="3" w:name="_heading=h.z8y8vnqzkka4" w:colFirst="0" w:colLast="0"/>
      <w:bookmarkEnd w:id="3"/>
      <w:r>
        <w:t>Core components</w:t>
      </w:r>
    </w:p>
    <w:p w14:paraId="2CADC02C" w14:textId="77777777">
      <w:pPr>
        <w:spacing w:before="20" w:after="0" w:line="240" w:lineRule="auto"/>
        <w:rPr>
          <w:rFonts w:ascii="Helvetica Neue" w:eastAsia="Helvetica Neue" w:hAnsi="Helvetica Neue" w:cs="Helvetica Neue"/>
          <w:sz w:val="16"/>
          <w:szCs w:val="16"/>
        </w:rPr>
      </w:pP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268"/>
        <w:gridCol w:w="3164"/>
        <w:gridCol w:w="2374"/>
        <w:gridCol w:w="2634"/>
      </w:tblGrid>
      <w:tr w14:paraId="104D3555" w14:textId="77777777">
        <w:trPr>
          <w:cantSplit/>
          <w:tblHeader/>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0B216B4"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Component</w:t>
            </w:r>
          </w:p>
        </w:tc>
        <w:tc>
          <w:tcPr>
            <w:tcW w:w="316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B1DAC23"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Responsibility</w:t>
            </w:r>
          </w:p>
        </w:tc>
        <w:tc>
          <w:tcPr>
            <w:tcW w:w="237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C61B61F"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Primary storage</w:t>
            </w:r>
          </w:p>
        </w:tc>
        <w:tc>
          <w:tcPr>
            <w:tcW w:w="263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B94A364"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Failure behavior</w:t>
            </w:r>
          </w:p>
        </w:tc>
      </w:tr>
      <w:tr w14:paraId="61E07AD0" w14:textId="77777777">
        <w:trPr>
          <w:cantSplit/>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D03B70C"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[Component A]</w:t>
            </w:r>
          </w:p>
        </w:tc>
        <w:tc>
          <w:tcPr>
            <w:tcW w:w="316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29237E8"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its responsibility, inputs, and outputs.]</w:t>
            </w:r>
          </w:p>
        </w:tc>
        <w:tc>
          <w:tcPr>
            <w:tcW w:w="23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E776C2B"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[Primary datastore or dependency]</w:t>
            </w:r>
          </w:p>
        </w:tc>
        <w:tc>
          <w:tcPr>
            <w:tcW w:w="263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167D5988"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behavior when this component fails.]</w:t>
            </w:r>
          </w:p>
        </w:tc>
      </w:tr>
      <w:tr w14:paraId="7A096DF9" w14:textId="77777777">
        <w:trPr>
          <w:cantSplit/>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BD4778B"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[Component B]</w:t>
            </w:r>
          </w:p>
        </w:tc>
        <w:tc>
          <w:tcPr>
            <w:tcW w:w="3164"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20FB049C"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core decision or processing responsibility.]</w:t>
            </w:r>
          </w:p>
        </w:tc>
        <w:tc>
          <w:tcPr>
            <w:tcW w:w="2374"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58ECAAEA"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[Configuration, policy, or metadata store]</w:t>
            </w:r>
          </w:p>
        </w:tc>
        <w:tc>
          <w:tcPr>
            <w:tcW w:w="2634"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0A65AF79"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fail-open, fail-closed, or fallback behavior.]</w:t>
            </w:r>
          </w:p>
        </w:tc>
      </w:tr>
      <w:tr w14:paraId="58C47ED7" w14:textId="77777777">
        <w:trPr>
          <w:cantSplit/>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6CCF26D"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[Component C]</w:t>
            </w:r>
          </w:p>
        </w:tc>
        <w:tc>
          <w:tcPr>
            <w:tcW w:w="316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F7D1AF0"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downstream execution and response handling.]</w:t>
            </w:r>
          </w:p>
        </w:tc>
        <w:tc>
          <w:tcPr>
            <w:tcW w:w="23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D7F2CC6"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[Queue, cache, adapter, or service dependency]</w:t>
            </w:r>
          </w:p>
        </w:tc>
        <w:tc>
          <w:tcPr>
            <w:tcW w:w="263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2E57BA0"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timeout, retry, and terminal failure behavior.]</w:t>
            </w:r>
          </w:p>
        </w:tc>
      </w:tr>
      <w:tr w14:paraId="086317B1" w14:textId="77777777">
        <w:trPr>
          <w:cantSplit/>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542F685"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[Component D]</w:t>
            </w:r>
          </w:p>
        </w:tc>
        <w:tc>
          <w:tcPr>
            <w:tcW w:w="3164"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74F7FBD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durable state, audit, or lifecycle responsibilities.]</w:t>
            </w:r>
          </w:p>
        </w:tc>
        <w:tc>
          <w:tcPr>
            <w:tcW w:w="2374"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68848745"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[Primary operational datastore]</w:t>
            </w:r>
          </w:p>
        </w:tc>
        <w:tc>
          <w:tcPr>
            <w:tcW w:w="2634"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3F46562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write failure and recovery behavior.]</w:t>
            </w:r>
          </w:p>
        </w:tc>
      </w:tr>
      <w:tr w14:paraId="304217F7" w14:textId="77777777">
        <w:trPr>
          <w:cantSplit/>
          <w:trHeight w:val="58"/>
          <w:jc w:val="center"/>
        </w:trPr>
        <w:tc>
          <w:tcPr>
            <w:tcW w:w="2268"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90A3C3" w14:textId="77777777">
            <w:pPr>
              <w:spacing w:after="25" w:line="285" w:lineRule="auto"/>
              <w:rPr>
                <w:rFonts w:ascii="Helvetica Neue" w:eastAsia="Helvetica Neue" w:hAnsi="Helvetica Neue" w:cs="Helvetica Neue"/>
              </w:rPr>
            </w:pPr>
            <w:r>
              <w:rPr>
                <w:rFonts w:ascii="Helvetica Neue" w:eastAsia="Helvetica Neue" w:hAnsi="Helvetica Neue" w:cs="Helvetica Neue"/>
              </w:rPr>
              <w:t>[Component E]</w:t>
            </w:r>
          </w:p>
        </w:tc>
        <w:tc>
          <w:tcPr>
            <w:tcW w:w="316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3E74E1A" w14:textId="77777777">
            <w:pPr>
              <w:spacing w:after="25" w:line="285" w:lineRule="auto"/>
              <w:rPr>
                <w:rFonts w:ascii="Helvetica Neue" w:eastAsia="Helvetica Neue" w:hAnsi="Helvetica Neue" w:cs="Helvetica Neue"/>
              </w:rPr>
            </w:pPr>
            <w:r>
              <w:rPr>
                <w:rFonts w:ascii="Helvetica Neue" w:eastAsia="Helvetica Neue" w:hAnsi="Helvetica Neue" w:cs="Helvetica Neue"/>
              </w:rPr>
              <w:t>[Describe metrics, logs, traces, and alerting responsibilities.]</w:t>
            </w:r>
          </w:p>
        </w:tc>
        <w:tc>
          <w:tcPr>
            <w:tcW w:w="237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BAC0241" w14:textId="77777777">
            <w:pPr>
              <w:spacing w:after="25" w:line="285" w:lineRule="auto"/>
              <w:rPr>
                <w:rFonts w:ascii="Helvetica Neue" w:eastAsia="Helvetica Neue" w:hAnsi="Helvetica Neue" w:cs="Helvetica Neue"/>
              </w:rPr>
            </w:pPr>
            <w:r>
              <w:rPr>
                <w:rFonts w:ascii="Helvetica Neue" w:eastAsia="Helvetica Neue" w:hAnsi="Helvetica Neue" w:cs="Helvetica Neue"/>
              </w:rPr>
              <w:t>[Telemetry and analytics backend]</w:t>
            </w:r>
          </w:p>
        </w:tc>
        <w:tc>
          <w:tcPr>
            <w:tcW w:w="263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0DF440B" w14:textId="77777777">
            <w:pPr>
              <w:spacing w:after="25" w:line="285" w:lineRule="auto"/>
              <w:rPr>
                <w:rFonts w:ascii="Helvetica Neue" w:eastAsia="Helvetica Neue" w:hAnsi="Helvetica Neue" w:cs="Helvetica Neue"/>
              </w:rPr>
            </w:pPr>
            <w:r>
              <w:rPr>
                <w:rFonts w:ascii="Helvetica Neue" w:eastAsia="Helvetica Neue" w:hAnsi="Helvetica Neue" w:cs="Helvetica Neue"/>
              </w:rPr>
              <w:t>[Describe degraded-mode monitoring and escalation.]</w:t>
            </w:r>
          </w:p>
        </w:tc>
      </w:tr>
    </w:tbl>
    <w:p w14:paraId="729E1A85" w14:textId="77777777">
      <w:pPr>
        <w:pStyle w:val="Heading1"/>
        <w:spacing w:line="120" w:lineRule="auto"/>
        <w:rPr>
          <w:rFonts w:ascii="Helvetica Neue" w:eastAsia="Helvetica Neue" w:hAnsi="Helvetica Neue" w:cs="Helvetica Neue"/>
          <w:color w:val="000000"/>
        </w:rPr>
      </w:pPr>
    </w:p>
    <w:p w14:paraId="366C5E92" w14:textId="77777777">
      <w:pPr>
        <w:pStyle w:val="Heading1"/>
        <w:spacing w:line="120" w:lineRule="auto"/>
        <w:rPr>
          <w:rFonts w:ascii="Helvetica Neue" w:eastAsia="Helvetica Neue" w:hAnsi="Helvetica Neue" w:cs="Helvetica Neue"/>
          <w:color w:val="000000"/>
        </w:rPr>
      </w:pPr>
    </w:p>
    <w:p w14:paraId="7674E36C" w14:textId="77777777">
      <w:pPr>
        <w:pStyle w:val="Heading1"/>
        <w:rPr>
          <w:rFonts w:ascii="Helvetica Neue" w:eastAsia="Helvetica Neue" w:hAnsi="Helvetica Neue" w:cs="Helvetica Neue"/>
        </w:rPr>
      </w:pPr>
      <w:r>
        <w:rPr>
          <w:rFonts w:ascii="Helvetica Neue" w:eastAsia="Helvetica Neue" w:hAnsi="Helvetica Neue" w:cs="Helvetica Neue"/>
        </w:rPr>
        <w:t>5.  Request Lifecycle</w:t>
      </w:r>
    </w:p>
    <w:p w14:paraId="7D45A502" w14:textId="77777777">
      <w:pPr>
        <w:numPr>
          <w:ilvl w:val="0"/>
          <w:numId w:val="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how a request, event, or job enters the system and identify the required inputs.]</w:t>
      </w:r>
    </w:p>
    <w:p w14:paraId="73D84AD0" w14:textId="77777777">
      <w:pPr>
        <w:numPr>
          <w:ilvl w:val="0"/>
          <w:numId w:val="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validation, authentication, authorization, and normalization at the system boundary.]</w:t>
      </w:r>
    </w:p>
    <w:p w14:paraId="4BBB0EF7" w14:textId="77777777">
      <w:pPr>
        <w:numPr>
          <w:ilvl w:val="0"/>
          <w:numId w:val="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which configuration, policy, state, or dependency data is loaded before processing.]</w:t>
      </w:r>
    </w:p>
    <w:p w14:paraId="6239E7E1" w14:textId="77777777">
      <w:pPr>
        <w:numPr>
          <w:ilvl w:val="0"/>
          <w:numId w:val="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the primary decision or processing step and the output it produces.]</w:t>
      </w:r>
    </w:p>
    <w:p w14:paraId="62818DE2" w14:textId="77777777">
      <w:pPr>
        <w:numPr>
          <w:ilvl w:val="0"/>
          <w:numId w:val="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which durable state must be written before side effects or downstream execution begin.]</w:t>
      </w:r>
    </w:p>
    <w:p w14:paraId="1F2D0D91" w14:textId="77777777">
      <w:pPr>
        <w:numPr>
          <w:ilvl w:val="0"/>
          <w:numId w:val="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downstream calls, retries, timeouts, budget limits, and terminal conditions.]</w:t>
      </w:r>
    </w:p>
    <w:p w14:paraId="1E6E2DD3" w14:textId="77777777">
      <w:pPr>
        <w:numPr>
          <w:ilvl w:val="0"/>
          <w:numId w:val="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final state updates, the response or output, and the metrics, logs, and traces emitted.]</w:t>
      </w:r>
    </w:p>
    <w:p w14:paraId="03E0A955" w14:textId="77777777">
      <w:pPr>
        <w:pStyle w:val="Heading1"/>
        <w:spacing w:line="168" w:lineRule="auto"/>
        <w:rPr>
          <w:rFonts w:ascii="Helvetica Neue" w:eastAsia="Helvetica Neue" w:hAnsi="Helvetica Neue" w:cs="Helvetica Neue"/>
          <w:color w:val="000000"/>
        </w:rPr>
      </w:pPr>
    </w:p>
    <w:p w14:paraId="5CCCE5C3" w14:textId="77777777">
      <w:pPr>
        <w:pStyle w:val="Heading1"/>
        <w:rPr>
          <w:rFonts w:ascii="Helvetica Neue" w:eastAsia="Helvetica Neue" w:hAnsi="Helvetica Neue" w:cs="Helvetica Neue"/>
        </w:rPr>
      </w:pPr>
      <w:r>
        <w:rPr>
          <w:rFonts w:ascii="Helvetica Neue" w:eastAsia="Helvetica Neue" w:hAnsi="Helvetica Neue" w:cs="Helvetica Neue"/>
        </w:rPr>
        <w:t>6.  API and Data Contracts</w:t>
      </w:r>
    </w:p>
    <w:p w14:paraId="3B975969" w14:textId="77777777">
      <w:pPr>
        <w:pStyle w:val="Heading3"/>
        <w:spacing w:after="90" w:line="280" w:lineRule="auto"/>
      </w:pPr>
      <w:bookmarkStart w:id="4" w:name="_heading=h.tw1sfexklg0y" w:colFirst="0" w:colLast="0"/>
      <w:bookmarkEnd w:id="4"/>
      <w:r>
        <w:t>Primary data contract</w:t>
      </w:r>
    </w:p>
    <w:p w14:paraId="384DD661" w14:textId="77777777">
      <w:pPr>
        <w:spacing w:after="0" w:line="192" w:lineRule="auto"/>
        <w:rPr>
          <w:rFonts w:ascii="Helvetica Neue" w:eastAsia="Helvetica Neue" w:hAnsi="Helvetica Neue" w:cs="Helvetica Neue"/>
          <w:sz w:val="16"/>
          <w:szCs w:val="16"/>
        </w:rPr>
      </w:pPr>
    </w:p>
    <w:tbl>
      <w:tblPr>
        <w:tblStyle w:val="a3"/>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44"/>
        <w:gridCol w:w="1921"/>
        <w:gridCol w:w="1873"/>
        <w:gridCol w:w="4302"/>
      </w:tblGrid>
      <w:tr w14:paraId="237DB108" w14:textId="77777777">
        <w:trPr>
          <w:cantSplit/>
          <w:tblHeader/>
          <w:jc w:val="center"/>
        </w:trPr>
        <w:tc>
          <w:tcPr>
            <w:tcW w:w="234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D261AC9"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Field</w:t>
            </w:r>
          </w:p>
        </w:tc>
        <w:tc>
          <w:tcPr>
            <w:tcW w:w="192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9DE58CD"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Type</w:t>
            </w:r>
          </w:p>
        </w:tc>
        <w:tc>
          <w:tcPr>
            <w:tcW w:w="187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2018AC3"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Required</w:t>
            </w:r>
          </w:p>
        </w:tc>
        <w:tc>
          <w:tcPr>
            <w:tcW w:w="430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0352FF5"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Description</w:t>
            </w:r>
          </w:p>
        </w:tc>
      </w:tr>
      <w:tr w14:paraId="781D4381" w14:textId="77777777">
        <w:trPr>
          <w:cantSplit/>
          <w:jc w:val="center"/>
        </w:trPr>
        <w:tc>
          <w:tcPr>
            <w:tcW w:w="234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27FD5062"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field_name_1</w:t>
            </w:r>
          </w:p>
        </w:tc>
        <w:tc>
          <w:tcPr>
            <w:tcW w:w="1921" w:type="dxa"/>
            <w:tcBorders>
              <w:top w:val="single" w:sz="6" w:space="0" w:color="FFFFFF"/>
              <w:left w:val="single" w:sz="6" w:space="0" w:color="FFFFFF"/>
              <w:bottom w:val="single" w:sz="6" w:space="0" w:color="FFFFFF"/>
              <w:right w:val="single" w:sz="6" w:space="0" w:color="FFFFFF"/>
            </w:tcBorders>
            <w:tcMar>
              <w:top w:w="110" w:type="dxa"/>
              <w:left w:w="120" w:type="dxa"/>
              <w:bottom w:w="110" w:type="dxa"/>
              <w:right w:w="120" w:type="dxa"/>
            </w:tcMar>
            <w:vAlign w:val="center"/>
          </w:tcPr>
          <w:p w14:paraId="3C01763A"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[Type]</w:t>
            </w:r>
          </w:p>
        </w:tc>
        <w:tc>
          <w:tcPr>
            <w:tcW w:w="1873" w:type="dxa"/>
            <w:tcBorders>
              <w:top w:val="single" w:sz="6" w:space="0" w:color="FFFFFF"/>
              <w:left w:val="single" w:sz="6" w:space="0" w:color="FFFFFF"/>
              <w:bottom w:val="single" w:sz="6" w:space="0" w:color="FFFFFF"/>
              <w:right w:val="single" w:sz="6" w:space="0" w:color="FFFFFF"/>
            </w:tcBorders>
            <w:tcMar>
              <w:top w:w="110" w:type="dxa"/>
              <w:left w:w="120" w:type="dxa"/>
              <w:bottom w:w="110" w:type="dxa"/>
              <w:right w:w="120" w:type="dxa"/>
            </w:tcMar>
            <w:vAlign w:val="center"/>
          </w:tcPr>
          <w:p w14:paraId="1F215282"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[Yes / No]</w:t>
            </w:r>
          </w:p>
        </w:tc>
        <w:tc>
          <w:tcPr>
            <w:tcW w:w="4302" w:type="dxa"/>
            <w:tcBorders>
              <w:top w:val="single" w:sz="6" w:space="0" w:color="FFFFFF"/>
              <w:left w:val="single" w:sz="6" w:space="0" w:color="FFFFFF"/>
              <w:bottom w:val="single" w:sz="6" w:space="0" w:color="FFFFFF"/>
              <w:right w:val="single" w:sz="6" w:space="0" w:color="FFFFFF"/>
            </w:tcBorders>
            <w:tcMar>
              <w:top w:w="110" w:type="dxa"/>
              <w:left w:w="120" w:type="dxa"/>
              <w:bottom w:w="110" w:type="dxa"/>
              <w:right w:w="120" w:type="dxa"/>
            </w:tcMar>
            <w:vAlign w:val="center"/>
          </w:tcPr>
          <w:p w14:paraId="5C670AFC"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meaning, validation, ownership, and lifecycle.]</w:t>
            </w:r>
          </w:p>
        </w:tc>
      </w:tr>
      <w:tr w14:paraId="548B07B7" w14:textId="77777777">
        <w:trPr>
          <w:cantSplit/>
          <w:jc w:val="center"/>
        </w:trPr>
        <w:tc>
          <w:tcPr>
            <w:tcW w:w="234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5B3A387"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field_name_2</w:t>
            </w:r>
          </w:p>
        </w:tc>
        <w:tc>
          <w:tcPr>
            <w:tcW w:w="1921"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279528AB"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[Type]</w:t>
            </w:r>
          </w:p>
        </w:tc>
        <w:tc>
          <w:tcPr>
            <w:tcW w:w="1873"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2045EB8F"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[Yes / No]</w:t>
            </w:r>
          </w:p>
        </w:tc>
        <w:tc>
          <w:tcPr>
            <w:tcW w:w="4302"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356A92B5"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source and permitted values.]</w:t>
            </w:r>
          </w:p>
        </w:tc>
      </w:tr>
      <w:tr w14:paraId="4FFA4894" w14:textId="77777777">
        <w:trPr>
          <w:cantSplit/>
          <w:jc w:val="center"/>
        </w:trPr>
        <w:tc>
          <w:tcPr>
            <w:tcW w:w="234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4B3C8C6"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field_name_3</w:t>
            </w:r>
          </w:p>
        </w:tc>
        <w:tc>
          <w:tcPr>
            <w:tcW w:w="192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02A5735"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[Type]</w:t>
            </w:r>
          </w:p>
        </w:tc>
        <w:tc>
          <w:tcPr>
            <w:tcW w:w="1873"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36048B8"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[Yes / No]</w:t>
            </w:r>
          </w:p>
        </w:tc>
        <w:tc>
          <w:tcPr>
            <w:tcW w:w="430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FD2AB15"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versioning or compatibility requirements.]</w:t>
            </w:r>
          </w:p>
        </w:tc>
      </w:tr>
      <w:tr w14:paraId="3AFCE2C2" w14:textId="77777777">
        <w:trPr>
          <w:cantSplit/>
          <w:jc w:val="center"/>
        </w:trPr>
        <w:tc>
          <w:tcPr>
            <w:tcW w:w="234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FBF2AA9"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field_name_4</w:t>
            </w:r>
          </w:p>
        </w:tc>
        <w:tc>
          <w:tcPr>
            <w:tcW w:w="1921"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73D46783"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[Type]</w:t>
            </w:r>
          </w:p>
        </w:tc>
        <w:tc>
          <w:tcPr>
            <w:tcW w:w="1873"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36940FCA"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[Yes / No]</w:t>
            </w:r>
          </w:p>
        </w:tc>
        <w:tc>
          <w:tcPr>
            <w:tcW w:w="4302"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692E945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relationship to other identifiers or records.]</w:t>
            </w:r>
          </w:p>
        </w:tc>
      </w:tr>
      <w:tr w14:paraId="220FA424" w14:textId="77777777">
        <w:trPr>
          <w:cantSplit/>
          <w:jc w:val="center"/>
        </w:trPr>
        <w:tc>
          <w:tcPr>
            <w:tcW w:w="234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2940592"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field_name_5</w:t>
            </w:r>
          </w:p>
        </w:tc>
        <w:tc>
          <w:tcPr>
            <w:tcW w:w="192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3A66464"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[Type]</w:t>
            </w:r>
          </w:p>
        </w:tc>
        <w:tc>
          <w:tcPr>
            <w:tcW w:w="1873"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1662C9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[Yes / No]</w:t>
            </w:r>
          </w:p>
        </w:tc>
        <w:tc>
          <w:tcPr>
            <w:tcW w:w="430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7C88128"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privacy, retention, or audit constraints.]</w:t>
            </w:r>
          </w:p>
        </w:tc>
      </w:tr>
      <w:tr w14:paraId="48CA8579" w14:textId="77777777">
        <w:trPr>
          <w:cantSplit/>
          <w:jc w:val="center"/>
        </w:trPr>
        <w:tc>
          <w:tcPr>
            <w:tcW w:w="234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D18ACEE"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field_name_6</w:t>
            </w:r>
          </w:p>
        </w:tc>
        <w:tc>
          <w:tcPr>
            <w:tcW w:w="1921"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46AEF49C"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[Type]</w:t>
            </w:r>
          </w:p>
        </w:tc>
        <w:tc>
          <w:tcPr>
            <w:tcW w:w="1873"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40EAEFD2"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[Yes / No]</w:t>
            </w:r>
          </w:p>
        </w:tc>
        <w:tc>
          <w:tcPr>
            <w:tcW w:w="4302"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0FFF1B64"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array, object, or nested structure semantics.]</w:t>
            </w:r>
          </w:p>
        </w:tc>
      </w:tr>
      <w:tr w14:paraId="1F86C443" w14:textId="77777777">
        <w:trPr>
          <w:cantSplit/>
          <w:jc w:val="center"/>
        </w:trPr>
        <w:tc>
          <w:tcPr>
            <w:tcW w:w="234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C6F4B00"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field_name_7</w:t>
            </w:r>
          </w:p>
        </w:tc>
        <w:tc>
          <w:tcPr>
            <w:tcW w:w="192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49D02E2"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[Type]</w:t>
            </w:r>
          </w:p>
        </w:tc>
        <w:tc>
          <w:tcPr>
            <w:tcW w:w="1873"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68487AB"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[Yes / No]</w:t>
            </w:r>
          </w:p>
        </w:tc>
        <w:tc>
          <w:tcPr>
            <w:tcW w:w="430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55596CB"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how this field affects system behavior.]</w:t>
            </w:r>
          </w:p>
        </w:tc>
      </w:tr>
    </w:tbl>
    <w:p w14:paraId="10240201" w14:textId="77777777">
      <w:pPr>
        <w:spacing w:after="0" w:line="192" w:lineRule="auto"/>
        <w:rPr>
          <w:rFonts w:ascii="Helvetica Neue" w:eastAsia="Helvetica Neue" w:hAnsi="Helvetica Neue" w:cs="Helvetica Neue"/>
          <w:sz w:val="16"/>
          <w:szCs w:val="16"/>
        </w:rPr>
      </w:pPr>
    </w:p>
    <w:p w14:paraId="506D94AA" w14:textId="77777777">
      <w:pPr>
        <w:pStyle w:val="Heading3"/>
        <w:spacing w:after="90" w:line="280" w:lineRule="auto"/>
      </w:pPr>
      <w:bookmarkStart w:id="5" w:name="_heading=h.379jmrhyew9b" w:colFirst="0" w:colLast="0"/>
      <w:bookmarkEnd w:id="5"/>
      <w:r>
        <w:t>Contract guarantees</w:t>
      </w:r>
    </w:p>
    <w:p w14:paraId="16ED0F5C" w14:textId="77777777">
      <w:pPr>
        <w:spacing w:after="0" w:line="192" w:lineRule="auto"/>
        <w:rPr>
          <w:rFonts w:ascii="Helvetica Neue" w:eastAsia="Helvetica Neue" w:hAnsi="Helvetica Neue" w:cs="Helvetica Neue"/>
          <w:sz w:val="16"/>
          <w:szCs w:val="16"/>
        </w:rPr>
      </w:pPr>
    </w:p>
    <w:p w14:paraId="1F72E87B" w14:textId="77777777">
      <w:pPr>
        <w:numPr>
          <w:ilvl w:val="0"/>
          <w:numId w:val="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[State the ordering, durability, or validation guarantee that must hold before execution.]</w:t>
      </w:r>
    </w:p>
    <w:p w14:paraId="164D8908" w14:textId="77777777">
      <w:pPr>
        <w:numPr>
          <w:ilvl w:val="0"/>
          <w:numId w:val="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[State how writes, attempts, or events are identified and ordered.]</w:t>
      </w:r>
    </w:p>
    <w:p w14:paraId="378EC349" w14:textId="77777777">
      <w:pPr>
        <w:numPr>
          <w:ilvl w:val="0"/>
          <w:numId w:val="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[State which versions, identifiers, or inputs must be captured for audit and replay.]</w:t>
      </w:r>
    </w:p>
    <w:p w14:paraId="7AE69704" w14:textId="77777777">
      <w:pPr>
        <w:numPr>
          <w:ilvl w:val="0"/>
          <w:numId w:val="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[State what this data is and is not a source of truth for.]</w:t>
      </w:r>
    </w:p>
    <w:p w14:paraId="7B3C69F0" w14:textId="77777777">
      <w:pPr>
        <w:rPr>
          <w:rFonts w:ascii="Helvetica Neue" w:eastAsia="Helvetica Neue" w:hAnsi="Helvetica Neue" w:cs="Helvetica Neue"/>
        </w:rPr>
      </w:pPr>
      <w:r>
        <w:rPr>
          <w:rFonts w:ascii="Helvetica Neue" w:eastAsia="Helvetica Neue" w:hAnsi="Helvetica Neue" w:cs="Helvetica Neue"/>
        </w:rPr>
        <w:lastRenderedPageBreak/>
        <w:t xml:space="preserve">The versioned schema or interface definition is published at </w:t>
      </w:r>
    </w:p>
    <w:p w14:paraId="57B91532" w14:textId="77777777">
      <w:pPr>
        <w:rPr>
          <w:rFonts w:ascii="Helvetica Neue" w:eastAsia="Helvetica Neue" w:hAnsi="Helvetica Neue" w:cs="Helvetica Neue"/>
        </w:rPr>
      </w:pPr>
      <w:hyperlink r:id="rId8">
        <w:r>
          <w:rPr>
            <w:rFonts w:ascii="Helvetica Neue" w:eastAsia="Helvetica Neue" w:hAnsi="Helvetica Neue" w:cs="Helvetica Neue"/>
            <w:color w:val="2F6B9A"/>
            <w:u w:val="single"/>
          </w:rPr>
          <w:t>[Link to interface or schema]</w:t>
        </w:r>
      </w:hyperlink>
      <w:r>
        <w:rPr>
          <w:rFonts w:ascii="Helvetica Neue" w:eastAsia="Helvetica Neue" w:hAnsi="Helvetica Neue" w:cs="Helvetica Neue"/>
        </w:rPr>
        <w:t xml:space="preserve"> and update it with each contract release.</w:t>
      </w:r>
    </w:p>
    <w:p w14:paraId="726F067D" w14:textId="77777777">
      <w:pPr>
        <w:pStyle w:val="Heading1"/>
        <w:spacing w:line="120" w:lineRule="auto"/>
        <w:rPr>
          <w:rFonts w:ascii="Helvetica Neue" w:eastAsia="Helvetica Neue" w:hAnsi="Helvetica Neue" w:cs="Helvetica Neue"/>
          <w:color w:val="000000"/>
        </w:rPr>
      </w:pPr>
    </w:p>
    <w:p w14:paraId="2858D5C2" w14:textId="77777777">
      <w:pPr>
        <w:pStyle w:val="Heading1"/>
        <w:rPr>
          <w:rFonts w:ascii="Helvetica Neue" w:eastAsia="Helvetica Neue" w:hAnsi="Helvetica Neue" w:cs="Helvetica Neue"/>
        </w:rPr>
      </w:pPr>
      <w:r>
        <w:rPr>
          <w:rFonts w:ascii="Helvetica Neue" w:eastAsia="Helvetica Neue" w:hAnsi="Helvetica Neue" w:cs="Helvetica Neue"/>
        </w:rPr>
        <w:t>7. Consistency, Idempotency, and Replay</w:t>
      </w:r>
    </w:p>
    <w:p w14:paraId="730D4020" w14:textId="77777777">
      <w:pPr>
        <w:spacing w:after="0" w:line="96" w:lineRule="auto"/>
        <w:rPr>
          <w:rFonts w:ascii="Helvetica Neue" w:eastAsia="Helvetica Neue" w:hAnsi="Helvetica Neue" w:cs="Helvetica Neue"/>
        </w:rPr>
      </w:pPr>
    </w:p>
    <w:p w14:paraId="5E6204DC" w14:textId="77777777">
      <w:pPr>
        <w:jc w:val="both"/>
        <w:rPr>
          <w:rFonts w:ascii="Helvetica Neue" w:eastAsia="Helvetica Neue" w:hAnsi="Helvetica Neue" w:cs="Helvetica Neue"/>
        </w:rPr>
      </w:pPr>
      <w:r>
        <w:rPr>
          <w:rFonts w:ascii="Helvetica Neue" w:eastAsia="Helvetica Neue" w:hAnsi="Helvetica Neue" w:cs="Helvetica Neue"/>
        </w:rPr>
        <w:t>[Explain the consistency, idempotency, replay, ordering, or concurrency guarantees required by this design. Distinguish client-facing guarantees from internal analysis or recovery behavior, and identify where duplicate work or partial failure is acceptable.]</w:t>
      </w:r>
    </w:p>
    <w:tbl>
      <w:tblPr>
        <w:tblStyle w:val="a4"/>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3337"/>
        <w:gridCol w:w="3722"/>
        <w:gridCol w:w="3381"/>
      </w:tblGrid>
      <w:tr w14:paraId="03D2659C" w14:textId="77777777">
        <w:trPr>
          <w:cantSplit/>
          <w:tblHeader/>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16141DD"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Scenario</w:t>
            </w:r>
          </w:p>
        </w:tc>
        <w:tc>
          <w:tcPr>
            <w:tcW w:w="372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B28A23D"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Expected behavior</w:t>
            </w:r>
          </w:p>
        </w:tc>
        <w:tc>
          <w:tcPr>
            <w:tcW w:w="338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0E4C7D1"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Reasoning</w:t>
            </w:r>
          </w:p>
        </w:tc>
      </w:tr>
      <w:tr w14:paraId="198F7938"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990CC7E"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[Duplicate, replayed, or repeated input]</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301C7CE"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stable response and state transition.]</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765AEEFE"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[Explain how duplicate work or side effects are prevented.]</w:t>
            </w:r>
          </w:p>
        </w:tc>
      </w:tr>
      <w:tr w14:paraId="1C77C471"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02A15F6"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[Required write or dependency fails]</w:t>
            </w:r>
          </w:p>
        </w:tc>
        <w:tc>
          <w:tcPr>
            <w:tcW w:w="3722"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5999562F"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error, retryability, and side-effect behavior.]</w:t>
            </w:r>
          </w:p>
        </w:tc>
        <w:tc>
          <w:tcPr>
            <w:tcW w:w="3381"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6A8C1E6A"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[Explain why the failure mode is safe and observable.]</w:t>
            </w:r>
          </w:p>
        </w:tc>
      </w:tr>
      <w:tr w14:paraId="17D07141"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9B7E729"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[Timeout, partial failure, or downstream error]</w:t>
            </w:r>
          </w:p>
        </w:tc>
        <w:tc>
          <w:tcPr>
            <w:tcW w:w="3722"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F2BEE0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retry, fallback, and budget behavior.]</w:t>
            </w:r>
          </w:p>
        </w:tc>
        <w:tc>
          <w:tcPr>
            <w:tcW w:w="3381"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33567B99"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[Explain how auditability and consistency are maintained.]</w:t>
            </w:r>
          </w:p>
        </w:tc>
      </w:tr>
      <w:tr w14:paraId="4B506469" w14:textId="77777777">
        <w:trPr>
          <w:cantSplit/>
          <w:jc w:val="center"/>
        </w:trPr>
        <w:tc>
          <w:tcPr>
            <w:tcW w:w="3337"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29587D5"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[Configuration changes during execution]</w:t>
            </w:r>
          </w:p>
        </w:tc>
        <w:tc>
          <w:tcPr>
            <w:tcW w:w="3722"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2D88B937"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which version remains authoritative.]</w:t>
            </w:r>
          </w:p>
        </w:tc>
        <w:tc>
          <w:tcPr>
            <w:tcW w:w="3381"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71364DB7"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[Explain how mid-request behavior changes are prevented.]</w:t>
            </w:r>
          </w:p>
        </w:tc>
      </w:tr>
    </w:tbl>
    <w:p w14:paraId="6628DE98" w14:textId="77777777">
      <w:pPr>
        <w:pStyle w:val="Heading1"/>
        <w:spacing w:line="269" w:lineRule="auto"/>
        <w:rPr>
          <w:rFonts w:ascii="Helvetica Neue" w:eastAsia="Helvetica Neue" w:hAnsi="Helvetica Neue" w:cs="Helvetica Neue"/>
          <w:color w:val="000000"/>
        </w:rPr>
      </w:pPr>
    </w:p>
    <w:p w14:paraId="48F04DE0" w14:textId="77777777">
      <w:pPr>
        <w:pStyle w:val="Heading1"/>
        <w:rPr>
          <w:rFonts w:ascii="Helvetica Neue" w:eastAsia="Helvetica Neue" w:hAnsi="Helvetica Neue" w:cs="Helvetica Neue"/>
        </w:rPr>
      </w:pPr>
      <w:r>
        <w:rPr>
          <w:rFonts w:ascii="Helvetica Neue" w:eastAsia="Helvetica Neue" w:hAnsi="Helvetica Neue" w:cs="Helvetica Neue"/>
        </w:rPr>
        <w:t>8. Security and Privacy Considerations</w:t>
      </w:r>
    </w:p>
    <w:p w14:paraId="45E8705A" w14:textId="77777777">
      <w:pPr>
        <w:spacing w:after="0" w:line="96" w:lineRule="auto"/>
        <w:rPr>
          <w:rFonts w:ascii="Helvetica Neue" w:eastAsia="Helvetica Neue" w:hAnsi="Helvetica Neue" w:cs="Helvetica Neue"/>
        </w:rPr>
      </w:pPr>
    </w:p>
    <w:p w14:paraId="012B0EB5" w14:textId="77777777">
      <w:pPr>
        <w:numPr>
          <w:ilvl w:val="0"/>
          <w:numId w:val="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authentication, authorization, and tenant or data-boundary requirements.]</w:t>
      </w:r>
    </w:p>
    <w:p w14:paraId="6BDFD958" w14:textId="77777777">
      <w:pPr>
        <w:numPr>
          <w:ilvl w:val="0"/>
          <w:numId w:val="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data minimization, sensitive payload handling, and logging restrictions.]</w:t>
      </w:r>
    </w:p>
    <w:p w14:paraId="05A1E987" w14:textId="77777777">
      <w:pPr>
        <w:numPr>
          <w:ilvl w:val="0"/>
          <w:numId w:val="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credential, secret, key, and certificate storage and access requirements.]</w:t>
      </w:r>
    </w:p>
    <w:p w14:paraId="2F8895EB" w14:textId="77777777">
      <w:pPr>
        <w:numPr>
          <w:ilvl w:val="0"/>
          <w:numId w:val="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safe defaults for administrative, replay, migration, and debugging tools.]</w:t>
      </w:r>
    </w:p>
    <w:p w14:paraId="25EC22DA" w14:textId="77777777">
      <w:pPr>
        <w:numPr>
          <w:ilvl w:val="0"/>
          <w:numId w:val="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retention, deletion, residency, privacy, and audit requirements.]</w:t>
      </w:r>
    </w:p>
    <w:p w14:paraId="6F01CDCC" w14:textId="77777777">
      <w:pPr>
        <w:pBdr>
          <w:top w:val="nil"/>
          <w:left w:val="nil"/>
          <w:bottom w:val="nil"/>
          <w:right w:val="nil"/>
          <w:between w:val="nil"/>
        </w:pBdr>
        <w:spacing w:after="0" w:line="192" w:lineRule="auto"/>
        <w:jc w:val="both"/>
        <w:rPr>
          <w:rFonts w:ascii="Helvetica Neue" w:eastAsia="Helvetica Neue" w:hAnsi="Helvetica Neue" w:cs="Helvetica Neue"/>
          <w:color w:val="1E252E"/>
        </w:rPr>
      </w:pPr>
    </w:p>
    <w:p w14:paraId="33410BB0" w14:textId="77777777">
      <w:pPr>
        <w:pBdr>
          <w:top w:val="nil"/>
          <w:left w:val="nil"/>
          <w:bottom w:val="nil"/>
          <w:right w:val="nil"/>
          <w:between w:val="nil"/>
        </w:pBdr>
        <w:spacing w:after="0" w:line="192" w:lineRule="auto"/>
        <w:jc w:val="both"/>
        <w:rPr>
          <w:rFonts w:ascii="Helvetica Neue" w:eastAsia="Helvetica Neue" w:hAnsi="Helvetica Neue" w:cs="Helvetica Neue"/>
          <w:color w:val="1E252E"/>
        </w:rPr>
      </w:pPr>
    </w:p>
    <w:p w14:paraId="616A2D16" w14:textId="77777777">
      <w:pPr>
        <w:pStyle w:val="Heading1"/>
        <w:rPr>
          <w:rFonts w:ascii="Helvetica Neue" w:eastAsia="Helvetica Neue" w:hAnsi="Helvetica Neue" w:cs="Helvetica Neue"/>
        </w:rPr>
      </w:pPr>
      <w:r>
        <w:rPr>
          <w:rFonts w:ascii="Helvetica Neue" w:eastAsia="Helvetica Neue" w:hAnsi="Helvetica Neue" w:cs="Helvetica Neue"/>
        </w:rPr>
        <w:t>9.  Operational Readiness</w:t>
      </w:r>
    </w:p>
    <w:tbl>
      <w:tblPr>
        <w:tblStyle w:val="a5"/>
        <w:tblW w:w="1044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268"/>
        <w:gridCol w:w="3521"/>
        <w:gridCol w:w="2306"/>
        <w:gridCol w:w="2345"/>
      </w:tblGrid>
      <w:tr w14:paraId="0E55E3D5" w14:textId="77777777">
        <w:trPr>
          <w:cantSplit/>
          <w:tblHeader/>
          <w:jc w:val="center"/>
        </w:trPr>
        <w:tc>
          <w:tcPr>
            <w:tcW w:w="2268" w:type="dxa"/>
            <w:tcBorders>
              <w:top w:val="single" w:sz="8" w:space="0" w:color="FFFFFF"/>
              <w:left w:val="single" w:sz="8" w:space="0" w:color="FFFFFF"/>
              <w:bottom w:val="single" w:sz="8" w:space="0" w:color="FFFFFF"/>
              <w:right w:val="single" w:sz="8" w:space="0" w:color="FFFFFF"/>
            </w:tcBorders>
            <w:shd w:val="clear" w:color="auto" w:fill="082A4A"/>
            <w:tcMar>
              <w:top w:w="110" w:type="dxa"/>
              <w:left w:w="120" w:type="dxa"/>
              <w:bottom w:w="110" w:type="dxa"/>
              <w:right w:w="120" w:type="dxa"/>
            </w:tcMar>
            <w:vAlign w:val="center"/>
          </w:tcPr>
          <w:p w14:paraId="41509024"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Signal</w:t>
            </w:r>
          </w:p>
        </w:tc>
        <w:tc>
          <w:tcPr>
            <w:tcW w:w="3521" w:type="dxa"/>
            <w:tcBorders>
              <w:top w:val="single" w:sz="8" w:space="0" w:color="FFFFFF"/>
              <w:left w:val="single" w:sz="8" w:space="0" w:color="FFFFFF"/>
              <w:bottom w:val="single" w:sz="8" w:space="0" w:color="FFFFFF"/>
              <w:right w:val="single" w:sz="8" w:space="0" w:color="FFFFFF"/>
            </w:tcBorders>
            <w:shd w:val="clear" w:color="auto" w:fill="082A4A"/>
            <w:tcMar>
              <w:top w:w="110" w:type="dxa"/>
              <w:left w:w="120" w:type="dxa"/>
              <w:bottom w:w="110" w:type="dxa"/>
              <w:right w:w="120" w:type="dxa"/>
            </w:tcMar>
            <w:vAlign w:val="center"/>
          </w:tcPr>
          <w:p w14:paraId="4AB6852D"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SLO or alert</w:t>
            </w:r>
          </w:p>
        </w:tc>
        <w:tc>
          <w:tcPr>
            <w:tcW w:w="2306" w:type="dxa"/>
            <w:tcBorders>
              <w:top w:val="single" w:sz="8" w:space="0" w:color="FFFFFF"/>
              <w:left w:val="single" w:sz="8" w:space="0" w:color="FFFFFF"/>
              <w:bottom w:val="single" w:sz="8" w:space="0" w:color="FFFFFF"/>
              <w:right w:val="single" w:sz="8" w:space="0" w:color="FFFFFF"/>
            </w:tcBorders>
            <w:shd w:val="clear" w:color="auto" w:fill="082A4A"/>
            <w:tcMar>
              <w:top w:w="110" w:type="dxa"/>
              <w:left w:w="120" w:type="dxa"/>
              <w:bottom w:w="110" w:type="dxa"/>
              <w:right w:w="120" w:type="dxa"/>
            </w:tcMar>
            <w:vAlign w:val="center"/>
          </w:tcPr>
          <w:p w14:paraId="571FEFDB"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Owner</w:t>
            </w:r>
          </w:p>
        </w:tc>
        <w:tc>
          <w:tcPr>
            <w:tcW w:w="2345" w:type="dxa"/>
            <w:tcBorders>
              <w:top w:val="single" w:sz="8" w:space="0" w:color="FFFFFF"/>
              <w:left w:val="single" w:sz="8" w:space="0" w:color="FFFFFF"/>
              <w:bottom w:val="single" w:sz="8" w:space="0" w:color="FFFFFF"/>
              <w:right w:val="single" w:sz="8" w:space="0" w:color="FFFFFF"/>
            </w:tcBorders>
            <w:shd w:val="clear" w:color="auto" w:fill="082A4A"/>
            <w:tcMar>
              <w:top w:w="110" w:type="dxa"/>
              <w:left w:w="120" w:type="dxa"/>
              <w:bottom w:w="110" w:type="dxa"/>
              <w:right w:w="120" w:type="dxa"/>
            </w:tcMar>
            <w:vAlign w:val="center"/>
          </w:tcPr>
          <w:p w14:paraId="7F417C99"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sz w:val="16"/>
                <w:szCs w:val="16"/>
              </w:rPr>
              <w:t>Launch gate</w:t>
            </w:r>
          </w:p>
        </w:tc>
      </w:tr>
      <w:tr w14:paraId="4638EB3D" w14:textId="77777777">
        <w:trPr>
          <w:cantSplit/>
          <w:jc w:val="center"/>
        </w:trPr>
        <w:tc>
          <w:tcPr>
            <w:tcW w:w="2268" w:type="dxa"/>
            <w:tcBorders>
              <w:top w:val="single" w:sz="8" w:space="0" w:color="FFFFFF"/>
              <w:left w:val="single" w:sz="8" w:space="0" w:color="FFFFFF"/>
              <w:bottom w:val="single" w:sz="8" w:space="0" w:color="FFFFFF"/>
              <w:right w:val="single" w:sz="8" w:space="0" w:color="FFFFFF"/>
            </w:tcBorders>
            <w:shd w:val="clear" w:color="auto" w:fill="E6F0F8"/>
            <w:tcMar>
              <w:top w:w="110" w:type="dxa"/>
              <w:left w:w="120" w:type="dxa"/>
              <w:bottom w:w="110" w:type="dxa"/>
              <w:right w:w="120" w:type="dxa"/>
            </w:tcMar>
            <w:vAlign w:val="center"/>
          </w:tcPr>
          <w:p w14:paraId="10122BBD"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[Success or completion rate]</w:t>
            </w:r>
          </w:p>
        </w:tc>
        <w:tc>
          <w:tcPr>
            <w:tcW w:w="3521" w:type="dxa"/>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24249E78"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[Target, measurement window, and page threshold]</w:t>
            </w:r>
          </w:p>
        </w:tc>
        <w:tc>
          <w:tcPr>
            <w:tcW w:w="2306" w:type="dxa"/>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2BE02CE6"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[Owning team]</w:t>
            </w:r>
          </w:p>
        </w:tc>
        <w:tc>
          <w:tcPr>
            <w:tcW w:w="2345" w:type="dxa"/>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52273C16" w14:textId="77777777">
            <w:pPr>
              <w:spacing w:before="20" w:after="25" w:line="285" w:lineRule="auto"/>
              <w:rPr>
                <w:rFonts w:ascii="Helvetica Neue" w:eastAsia="Helvetica Neue" w:hAnsi="Helvetica Neue" w:cs="Helvetica Neue"/>
                <w:sz w:val="16"/>
                <w:szCs w:val="16"/>
              </w:rPr>
            </w:pPr>
            <w:r>
              <w:rPr>
                <w:rFonts w:ascii="Helvetica Neue" w:eastAsia="Helvetica Neue" w:hAnsi="Helvetica Neue" w:cs="Helvetica Neue"/>
                <w:sz w:val="16"/>
                <w:szCs w:val="16"/>
              </w:rPr>
              <w:t>[Required / Recommended]</w:t>
            </w:r>
          </w:p>
        </w:tc>
      </w:tr>
      <w:tr w14:paraId="424B436E" w14:textId="77777777">
        <w:trPr>
          <w:cantSplit/>
          <w:jc w:val="center"/>
        </w:trPr>
        <w:tc>
          <w:tcPr>
            <w:tcW w:w="2268" w:type="dxa"/>
            <w:tcBorders>
              <w:top w:val="single" w:sz="8" w:space="0" w:color="FFFFFF"/>
              <w:left w:val="single" w:sz="8" w:space="0" w:color="FFFFFF"/>
              <w:bottom w:val="single" w:sz="8" w:space="0" w:color="FFFFFF"/>
              <w:right w:val="single" w:sz="8" w:space="0" w:color="FFFFFF"/>
            </w:tcBorders>
            <w:shd w:val="clear" w:color="auto" w:fill="E6F0F8"/>
            <w:tcMar>
              <w:top w:w="110" w:type="dxa"/>
              <w:left w:w="120" w:type="dxa"/>
              <w:bottom w:w="110" w:type="dxa"/>
              <w:right w:w="120" w:type="dxa"/>
            </w:tcMar>
            <w:vAlign w:val="center"/>
          </w:tcPr>
          <w:p w14:paraId="10A5556F"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[Latency or processing time]</w:t>
            </w:r>
          </w:p>
        </w:tc>
        <w:tc>
          <w:tcPr>
            <w:tcW w:w="3521" w:type="dxa"/>
            <w:tcBorders>
              <w:top w:val="single" w:sz="8" w:space="0" w:color="FFFFFF"/>
              <w:left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31CB47BC"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[Percentile target, alert threshold, and duration]</w:t>
            </w:r>
          </w:p>
        </w:tc>
        <w:tc>
          <w:tcPr>
            <w:tcW w:w="2306" w:type="dxa"/>
            <w:tcBorders>
              <w:top w:val="single" w:sz="8" w:space="0" w:color="FFFFFF"/>
              <w:left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5E8BCAEA"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[Owning team]</w:t>
            </w:r>
          </w:p>
        </w:tc>
        <w:tc>
          <w:tcPr>
            <w:tcW w:w="2345" w:type="dxa"/>
            <w:tcBorders>
              <w:top w:val="single" w:sz="8" w:space="0" w:color="FFFFFF"/>
              <w:left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33F4681F" w14:textId="77777777">
            <w:pPr>
              <w:spacing w:before="20" w:after="25" w:line="285" w:lineRule="auto"/>
              <w:rPr>
                <w:rFonts w:ascii="Helvetica Neue" w:eastAsia="Helvetica Neue" w:hAnsi="Helvetica Neue" w:cs="Helvetica Neue"/>
                <w:sz w:val="16"/>
                <w:szCs w:val="16"/>
              </w:rPr>
            </w:pPr>
            <w:r>
              <w:rPr>
                <w:rFonts w:ascii="Helvetica Neue" w:eastAsia="Helvetica Neue" w:hAnsi="Helvetica Neue" w:cs="Helvetica Neue"/>
                <w:sz w:val="16"/>
                <w:szCs w:val="16"/>
              </w:rPr>
              <w:t>[Required / Recommended]</w:t>
            </w:r>
          </w:p>
        </w:tc>
      </w:tr>
      <w:tr w14:paraId="175D11AA" w14:textId="77777777">
        <w:trPr>
          <w:cantSplit/>
          <w:jc w:val="center"/>
        </w:trPr>
        <w:tc>
          <w:tcPr>
            <w:tcW w:w="2268" w:type="dxa"/>
            <w:tcBorders>
              <w:top w:val="single" w:sz="8" w:space="0" w:color="FFFFFF"/>
              <w:left w:val="single" w:sz="8" w:space="0" w:color="FFFFFF"/>
              <w:bottom w:val="single" w:sz="8" w:space="0" w:color="FFFFFF"/>
              <w:right w:val="single" w:sz="8" w:space="0" w:color="FFFFFF"/>
            </w:tcBorders>
            <w:shd w:val="clear" w:color="auto" w:fill="E6F0F8"/>
            <w:tcMar>
              <w:top w:w="110" w:type="dxa"/>
              <w:left w:w="120" w:type="dxa"/>
              <w:bottom w:w="110" w:type="dxa"/>
              <w:right w:w="120" w:type="dxa"/>
            </w:tcMar>
            <w:vAlign w:val="center"/>
          </w:tcPr>
          <w:p w14:paraId="5C66A874"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lastRenderedPageBreak/>
              <w:t>[Fallback, retry, or error rate]</w:t>
            </w:r>
          </w:p>
        </w:tc>
        <w:tc>
          <w:tcPr>
            <w:tcW w:w="3521" w:type="dxa"/>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69594DA5"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[Warning and paging thresholds by workload class]</w:t>
            </w:r>
          </w:p>
        </w:tc>
        <w:tc>
          <w:tcPr>
            <w:tcW w:w="2306" w:type="dxa"/>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2204952D"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[Owning team]</w:t>
            </w:r>
          </w:p>
        </w:tc>
        <w:tc>
          <w:tcPr>
            <w:tcW w:w="2345" w:type="dxa"/>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24DB97D8" w14:textId="77777777">
            <w:pPr>
              <w:spacing w:before="20" w:after="25" w:line="285" w:lineRule="auto"/>
              <w:rPr>
                <w:rFonts w:ascii="Helvetica Neue" w:eastAsia="Helvetica Neue" w:hAnsi="Helvetica Neue" w:cs="Helvetica Neue"/>
                <w:sz w:val="16"/>
                <w:szCs w:val="16"/>
              </w:rPr>
            </w:pPr>
            <w:r>
              <w:rPr>
                <w:rFonts w:ascii="Helvetica Neue" w:eastAsia="Helvetica Neue" w:hAnsi="Helvetica Neue" w:cs="Helvetica Neue"/>
                <w:sz w:val="16"/>
                <w:szCs w:val="16"/>
              </w:rPr>
              <w:t>[Required / Recommended]</w:t>
            </w:r>
          </w:p>
        </w:tc>
      </w:tr>
      <w:tr w14:paraId="4E9D1933" w14:textId="77777777">
        <w:trPr>
          <w:cantSplit/>
          <w:jc w:val="center"/>
        </w:trPr>
        <w:tc>
          <w:tcPr>
            <w:tcW w:w="2268" w:type="dxa"/>
            <w:tcBorders>
              <w:top w:val="single" w:sz="8" w:space="0" w:color="FFFFFF"/>
              <w:left w:val="single" w:sz="8" w:space="0" w:color="FFFFFF"/>
              <w:bottom w:val="single" w:sz="8" w:space="0" w:color="FFFFFF"/>
              <w:right w:val="single" w:sz="8" w:space="0" w:color="FFFFFF"/>
            </w:tcBorders>
            <w:shd w:val="clear" w:color="auto" w:fill="E6F0F8"/>
            <w:tcMar>
              <w:top w:w="110" w:type="dxa"/>
              <w:left w:w="120" w:type="dxa"/>
              <w:bottom w:w="110" w:type="dxa"/>
              <w:right w:w="120" w:type="dxa"/>
            </w:tcMar>
            <w:vAlign w:val="center"/>
          </w:tcPr>
          <w:p w14:paraId="687B5237"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[Configuration or deployment drift]</w:t>
            </w:r>
          </w:p>
        </w:tc>
        <w:tc>
          <w:tcPr>
            <w:tcW w:w="3521" w:type="dxa"/>
            <w:tcBorders>
              <w:top w:val="single" w:sz="8" w:space="0" w:color="FFFFFF"/>
              <w:left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5E0DEF4E"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[Condition that indicates unsafe divergence]</w:t>
            </w:r>
          </w:p>
        </w:tc>
        <w:tc>
          <w:tcPr>
            <w:tcW w:w="2306" w:type="dxa"/>
            <w:tcBorders>
              <w:top w:val="single" w:sz="8" w:space="0" w:color="FFFFFF"/>
              <w:left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57A26FAE"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[Owning team]</w:t>
            </w:r>
          </w:p>
        </w:tc>
        <w:tc>
          <w:tcPr>
            <w:tcW w:w="2345" w:type="dxa"/>
            <w:tcBorders>
              <w:top w:val="single" w:sz="8" w:space="0" w:color="FFFFFF"/>
              <w:left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0DA35914" w14:textId="77777777">
            <w:pPr>
              <w:spacing w:before="20" w:after="25" w:line="285" w:lineRule="auto"/>
              <w:rPr>
                <w:rFonts w:ascii="Helvetica Neue" w:eastAsia="Helvetica Neue" w:hAnsi="Helvetica Neue" w:cs="Helvetica Neue"/>
                <w:sz w:val="16"/>
                <w:szCs w:val="16"/>
              </w:rPr>
            </w:pPr>
            <w:r>
              <w:rPr>
                <w:rFonts w:ascii="Helvetica Neue" w:eastAsia="Helvetica Neue" w:hAnsi="Helvetica Neue" w:cs="Helvetica Neue"/>
                <w:sz w:val="16"/>
                <w:szCs w:val="16"/>
              </w:rPr>
              <w:t>[Required / Recommended]</w:t>
            </w:r>
          </w:p>
        </w:tc>
      </w:tr>
      <w:tr w14:paraId="392F60E3" w14:textId="77777777">
        <w:trPr>
          <w:cantSplit/>
          <w:jc w:val="center"/>
        </w:trPr>
        <w:tc>
          <w:tcPr>
            <w:tcW w:w="2268" w:type="dxa"/>
            <w:tcBorders>
              <w:top w:val="single" w:sz="8" w:space="0" w:color="FFFFFF"/>
              <w:left w:val="single" w:sz="8" w:space="0" w:color="FFFFFF"/>
              <w:bottom w:val="single" w:sz="8" w:space="0" w:color="FFFFFF"/>
              <w:right w:val="single" w:sz="8" w:space="0" w:color="FFFFFF"/>
            </w:tcBorders>
            <w:shd w:val="clear" w:color="auto" w:fill="E6F0F8"/>
            <w:tcMar>
              <w:top w:w="110" w:type="dxa"/>
              <w:left w:w="120" w:type="dxa"/>
              <w:bottom w:w="110" w:type="dxa"/>
              <w:right w:w="120" w:type="dxa"/>
            </w:tcMar>
            <w:vAlign w:val="center"/>
          </w:tcPr>
          <w:p w14:paraId="7BDC978F"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[Recovery, replay, or integrity check]</w:t>
            </w:r>
          </w:p>
        </w:tc>
        <w:tc>
          <w:tcPr>
            <w:tcW w:w="3521" w:type="dxa"/>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58AF4794"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[Synthetic or sampled validation cadence and target]</w:t>
            </w:r>
          </w:p>
        </w:tc>
        <w:tc>
          <w:tcPr>
            <w:tcW w:w="2306" w:type="dxa"/>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5759D1B4"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[Owning team]</w:t>
            </w:r>
          </w:p>
        </w:tc>
        <w:tc>
          <w:tcPr>
            <w:tcW w:w="2345" w:type="dxa"/>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2BCED789" w14:textId="77777777">
            <w:pPr>
              <w:spacing w:before="20" w:after="25" w:line="285" w:lineRule="auto"/>
              <w:rPr>
                <w:rFonts w:ascii="Helvetica Neue" w:eastAsia="Helvetica Neue" w:hAnsi="Helvetica Neue" w:cs="Helvetica Neue"/>
                <w:sz w:val="16"/>
                <w:szCs w:val="16"/>
              </w:rPr>
            </w:pPr>
            <w:r>
              <w:rPr>
                <w:rFonts w:ascii="Helvetica Neue" w:eastAsia="Helvetica Neue" w:hAnsi="Helvetica Neue" w:cs="Helvetica Neue"/>
                <w:sz w:val="16"/>
                <w:szCs w:val="16"/>
              </w:rPr>
              <w:t>[Required / Recommended]</w:t>
            </w:r>
          </w:p>
        </w:tc>
      </w:tr>
      <w:tr w14:paraId="6DBB83CF" w14:textId="77777777">
        <w:trPr>
          <w:cantSplit/>
          <w:jc w:val="center"/>
        </w:trPr>
        <w:tc>
          <w:tcPr>
            <w:tcW w:w="10440" w:type="dxa"/>
            <w:gridSpan w:val="4"/>
            <w:tcBorders>
              <w:top w:val="single" w:sz="8" w:space="0" w:color="FFFFFF"/>
              <w:left w:val="single" w:sz="8" w:space="0" w:color="FFFFFF"/>
              <w:bottom w:val="single" w:sz="8" w:space="0" w:color="FFFFFF"/>
              <w:right w:val="single" w:sz="8" w:space="0" w:color="FFFFFF"/>
            </w:tcBorders>
            <w:shd w:val="clear" w:color="auto" w:fill="FFFFFF"/>
            <w:tcMar>
              <w:top w:w="110" w:type="dxa"/>
              <w:left w:w="120" w:type="dxa"/>
              <w:bottom w:w="110" w:type="dxa"/>
              <w:right w:w="120" w:type="dxa"/>
            </w:tcMar>
            <w:vAlign w:val="center"/>
          </w:tcPr>
          <w:p w14:paraId="69A4AE3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color w:val="082A4A"/>
              </w:rPr>
              <w:t>Rollout constraint: [Describe dry-run, canary, feature-flag, validation, rollback, and promotion requirements before production launch.]</w:t>
            </w:r>
          </w:p>
        </w:tc>
      </w:tr>
    </w:tbl>
    <w:p w14:paraId="4DBC9F9F" w14:textId="77777777">
      <w:pPr>
        <w:pStyle w:val="Heading1"/>
        <w:rPr>
          <w:rFonts w:ascii="Helvetica Neue" w:eastAsia="Helvetica Neue" w:hAnsi="Helvetica Neue" w:cs="Helvetica Neue"/>
          <w:color w:val="000000"/>
        </w:rPr>
      </w:pPr>
    </w:p>
    <w:p w14:paraId="584487AD" w14:textId="77777777">
      <w:pPr>
        <w:pStyle w:val="Heading1"/>
        <w:rPr>
          <w:rFonts w:ascii="Helvetica Neue" w:eastAsia="Helvetica Neue" w:hAnsi="Helvetica Neue" w:cs="Helvetica Neue"/>
        </w:rPr>
      </w:pPr>
      <w:r>
        <w:rPr>
          <w:rFonts w:ascii="Helvetica Neue" w:eastAsia="Helvetica Neue" w:hAnsi="Helvetica Neue" w:cs="Helvetica Neue"/>
        </w:rPr>
        <w:t>10. Alternatives Considered</w:t>
      </w:r>
    </w:p>
    <w:p w14:paraId="5815EDC9" w14:textId="77777777">
      <w:pPr>
        <w:spacing w:after="0" w:line="14" w:lineRule="auto"/>
        <w:rPr>
          <w:rFonts w:ascii="Helvetica Neue" w:eastAsia="Helvetica Neue" w:hAnsi="Helvetica Neue" w:cs="Helvetica Neue"/>
        </w:rPr>
      </w:pPr>
    </w:p>
    <w:p w14:paraId="5C500E1C" w14:textId="77777777">
      <w:pPr>
        <w:spacing w:after="0" w:line="192" w:lineRule="auto"/>
        <w:rPr>
          <w:rFonts w:ascii="Helvetica Neue" w:eastAsia="Helvetica Neue" w:hAnsi="Helvetica Neue" w:cs="Helvetica Neue"/>
        </w:rPr>
      </w:pPr>
    </w:p>
    <w:tbl>
      <w:tblPr>
        <w:tblStyle w:val="a6"/>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3303"/>
        <w:gridCol w:w="3313"/>
        <w:gridCol w:w="3824"/>
      </w:tblGrid>
      <w:tr w14:paraId="32F856DC" w14:textId="77777777">
        <w:trPr>
          <w:cantSplit/>
          <w:tblHeader/>
          <w:jc w:val="center"/>
        </w:trPr>
        <w:tc>
          <w:tcPr>
            <w:tcW w:w="330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63A3D10"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Alternative</w:t>
            </w:r>
          </w:p>
        </w:tc>
        <w:tc>
          <w:tcPr>
            <w:tcW w:w="331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3455014"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Why it was considered</w:t>
            </w:r>
          </w:p>
        </w:tc>
        <w:tc>
          <w:tcPr>
            <w:tcW w:w="382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51DCAC3"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Why it was not selected</w:t>
            </w:r>
          </w:p>
        </w:tc>
      </w:tr>
      <w:tr w14:paraId="1758ABE3" w14:textId="77777777">
        <w:trPr>
          <w:cantSplit/>
          <w:jc w:val="center"/>
        </w:trPr>
        <w:tc>
          <w:tcPr>
            <w:tcW w:w="3303"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7C29135B"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[Alternative 1]</w:t>
            </w:r>
          </w:p>
        </w:tc>
        <w:tc>
          <w:tcPr>
            <w:tcW w:w="3313"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ED8774E"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main benefit or reason to consider it.]</w:t>
            </w:r>
          </w:p>
        </w:tc>
        <w:tc>
          <w:tcPr>
            <w:tcW w:w="38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165BEE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decisive tradeoff or unmet requirement.]</w:t>
            </w:r>
          </w:p>
        </w:tc>
      </w:tr>
      <w:tr w14:paraId="75689785" w14:textId="77777777">
        <w:trPr>
          <w:cantSplit/>
          <w:jc w:val="center"/>
        </w:trPr>
        <w:tc>
          <w:tcPr>
            <w:tcW w:w="3303"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3FC6D764"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[Alternative 2]</w:t>
            </w:r>
          </w:p>
        </w:tc>
        <w:tc>
          <w:tcPr>
            <w:tcW w:w="3313"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4A41EC72"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relevant capability or simplicity.]</w:t>
            </w:r>
          </w:p>
        </w:tc>
        <w:tc>
          <w:tcPr>
            <w:tcW w:w="3824"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5E18B870"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added complexity, risk, cost, or scope.]</w:t>
            </w:r>
          </w:p>
        </w:tc>
      </w:tr>
      <w:tr w14:paraId="33B8A59B" w14:textId="77777777">
        <w:trPr>
          <w:cantSplit/>
          <w:jc w:val="center"/>
        </w:trPr>
        <w:tc>
          <w:tcPr>
            <w:tcW w:w="3303"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889CCAA"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[Alternative 3]</w:t>
            </w:r>
          </w:p>
        </w:tc>
        <w:tc>
          <w:tcPr>
            <w:tcW w:w="3313"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697D7FA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potential performance or product benefit.]</w:t>
            </w:r>
          </w:p>
        </w:tc>
        <w:tc>
          <w:tcPr>
            <w:tcW w:w="3824"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0E963695"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explainability, maturity, or operational concerns.]</w:t>
            </w:r>
          </w:p>
        </w:tc>
      </w:tr>
      <w:tr w14:paraId="2D94DF3E" w14:textId="77777777">
        <w:trPr>
          <w:cantSplit/>
          <w:jc w:val="center"/>
        </w:trPr>
        <w:tc>
          <w:tcPr>
            <w:tcW w:w="3303"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DB5FCFB"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[Alternative 4]</w:t>
            </w:r>
          </w:p>
        </w:tc>
        <w:tc>
          <w:tcPr>
            <w:tcW w:w="3313"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59B70292"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consistency or implementation appeal.]</w:t>
            </w:r>
          </w:p>
        </w:tc>
        <w:tc>
          <w:tcPr>
            <w:tcW w:w="3824"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5CEA8FA0"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[Describe the technical boundary that makes it unsuitable.]</w:t>
            </w:r>
          </w:p>
        </w:tc>
      </w:tr>
    </w:tbl>
    <w:p w14:paraId="43451980" w14:textId="77777777">
      <w:pPr>
        <w:pStyle w:val="Heading1"/>
        <w:spacing w:line="269" w:lineRule="auto"/>
        <w:rPr>
          <w:rFonts w:ascii="Helvetica Neue" w:eastAsia="Helvetica Neue" w:hAnsi="Helvetica Neue" w:cs="Helvetica Neue"/>
          <w:color w:val="000000"/>
        </w:rPr>
      </w:pPr>
    </w:p>
    <w:p w14:paraId="4CF02462" w14:textId="77777777">
      <w:pPr>
        <w:pStyle w:val="Heading1"/>
        <w:rPr>
          <w:rFonts w:ascii="Helvetica Neue" w:eastAsia="Helvetica Neue" w:hAnsi="Helvetica Neue" w:cs="Helvetica Neue"/>
        </w:rPr>
      </w:pPr>
      <w:r>
        <w:rPr>
          <w:rFonts w:ascii="Helvetica Neue" w:eastAsia="Helvetica Neue" w:hAnsi="Helvetica Neue" w:cs="Helvetica Neue"/>
        </w:rPr>
        <w:t>11. Open Questions</w:t>
      </w:r>
    </w:p>
    <w:p w14:paraId="33B0981F" w14:textId="77777777">
      <w:pPr>
        <w:numPr>
          <w:ilvl w:val="0"/>
          <w:numId w:val="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question 1: identify a decision that requires reviewer input before implementation.]</w:t>
      </w:r>
    </w:p>
    <w:p w14:paraId="18C8B2E8" w14:textId="77777777">
      <w:pPr>
        <w:numPr>
          <w:ilvl w:val="0"/>
          <w:numId w:val="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question 2: identify an unresolved product, policy, or operational constraint.]</w:t>
      </w:r>
    </w:p>
    <w:p w14:paraId="6684395B" w14:textId="77777777">
      <w:pPr>
        <w:numPr>
          <w:ilvl w:val="0"/>
          <w:numId w:val="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question 3: identify a scale, deployment, or regional design choice.]</w:t>
      </w:r>
    </w:p>
    <w:p w14:paraId="79995868" w14:textId="77777777">
      <w:pPr>
        <w:numPr>
          <w:ilvl w:val="0"/>
          <w:numId w:val="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question 4: identify an ownership, access-control, or tooling decision.]</w:t>
      </w:r>
    </w:p>
    <w:p w14:paraId="0AE193C2" w14:textId="77777777">
      <w:pPr>
        <w:pStyle w:val="Heading1"/>
        <w:rPr>
          <w:rFonts w:ascii="Helvetica Neue" w:eastAsia="Helvetica Neue" w:hAnsi="Helvetica Neue" w:cs="Helvetica Neue"/>
          <w:color w:val="000000"/>
        </w:rPr>
      </w:pPr>
    </w:p>
    <w:p w14:paraId="0AEE2444" w14:textId="77777777">
      <w:pPr>
        <w:pStyle w:val="Heading1"/>
        <w:rPr>
          <w:rFonts w:ascii="Helvetica Neue" w:eastAsia="Helvetica Neue" w:hAnsi="Helvetica Neue" w:cs="Helvetica Neue"/>
        </w:rPr>
      </w:pPr>
      <w:r>
        <w:rPr>
          <w:rFonts w:ascii="Helvetica Neue" w:eastAsia="Helvetica Neue" w:hAnsi="Helvetica Neue" w:cs="Helvetica Neue"/>
        </w:rPr>
        <w:t>12. Decision and Next Steps</w:t>
      </w:r>
    </w:p>
    <w:p w14:paraId="6CF1ED50" w14:textId="77777777">
      <w:pPr>
        <w:jc w:val="both"/>
        <w:rPr>
          <w:rFonts w:ascii="Helvetica Neue" w:eastAsia="Helvetica Neue" w:hAnsi="Helvetica Neue" w:cs="Helvetica Neue"/>
        </w:rPr>
      </w:pPr>
      <w:r>
        <w:rPr>
          <w:rFonts w:ascii="Helvetica Neue" w:eastAsia="Helvetica Neue" w:hAnsi="Helvetica Neue" w:cs="Helvetica Neue"/>
        </w:rPr>
        <w:t>[State the recommended decision and summarize the implementation sequence. Name the first milestone, the validation or dry-run stage, the initial production audience, and the conditions that must be met before broader rollout.]</w:t>
      </w:r>
    </w:p>
    <w:tbl>
      <w:tblPr>
        <w:tblStyle w:val="a7"/>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954"/>
        <w:gridCol w:w="3713"/>
        <w:gridCol w:w="3773"/>
      </w:tblGrid>
      <w:tr w14:paraId="06A6DBA5" w14:textId="77777777">
        <w:trPr>
          <w:cantSplit/>
          <w:tblHeader/>
          <w:jc w:val="center"/>
        </w:trPr>
        <w:tc>
          <w:tcPr>
            <w:tcW w:w="295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82A0123"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Milestone</w:t>
            </w:r>
          </w:p>
        </w:tc>
        <w:tc>
          <w:tcPr>
            <w:tcW w:w="371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E7A64EC"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Deliverable</w:t>
            </w:r>
          </w:p>
        </w:tc>
        <w:tc>
          <w:tcPr>
            <w:tcW w:w="377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87E76F8" w14:textId="77777777">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Exit criteria</w:t>
            </w:r>
          </w:p>
        </w:tc>
      </w:tr>
      <w:tr w14:paraId="241340D3" w14:textId="77777777">
        <w:trPr>
          <w:cantSplit/>
          <w:jc w:val="center"/>
        </w:trPr>
        <w:tc>
          <w:tcPr>
            <w:tcW w:w="295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4A44EA5C"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M1</w:t>
            </w:r>
          </w:p>
        </w:tc>
        <w:tc>
          <w:tcPr>
            <w:tcW w:w="3713"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50DFA5B6"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[Foundational implementation or dry-run capability]</w:t>
            </w:r>
          </w:p>
        </w:tc>
        <w:tc>
          <w:tcPr>
            <w:tcW w:w="3773"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EE50C3D"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[Measurable evidence that the foundation works safely]</w:t>
            </w:r>
          </w:p>
        </w:tc>
      </w:tr>
      <w:tr w14:paraId="6A3C1CB7" w14:textId="77777777">
        <w:trPr>
          <w:cantSplit/>
          <w:jc w:val="center"/>
        </w:trPr>
        <w:tc>
          <w:tcPr>
            <w:tcW w:w="295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1AAAF2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M2</w:t>
            </w:r>
          </w:p>
        </w:tc>
        <w:tc>
          <w:tcPr>
            <w:tcW w:w="3713"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5C0D3B9C"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[Validation, tooling, migration, or audit capability]</w:t>
            </w:r>
          </w:p>
        </w:tc>
        <w:tc>
          <w:tcPr>
            <w:tcW w:w="3773"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02B4B97A"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[Acceptance test or reconstruction criteria]</w:t>
            </w:r>
          </w:p>
        </w:tc>
      </w:tr>
      <w:tr w14:paraId="00A9BECB" w14:textId="77777777">
        <w:trPr>
          <w:cantSplit/>
          <w:jc w:val="center"/>
        </w:trPr>
        <w:tc>
          <w:tcPr>
            <w:tcW w:w="295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1F267672"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M3</w:t>
            </w:r>
          </w:p>
        </w:tc>
        <w:tc>
          <w:tcPr>
            <w:tcW w:w="3713"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219AB55A"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[Limited production rollout]</w:t>
            </w:r>
          </w:p>
        </w:tc>
        <w:tc>
          <w:tcPr>
            <w:tcW w:w="3773" w:type="dxa"/>
            <w:tcBorders>
              <w:top w:val="single" w:sz="6" w:space="0" w:color="FFFFFF"/>
              <w:left w:val="single" w:sz="6" w:space="0" w:color="FFFFFF"/>
              <w:bottom w:val="single" w:sz="6" w:space="0" w:color="FFFFFF"/>
              <w:right w:val="single" w:sz="6" w:space="0" w:color="FFFFFF"/>
            </w:tcBorders>
            <w:shd w:val="clear" w:color="auto" w:fill="FFFFFF"/>
            <w:tcMar>
              <w:top w:w="110" w:type="dxa"/>
              <w:left w:w="120" w:type="dxa"/>
              <w:bottom w:w="110" w:type="dxa"/>
              <w:right w:w="120" w:type="dxa"/>
            </w:tcMar>
            <w:vAlign w:val="center"/>
          </w:tcPr>
          <w:p w14:paraId="472C118A"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[Stability period and severity threshold]</w:t>
            </w:r>
          </w:p>
        </w:tc>
      </w:tr>
      <w:tr w14:paraId="4C58AE95" w14:textId="77777777">
        <w:trPr>
          <w:cantSplit/>
          <w:jc w:val="center"/>
        </w:trPr>
        <w:tc>
          <w:tcPr>
            <w:tcW w:w="2954"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0B091531"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M4</w:t>
            </w:r>
          </w:p>
        </w:tc>
        <w:tc>
          <w:tcPr>
            <w:tcW w:w="3713"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767EA90E"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[Broader customer or workload rollout]</w:t>
            </w:r>
          </w:p>
        </w:tc>
        <w:tc>
          <w:tcPr>
            <w:tcW w:w="3773" w:type="dxa"/>
            <w:tcBorders>
              <w:top w:val="single" w:sz="6" w:space="0" w:color="FFFFFF"/>
              <w:left w:val="single" w:sz="6" w:space="0" w:color="FFFFFF"/>
              <w:bottom w:val="single" w:sz="6" w:space="0" w:color="FFFFFF"/>
              <w:right w:val="single" w:sz="6" w:space="0" w:color="FFFFFF"/>
            </w:tcBorders>
            <w:shd w:val="clear" w:color="auto" w:fill="F6F9FC"/>
            <w:tcMar>
              <w:top w:w="110" w:type="dxa"/>
              <w:left w:w="120" w:type="dxa"/>
              <w:bottom w:w="110" w:type="dxa"/>
              <w:right w:w="120" w:type="dxa"/>
            </w:tcMar>
            <w:vAlign w:val="center"/>
          </w:tcPr>
          <w:p w14:paraId="74286286" w14:textId="77777777">
            <w:pPr>
              <w:spacing w:before="20" w:after="25" w:line="285" w:lineRule="auto"/>
              <w:rPr>
                <w:rFonts w:ascii="Helvetica Neue" w:eastAsia="Helvetica Neue" w:hAnsi="Helvetica Neue" w:cs="Helvetica Neue"/>
              </w:rPr>
            </w:pPr>
            <w:r>
              <w:rPr>
                <w:rFonts w:ascii="Helvetica Neue" w:eastAsia="Helvetica Neue" w:hAnsi="Helvetica Neue" w:cs="Helvetica Neue"/>
              </w:rPr>
              <w:t>[SLOs met, rollback tested, and approvals complete]</w:t>
            </w:r>
          </w:p>
        </w:tc>
      </w:tr>
    </w:tbl>
    <w:p w14:paraId="012E665F" w14:textId="7C551A89">
      <w:pPr>
        <w:spacing w:after="120" w:line="269" w:lineRule="auto"/>
        <w:rPr>
          <w:rFonts w:ascii="Helvetica Neue" w:eastAsia="Helvetica Neue" w:hAnsi="Helvetica Neue" w:cs="Helvetica Neue"/>
        </w:rPr>
      </w:pPr>
    </w:p>
    <w:p w14:paraId="67E7E43E" w14:textId="77777777">
      <w:pPr>
        <w:rPr>
          <w:rFonts w:ascii="Helvetica Neue" w:eastAsia="Helvetica Neue" w:hAnsi="Helvetica Neue" w:cs="Helvetica Neue"/>
        </w:rPr>
      </w:pPr>
      <w:r>
        <w:rPr>
          <w:rFonts w:ascii="Helvetica Neue" w:eastAsia="Helvetica Neue" w:hAnsi="Helvetica Neue" w:cs="Helvetica Neue"/>
        </w:rPr>
        <w:br w:type="page"/>
      </w:r>
    </w:p>
    <w:p w14:paraId="208A91F5" w14:textId="7F0E348C">
      <w:r>
        <w:t xml:space="preserve">Assessment date: 3 September 2026  </w:t>
      </w:r>
    </w:p>
    <w:p w14:paraId="237B3612" w14:textId="48D60E0E">
      <w:r>
        <w:t>Decision: Do not launch live trading or sell signals yet. Productize first as an evidence-first research and paper-trading workspace for XAU/USD, BTC/USD, EUR/USD, GBP/USD, and USD/JPY.</w:t>
      </w:r>
    </w:p>
    <w:p w14:paraId="0D5BED6A" w14:textId="1AAFA22C">
      <w:pPr>
        <w:pStyle w:val="Heading1"/>
      </w:pPr>
      <w:r>
        <w:t>Executive verdict</w:t>
      </w:r>
    </w:p>
    <w:p w14:paraId="2939B256" w14:textId="07378472">
      <w:r>
        <w:t>Oryares is a credible research prototype, not a launch-ready financial product. The repository proves that an agent workflow, market-data access, risk checks, reporting, MT5 connectivity, and a Binance bridge can be assembled. It does not yet prove that the system has a repeatable edge, sizes positions safely, records the full trade lifecycle, survives realistic failure modes, protects customer data, or can be operated as a reliable service.</w:t>
      </w:r>
    </w:p>
    <w:p w14:paraId="6C1ED025" w14:textId="752400AB">
      <w:r>
        <w:t>Estimated readiness by launch definition:</w:t>
      </w:r>
    </w:p>
    <w:p w14:paraId="28722C20" w14:textId="3F13963A">
      <w:r>
        <w:t>The percentages are decision aids, not test coverage or financial forecasts. They reflect observable implementation across safety, evidence, product surface, operations, QA/security, and compliance.</w:t>
      </w:r>
    </w:p>
    <w:p w14:paraId="3576B05F" w14:textId="25590A19">
      <w:pPr>
        <w:pStyle w:val="Heading1"/>
      </w:pPr>
      <w:r>
        <w:t>What exists today</w:t>
      </w:r>
    </w:p>
    <w:p w14:paraId="233AC4C7" w14:textId="209BBF64">
      <w:pPr>
        <w:pStyle w:val="ListBullet"/>
      </w:pPr>
      <w:r>
        <w:t>A Python command-line trading desk with multi-agent analysis, risk review, reports, Kelly sizing, and market adapters.</w:t>
      </w:r>
    </w:p>
    <w:p w14:paraId="1DD5C010" w14:textId="2C35F23E">
      <w:pPr>
        <w:pStyle w:val="ListBullet"/>
      </w:pPr>
      <w:r>
        <w:t>MT5 and Binance execution paths, including environment-gated live-order switches.</w:t>
      </w:r>
    </w:p>
    <w:p w14:paraId="402F9FFD" w14:textId="7E197E5B">
      <w:pPr>
        <w:pStyle w:val="ListBullet"/>
      </w:pPr>
      <w:r>
        <w:t>Paper-first product direction, roadmap, Phase 0 plan, and delivery tracker.</w:t>
      </w:r>
    </w:p>
    <w:p w14:paraId="06912BE8" w14:textId="0A4E0FA4">
      <w:pPr>
        <w:pStyle w:val="ListBullet"/>
      </w:pPr>
      <w:r>
        <w:t>Seven dry-run ledger records, all rejected HOLD decisions. There is no closed-trade outcome history or performance evidence.</w:t>
      </w:r>
    </w:p>
    <w:p w14:paraId="68D2C4D7" w14:textId="78D65E25">
      <w:pPr>
        <w:pStyle w:val="ListBullet"/>
      </w:pPr>
      <w:r>
        <w:t>Compilable Python source and a functioning universe command.</w:t>
      </w:r>
    </w:p>
    <w:p w14:paraId="2FDDED59" w14:textId="6FE72906">
      <w:pPr>
        <w:pStyle w:val="Heading1"/>
      </w:pPr>
      <w:r>
        <w:t>Why it is not ready</w:t>
      </w:r>
    </w:p>
    <w:p w14:paraId="38D54036" w14:textId="680D3414">
      <w:pPr>
        <w:pStyle w:val="Heading3"/>
      </w:pPr>
      <w:r>
        <w:t>Safety and execution</w:t>
      </w:r>
    </w:p>
    <w:p w14:paraId="2B1D3422" w14:textId="2FECFB50">
      <w:r>
        <w:t>Live execution remains reachable through CLI flags plus DESK_ALLOW_LIVE_ORDERS=1. The current implementation also has safety-critical defects: the LLM confidence can drive capped Kelly sizing from assumed reward/risk; risk-agent size limits are not consistently enforced; MT5 stop handling can omit a stop; minimum-lot rounding can exceed the risk budget; Binance quantity can bypass shared portfolio sizing; and close events are not wired back into risk state. MetaTrader's own documentation warns that accepting an order request is not proof of execution, so order, deal, rejection, partial-fill, and reconciliation states must be modeled explicitly (MQL5 OrderSend (https://www.mql5.com/en/docs/trading/ordersend)).</w:t>
      </w:r>
    </w:p>
    <w:p w14:paraId="649C365D" w14:textId="57DE7ACE">
      <w:pPr>
        <w:pStyle w:val="Heading3"/>
      </w:pPr>
      <w:r>
        <w:t>Evidence and model governance</w:t>
      </w:r>
    </w:p>
    <w:p w14:paraId="3D6FA6C9" w14:textId="5F9D4E69">
      <w:r>
        <w:t>There is no deterministic backtest engine, walk-forward evaluation, leakage test, paper broker with reproducible fills, or promotion report. This is the largest product gap. Backtest selection itself can overfit; the Probability of Backtest Overfitting literature exists precisely because ordinary hold-outs can be unreliable for investment simulations (Bailey et al. (https://papers.ssrn.com/sol3/Papers.cfm?abstract_id=2326253)).</w:t>
      </w:r>
    </w:p>
    <w:p w14:paraId="20DDFD3D" w14:textId="17737096">
      <w:r>
        <w:t>The LLM layer has free-model fallback but no schema-enforced output, prompt/model version registry, evaluation suite, adversarial tests, cost/latency telemetry, or provider policy enforcement. Adopt a lightweight Govern -&gt; Map -&gt; Measure -&gt; Manage control loop from the NIST AI RMF and its GenAI profile (NIST AI RMF (https://www.nist.gov/itl/ai-risk-management-framework), NIST GenAI Profile (https://www.nist.gov/publications/artificial-intelligence-risk-management-framework-generative-artificial-intelligence)). Test at minimum for prompt injection, sensitive information disclosure, improper output handling, excessive agency, misinformation, and unbounded consumption (OWASP GenAI Top 10 (https://genai.owasp.org/llm-top-10/)).</w:t>
      </w:r>
    </w:p>
    <w:p w14:paraId="304FF457" w14:textId="065D77CA">
      <w:pPr>
        <w:pStyle w:val="Heading3"/>
      </w:pPr>
      <w:r>
        <w:t>Product and market</w:t>
      </w:r>
    </w:p>
    <w:p w14:paraId="621EECA5" w14:textId="6F9C4AD4">
      <w:r>
        <w:t>There is no customer-facing application, API, authentication, onboarding, entitlement model, support workflow, or analytics. More importantly, broad “AI builds, backtests, and executes strategies” positioning is already occupied. QuantConnect markets an integrated pipeline with point-in-time, fee, slippage, and spread-aware backtests; Capitalise.ai offers code-free automation and simulated trading; Composer offers AI strategy creation, backtesting, and execution (QuantConnect (https://www.quantconnect.com/), Capitalise.ai (https://capitalise.ai/), Composer (https://www.composer.trade/)).</w:t>
      </w:r>
    </w:p>
    <w:p w14:paraId="78AD7FD7" w14:textId="46D4EE69">
      <w:r>
        <w:t>Oryares should therefore differentiate on auditability and promotion discipline, not generic AI automation: every recommendation should show its data vintage, strategy version, prompt/model version, risk vetoes, assumptions, simulated fill, and promotion status.</w:t>
      </w:r>
    </w:p>
    <w:p w14:paraId="49F6CD4F" w14:textId="1C2F3754">
      <w:pPr>
        <w:pStyle w:val="Heading3"/>
      </w:pPr>
      <w:r>
        <w:t>Deployment and operations</w:t>
      </w:r>
    </w:p>
    <w:p w14:paraId="3F027948" w14:textId="194B4D36">
      <w:r>
        <w:t>There is no root CI/CD pipeline, deployable service, environment strategy, monitoring, alerting, backup/restore procedure, SBOM, vulnerability gate, incident runbook, or rollback plan. MT5's Python integration communicates with an installed terminal, so the execution adapter is Windows-bound (MQL5 Python integration (https://www.mql5.com/en/docs/python_metatrader5)). The correct product architecture is a cloud control plane plus a separately secured Windows execution connector—not a single generic Linux container.</w:t>
      </w:r>
    </w:p>
    <w:p w14:paraId="2AAFF68F" w14:textId="3B92A650">
      <w:pPr>
        <w:pStyle w:val="Heading3"/>
      </w:pPr>
      <w:r>
        <w:t>Privacy, regulation, and payments</w:t>
      </w:r>
    </w:p>
    <w:p w14:paraId="0067D233" w14:textId="4A8EE5D3">
      <w:r>
        <w:t>If the product stores identity, broker-account metadata, positions, trade history, prompts, or support records, it needs a data inventory, lawful-purpose mapping, minimization, retention/deletion rules, access/export workflows, encryption, vendor review, and incident handling. The current OpenRouter client does not enforce Zero Data Retention, even though OpenRouter supports per-request provider.zdr=true; OpenRouter also retains request metadata and routes prompts through provider touchpoints (OpenRouter data collection (https://openrouter.ai/docs/guides/privacy/data-collection), OpenRouter ZDR (https://openrouter.ai/docs/guides/features/zdr)).</w:t>
      </w:r>
    </w:p>
    <w:p w14:paraId="18C2A79E" w14:textId="008A3301">
      <w:r>
        <w:t>South Africa's FAIS regime regulates advice and intermediary services, and the FSCA describes advice as guiding a consumer to a specific financial product and intermediation as acting between a consumer and product supplier. External launch copy and functionality therefore require South African financial-services counsel and an explicit licensing/perimeter decision—not a disclaimer alone (South African Government: FAIS purpose (https://www.gov.za/about-sa/finance), FSCA digital-platform research (https://www.fsca.co.za/Regulatory%20Frameworks/FinTechDocuments/Fintech_Digital-Platforms_An_investigation_into_Fintech_Digital_platform_activity_in_South_Africa_and_their_regulatory_implications.pdf)).</w:t>
      </w:r>
    </w:p>
    <w:p w14:paraId="705623FE" w14:textId="7659C989">
      <w:r>
        <w:t>Do not integrate payments before the business model is approved by the provider. Stripe lists investment, brokerage, currency-exchange, cryptocurrency, and other financial services as categories requiring contact and additional due diligence, and prohibits deceptive “get rich quick” claims (Stripe restricted businesses (https://stripe.com/legal/restricted-businesses)). Use hosted checkout and never handle raw card data if approval is obtained.</w:t>
      </w:r>
    </w:p>
    <w:p w14:paraId="227F3C93" w14:textId="0643A467">
      <w:pPr>
        <w:pStyle w:val="Heading1"/>
      </w:pPr>
      <w:r>
        <w:t>Recommended product direction</w:t>
      </w:r>
    </w:p>
    <w:p w14:paraId="00E84AA6" w14:textId="6A847255">
      <w:r>
        <w:t>Launch Oryares Lab, an invite-only research and paper-trading workspace:</w:t>
      </w:r>
    </w:p>
    <w:p w14:paraId="1D8507FD" w14:textId="13903E45">
      <w:pPr>
        <w:pStyle w:val="ListNumber"/>
      </w:pPr>
      <w:r>
        <w:t>Five fixed markets: XAU/USD, BTC/USD, EUR/USD, GBP/USD, USD/JPY.</w:t>
      </w:r>
    </w:p>
    <w:p w14:paraId="5C2AC08F" w14:textId="6F2A11C0">
      <w:pPr>
        <w:pStyle w:val="ListNumber"/>
      </w:pPr>
      <w:r>
        <w:t>Two fixed programs: 15m intraday and 1h swing.</w:t>
      </w:r>
    </w:p>
    <w:p w14:paraId="78DD3E93" w14:textId="5AB695D8">
      <w:pPr>
        <w:pStyle w:val="ListNumber"/>
      </w:pPr>
      <w:r>
        <w:t>Evidence panels: data freshness, assumptions, strategy/prompt/model versions, risk vetoes, simulated fills, and closed-trade attribution.</w:t>
      </w:r>
    </w:p>
    <w:p w14:paraId="07A02209" w14:textId="25467895">
      <w:pPr>
        <w:pStyle w:val="ListNumber"/>
      </w:pPr>
      <w:r>
        <w:t>Promotion states: research -&gt; backtest-passed -&gt; paper-qualified -&gt; demo-qualified -&gt; live-eligible.</w:t>
      </w:r>
    </w:p>
    <w:p w14:paraId="2B0D439B" w14:textId="36E74B4E">
      <w:pPr>
        <w:pStyle w:val="ListNumber"/>
      </w:pPr>
      <w:r>
        <w:t>No personalized advice, profit promise, copy-trading, custody, or live order execution in the first external release.</w:t>
      </w:r>
    </w:p>
    <w:p w14:paraId="161986E7" w14:textId="6C58FBF2">
      <w:pPr>
        <w:pStyle w:val="Heading3"/>
      </w:pPr>
      <w:r>
        <w:t>Scope decisions from the requested skills</w:t>
      </w:r>
    </w:p>
    <w:p w14:paraId="49F7C02E" w14:textId="40948BD0">
      <w:pPr>
        <w:pStyle w:val="ListBullet"/>
      </w:pPr>
      <w:r>
        <w:t>RAG: Do not add it now. The core inputs are structured market data. Add retrieval only for licensed research/news with source-level access controls and independent retrieval evaluation.</w:t>
      </w:r>
    </w:p>
    <w:p w14:paraId="7DCF431F" w14:textId="134EEBFC">
      <w:pPr>
        <w:pStyle w:val="ListBullet"/>
      </w:pPr>
      <w:r>
        <w:t>GSAP: No launch dependency. There is no frontend yet. If used later, restrict it to transform/opacity transitions, respect reduced-motion settings, and never animate critical risk values in a way that delays comprehension.</w:t>
      </w:r>
    </w:p>
    <w:p w14:paraId="6ED787DF" w14:textId="5D846B20">
      <w:pPr>
        <w:pStyle w:val="ListBullet"/>
      </w:pPr>
      <w:r>
        <w:t>Payments: Defer until the product perimeter and merchant underwriting are approved. Then use hosted subscription checkout, signed webhooks, idempotency, test/live separation, and entitlement reconciliation.</w:t>
      </w:r>
    </w:p>
    <w:p w14:paraId="7DB8C030" w14:textId="33B1F324">
      <w:pPr>
        <w:pStyle w:val="ListBullet"/>
      </w:pPr>
      <w:r>
        <w:t>AI engineering: Make LLMs advisory only. Deterministic code owns sizing, order policy, state transitions, and promotion decisions.</w:t>
      </w:r>
    </w:p>
    <w:p w14:paraId="5B30B52B" w14:textId="76A32B54">
      <w:pPr>
        <w:pStyle w:val="Heading1"/>
      </w:pPr>
      <w:r>
        <w:t>Target architecture</w:t>
      </w:r>
    </w:p>
    <w:p w14:paraId="769F44C9" w14:textId="571EBDDE">
      <w:r>
        <w:t>The control plane should run independently of broker terminals. Every connector must be least-privilege, fail closed, idempotent, and reconcilable. A global kill switch must override all strategy and model decisions.</w:t>
      </w:r>
    </w:p>
    <w:p w14:paraId="28A38B8D" w14:textId="252D6F0D">
      <w:pPr>
        <w:pStyle w:val="Heading1"/>
      </w:pPr>
      <w:r>
        <w:t>Productization gates</w:t>
      </w:r>
    </w:p>
    <w:p w14:paraId="4235BA85" w14:textId="22414A93">
      <w:pPr>
        <w:pStyle w:val="Heading3"/>
      </w:pPr>
      <w:r>
        <w:t>Gate 0 - Safety baseline</w:t>
      </w:r>
    </w:p>
    <w:p w14:paraId="1946049B" w14:textId="2E2B6F7F">
      <w:pPr>
        <w:pStyle w:val="ListBullet"/>
      </w:pPr>
      <w:r>
        <w:t>Remove public live flags or compile live adapters out of default builds.</w:t>
      </w:r>
    </w:p>
    <w:p w14:paraId="78B0F752" w14:textId="380CEBF8">
      <w:pPr>
        <w:pStyle w:val="ListBullet"/>
      </w:pPr>
      <w:r>
        <w:t>Replace LLM-derived sizing with deterministic strategy/risk inputs.</w:t>
      </w:r>
    </w:p>
    <w:p w14:paraId="6813263F" w14:textId="41AF3799">
      <w:pPr>
        <w:pStyle w:val="ListBullet"/>
      </w:pPr>
      <w:r>
        <w:t>Fix stop, minimum-volume, max-size, exposure, close-event, and order-state handling.</w:t>
      </w:r>
    </w:p>
    <w:p w14:paraId="4257D072" w14:textId="3DE4888B">
      <w:pPr>
        <w:pStyle w:val="ListBullet"/>
      </w:pPr>
      <w:r>
        <w:t>Add unit tests for every safety invariant and a single authoritative risk policy.</w:t>
      </w:r>
    </w:p>
    <w:p w14:paraId="6D9BAB84" w14:textId="080FE895">
      <w:pPr>
        <w:pStyle w:val="Heading3"/>
      </w:pPr>
      <w:r>
        <w:t>Gate 1 - Reproducible evidence</w:t>
      </w:r>
    </w:p>
    <w:p w14:paraId="58D9BAC5" w14:textId="33DEFAFF">
      <w:pPr>
        <w:pStyle w:val="ListBullet"/>
      </w:pPr>
      <w:r>
        <w:t>Canonical market schema and immutable run manifest.</w:t>
      </w:r>
    </w:p>
    <w:p w14:paraId="1DE3EBD7" w14:textId="4BDB464F">
      <w:pPr>
        <w:pStyle w:val="ListBullet"/>
      </w:pPr>
      <w:r>
        <w:t>SQLite/Postgres ledger with orders, fills, positions, exits, costs, and attribution.</w:t>
      </w:r>
    </w:p>
    <w:p w14:paraId="64AE314F" w14:textId="09A68748">
      <w:pPr>
        <w:pStyle w:val="ListBullet"/>
      </w:pPr>
      <w:r>
        <w:t>Deterministic backtest plus time-split and walk-forward evaluation.</w:t>
      </w:r>
    </w:p>
    <w:p w14:paraId="41B0B055" w14:textId="32697F9A">
      <w:pPr>
        <w:pStyle w:val="ListBullet"/>
      </w:pPr>
      <w:r>
        <w:t>Promotion report covering slippage, fees, spread, leakage, stability, drawdown, calibration, and failed experiments.</w:t>
      </w:r>
    </w:p>
    <w:p w14:paraId="3AFF66DD" w14:textId="731A103D">
      <w:pPr>
        <w:pStyle w:val="Heading3"/>
      </w:pPr>
      <w:r>
        <w:t>Gate 2 - Paper alpha</w:t>
      </w:r>
    </w:p>
    <w:p w14:paraId="52222B87" w14:textId="03ECB935">
      <w:pPr>
        <w:pStyle w:val="ListBullet"/>
      </w:pPr>
      <w:r>
        <w:t>Paper broker with deterministic fixtures, rejection/partial-fill simulation, restart recovery, and reconciliation.</w:t>
      </w:r>
    </w:p>
    <w:p w14:paraId="04CED369" w14:textId="0D910398">
      <w:pPr>
        <w:pStyle w:val="ListBullet"/>
      </w:pPr>
      <w:r>
        <w:t>Run XAU/USD first; add BTC and FX only after the same acceptance tests pass.</w:t>
      </w:r>
    </w:p>
    <w:p w14:paraId="0BAC0FC9" w14:textId="62E647F7">
      <w:pPr>
        <w:pStyle w:val="ListBullet"/>
      </w:pPr>
      <w:r>
        <w:t>Collect a minimum evidence window defined by trade count, regimes, and operational uptime—not calendar time alone.</w:t>
      </w:r>
    </w:p>
    <w:p w14:paraId="3664E78F" w14:textId="58142F7E">
      <w:pPr>
        <w:pStyle w:val="Heading3"/>
      </w:pPr>
      <w:r>
        <w:t>Gate 3 - Invite-only product beta</w:t>
      </w:r>
    </w:p>
    <w:p w14:paraId="33DC0761" w14:textId="1B13D222">
      <w:pPr>
        <w:pStyle w:val="ListBullet"/>
      </w:pPr>
      <w:r>
        <w:t>API, authentication, tenant isolation, dashboard, onboarding, audit export, privacy controls, support, and usage limits.</w:t>
      </w:r>
    </w:p>
    <w:p w14:paraId="4489EC64" w14:textId="7A3E916A">
      <w:pPr>
        <w:pStyle w:val="ListBullet"/>
      </w:pPr>
      <w:r>
        <w:t>E2E tests for signup, strategy run, risk veto, paper order, reconciliation, export, deletion, and incident-mode shutdown.</w:t>
      </w:r>
    </w:p>
    <w:p w14:paraId="3AD0871D" w14:textId="6CDC3DD2">
      <w:pPr>
        <w:pStyle w:val="ListBullet"/>
      </w:pPr>
      <w:r>
        <w:t>CI/CD with build, unit/integration/E2E, lint/type, secret, dependency, container, migration, and rollback gates.</w:t>
      </w:r>
    </w:p>
    <w:p w14:paraId="2099164A" w14:textId="2BF8D852">
      <w:pPr>
        <w:pStyle w:val="Heading3"/>
      </w:pPr>
      <w:r>
        <w:t>Gate 4 - Paid research launch</w:t>
      </w:r>
    </w:p>
    <w:p w14:paraId="7C601766" w14:textId="0D6EAD40">
      <w:pPr>
        <w:pStyle w:val="ListBullet"/>
      </w:pPr>
      <w:r>
        <w:t>Counsel-approved positioning and customer terms.</w:t>
      </w:r>
    </w:p>
    <w:p w14:paraId="13B03B11" w14:textId="6AD6B23F">
      <w:pPr>
        <w:pStyle w:val="ListBullet"/>
      </w:pPr>
      <w:r>
        <w:t>Merchant/provider pre-approval, hosted checkout, signed/idempotent webhooks, entitlement checks, refunds, and reconciliation.</w:t>
      </w:r>
    </w:p>
    <w:p w14:paraId="24F34BAF" w14:textId="24AB3545">
      <w:pPr>
        <w:pStyle w:val="ListBullet"/>
      </w:pPr>
      <w:r>
        <w:t>Production monitoring, SLOs, on-call/incident runbooks, backup restore tests, and vulnerability response.</w:t>
      </w:r>
    </w:p>
    <w:p w14:paraId="5E33FAB2" w14:textId="0B256E89">
      <w:pPr>
        <w:pStyle w:val="Heading3"/>
      </w:pPr>
      <w:r>
        <w:t>Gate 5 - Demo/live eligibility</w:t>
      </w:r>
    </w:p>
    <w:p w14:paraId="45C4CD80" w14:textId="2A0C76EE">
      <w:pPr>
        <w:pStyle w:val="ListBullet"/>
      </w:pPr>
      <w:r>
        <w:t>Separate formal approval. Requires broker-specific certification, shadow/demo evidence, kill-switch drills, order/fill reconciliation, capital limits, and the resolved regulatory perimeter.</w:t>
      </w:r>
    </w:p>
    <w:p w14:paraId="562325AF" w14:textId="1D6988D6">
      <w:pPr>
        <w:pStyle w:val="Heading1"/>
      </w:pPr>
      <w:r>
        <w:t>Technical-debt register</w:t>
      </w:r>
    </w:p>
    <w:p w14:paraId="5111B202" w14:textId="2EE6CE9E">
      <w:r>
        <w:t>Priority score uses (Impact + Risk) x (6 - Effort), with each input scored 1-5.</w:t>
      </w:r>
    </w:p>
    <w:p w14:paraId="0EF90C7C" w14:textId="0360BBC1">
      <w:pPr>
        <w:pStyle w:val="Heading1"/>
      </w:pPr>
      <w:r>
        <w:t>Testing and release tracker</w:t>
      </w:r>
    </w:p>
    <w:p w14:paraId="2EF1567C" w14:textId="7B8FB20D">
      <w:r>
        <w:t>Use the repository tracker as the source of delivery truth. Add these release epics and do not start a later gate until all prior acceptance criteria are evidenced:</w:t>
      </w:r>
    </w:p>
    <w:p w14:paraId="5CB03F5F" w14:textId="627AFC70">
      <w:r>
        <w:t>For one experienced full-time engineer with founder availability, a realistic planning range is roughly 14-22 engineering weeks to an invite-only paper beta and 24-40 weeks to a public paid paper/research product. These are inference-based planning ranges, not commitments; team size, data licensing, counsel, payment underwriting, and broker integration can move them substantially. A customer-facing live execution date should not be forecast until Gate 4 is complete.</w:t>
      </w:r>
    </w:p>
    <w:p w14:paraId="03F4E05F" w14:textId="6450535B">
      <w:pPr>
        <w:pStyle w:val="Heading1"/>
      </w:pPr>
      <w:r>
        <w:t>Immediate next sprint</w:t>
      </w:r>
    </w:p>
    <w:p w14:paraId="36800298" w14:textId="67F064CC">
      <w:pPr>
        <w:pStyle w:val="ListNumber"/>
      </w:pPr>
      <w:r>
        <w:t>Make live execution unreachable in standard builds.</w:t>
      </w:r>
    </w:p>
    <w:p w14:paraId="5F3F0CE9" w14:textId="10DF3FBB">
      <w:pPr>
        <w:pStyle w:val="ListNumber"/>
      </w:pPr>
      <w:r>
        <w:t>Write failing tests for all known safety defects, then fix them.</w:t>
      </w:r>
    </w:p>
    <w:p w14:paraId="660E88CD" w14:textId="56A313C9">
      <w:pPr>
        <w:pStyle w:val="ListNumber"/>
      </w:pPr>
      <w:r>
        <w:t>Introduce the canonical five-instrument/two-program registry.</w:t>
      </w:r>
    </w:p>
    <w:p w14:paraId="2DB6E378" w14:textId="5C414D41">
      <w:pPr>
        <w:pStyle w:val="ListNumber"/>
      </w:pPr>
      <w:r>
        <w:t>Build the immutable run manifest and complete paper ledger.</w:t>
      </w:r>
    </w:p>
    <w:p w14:paraId="2DAD9F61" w14:textId="78C81BE2">
      <w:pPr>
        <w:pStyle w:val="ListNumber"/>
      </w:pPr>
      <w:r>
        <w:t>Ship the first deterministic XAU/USD backtest and paper-broker vertical slice.</w:t>
      </w:r>
    </w:p>
    <w:p w14:paraId="46A7DAA0" w14:textId="307AFAA7">
      <w:pPr>
        <w:pStyle w:val="ListNumber"/>
      </w:pPr>
      <w:r>
        <w:t>Add root CI and a launch-gate dashboard tied to evidence, not task completion alone.</w:t>
      </w:r>
    </w:p>
    <w:p w14:paraId="2DB14573" w14:textId="04C21B88">
      <w:pPr>
        <w:pStyle w:val="Heading1"/>
      </w:pPr>
      <w:r>
        <w:t>Final judgment</w:t>
      </w:r>
    </w:p>
    <w:p w14:paraId="3E22E514" w14:textId="3242F6B0">
      <w:r>
        <w:t>The concept makes sense if the product promise is “trustworthy, auditable AI-assisted market research that must earn promotion”. It does not make sense to launch as another autonomous AI trading bot before evidence, safety, and regulatory controls exist. The shortest responsible route to market is a narrow invite-only paper product; the live connectors should be treated as quarantined integration experiments until independently promoted.</w:t>
      </w:r>
    </w:p>
    <w:p w14:paraId="393FD3EB" w14:textId="77777777"/>
    <w:sectPr>
      <w:headerReference w:type="default" r:id="rId9"/>
      <w:footerReference w:type="default" r:id="rId10"/>
      <w:headerReference w:type="first" r:id="rId11"/>
      <w:footerReference w:type="first" r:id="rId12"/>
      <w:pgSz w:w="12240" w:h="15840"/>
      <w:pgMar w:top="1008" w:right="1037" w:bottom="1008" w:left="1037"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37DD2" w14:textId="77777777">
      <w:pPr>
        <w:spacing w:after="0" w:line="240" w:lineRule="auto"/>
      </w:pPr>
      <w:r>
        <w:separator/>
      </w:r>
    </w:p>
  </w:endnote>
  <w:endnote w:type="continuationSeparator" w:id="0">
    <w:p w14:paraId="234B0D1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1678CA8-B891-4E4B-A295-9FB50E7DAF91}"/>
    <w:embedBold r:id="rId2" w:fontKey="{0CACD47B-E48D-484B-A69D-C56F10C5C526}"/>
  </w:font>
  <w:font w:name="Calibri">
    <w:panose1 w:val="020F0502020204030204"/>
    <w:charset w:val="00"/>
    <w:family w:val="swiss"/>
    <w:pitch w:val="variable"/>
    <w:sig w:usb0="E4002EFF" w:usb1="C200247B" w:usb2="00000009" w:usb3="00000000" w:csb0="000001FF" w:csb1="00000000"/>
    <w:embedRegular r:id="rId3" w:fontKey="{57266B7C-B369-4F09-B5CC-55CB721BF61C}"/>
    <w:embedBold r:id="rId4" w:fontKey="{9E47484A-4867-4605-B218-7A8366A90C98}"/>
    <w:embedItalic r:id="rId5" w:fontKey="{6434D89D-0467-4176-8AC7-BD41F10F4FA9}"/>
    <w:embedBoldItalic r:id="rId6" w:fontKey="{6C32693E-17A4-4ADD-B049-F1FB7389F34A}"/>
  </w:font>
  <w:font w:name="Helvetica Neue">
    <w:charset w:val="00"/>
    <w:family w:val="auto"/>
    <w:pitch w:val="default"/>
    <w:embedRegular r:id="rId7" w:fontKey="{DDC0BF67-1CD9-4110-B210-E7FE90FB0A7F}"/>
    <w:embedBold r:id="rId8" w:fontKey="{EA20B98E-96C7-40D1-AC26-4CF26B377C40}"/>
  </w:font>
  <w:font w:name="Helvetica Neue Light">
    <w:charset w:val="00"/>
    <w:family w:val="auto"/>
    <w:pitch w:val="default"/>
    <w:embedRegular r:id="rId9" w:fontKey="{6620206F-C2E4-40C1-9694-0589E93A04D7}"/>
  </w:font>
  <w:font w:name="Cambria">
    <w:panose1 w:val="02040503050406030204"/>
    <w:charset w:val="00"/>
    <w:family w:val="roman"/>
    <w:pitch w:val="variable"/>
    <w:sig w:usb0="E00006FF" w:usb1="420024FF" w:usb2="02000000" w:usb3="00000000" w:csb0="0000019F" w:csb1="00000000"/>
    <w:embedRegular r:id="rId10" w:fontKey="{C2C14B9C-1ABA-4595-BA37-1B0A78B524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3FAC" w14:textId="77777777">
    <w:pPr>
      <w:pBdr>
        <w:top w:val="nil"/>
        <w:left w:val="nil"/>
        <w:bottom w:val="nil"/>
        <w:right w:val="nil"/>
        <w:between w:val="nil"/>
      </w:pBdr>
      <w:tabs>
        <w:tab w:val="center" w:pos="4680"/>
        <w:tab w:val="right" w:pos="9360"/>
      </w:tabs>
      <w:spacing w:after="0" w:line="260" w:lineRule="auto"/>
      <w:jc w:val="center"/>
      <w:rPr>
        <w:color w:val="5B7085"/>
      </w:rPr>
    </w:pPr>
    <w:r>
      <w:rPr>
        <w:rFonts w:ascii="Arial" w:hAnsi="Arial"/>
        <w:color w:val="5B7085"/>
        <w:sz w:val="16"/>
        <w:szCs w:val="16"/>
      </w:rPr>
      <w:t>[Organization Name] | System Design RFC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2CE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E63DB" w14:textId="77777777">
      <w:pPr>
        <w:spacing w:after="0" w:line="240" w:lineRule="auto"/>
      </w:pPr>
      <w:r>
        <w:separator/>
      </w:r>
    </w:p>
  </w:footnote>
  <w:footnote w:type="continuationSeparator" w:id="0">
    <w:p w14:paraId="777A87FA" w14:textId="77777777">
      <w:pPr>
        <w:spacing w:after="0" w:line="240" w:lineRule="auto"/>
      </w:pPr>
      <w:r>
        <w:continuationSeparator/>
      </w:r>
    </w:p>
  </w:footnote>
  <w:footnote w:id="1">
    <w:p w14:paraId="2C679014" w14:textId="77777777">
      <w:pPr>
        <w:spacing w:after="0" w:line="270" w:lineRule="auto"/>
        <w:jc w:val="both"/>
      </w:pPr>
      <w:r>
        <w:rPr>
          <w:vertAlign w:val="superscript"/>
        </w:rPr>
        <w:footnoteRef/>
      </w:r>
      <w:r>
        <w:t xml:space="preserve"> Use footnotes for definitions, assumptions, or terms that need precision without interrupting the main narrative.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9AB8"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546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D0F1A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19CE0D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EC06F03"/>
    <w:multiLevelType w:val="multilevel"/>
    <w:tmpl w:val="4BD6E68E"/>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617346"/>
    <w:multiLevelType w:val="multilevel"/>
    <w:tmpl w:val="3984063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A156DB7"/>
    <w:multiLevelType w:val="multilevel"/>
    <w:tmpl w:val="A13AD43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86E6646"/>
    <w:multiLevelType w:val="multilevel"/>
    <w:tmpl w:val="00BA1954"/>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59722354">
    <w:abstractNumId w:val="5"/>
  </w:num>
  <w:num w:numId="2" w16cid:durableId="1045567510">
    <w:abstractNumId w:val="3"/>
  </w:num>
  <w:num w:numId="3" w16cid:durableId="1219710311">
    <w:abstractNumId w:val="4"/>
  </w:num>
  <w:num w:numId="4" w16cid:durableId="905601833">
    <w:abstractNumId w:val="2"/>
  </w:num>
  <w:num w:numId="5" w16cid:durableId="1930652531">
    <w:abstractNumId w:val="1"/>
  </w:num>
  <w:num w:numId="6" w16cid:durableId="137309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DD4"/>
    <w:rsid w:val="000229BC"/>
    <w:rsid w:val="008C1152"/>
    <w:rsid w:val="00D95DD4"/>
    <w:rsid w:val="00F753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72F2"/>
  <w15:docId w15:val="{20083006-A056-4B89-8584-6F93DE000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ZA"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rPr>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Heading2">
    <w:name w:val="heading 2"/>
    <w:basedOn w:val="Normal"/>
    <w:next w:val="Normal"/>
    <w:uiPriority w:val="9"/>
    <w:unhideWhenUsed/>
    <w:qFormat/>
    <w:pPr>
      <w:keepNext/>
      <w:keepLines/>
      <w:spacing w:before="200" w:after="0"/>
      <w:outlineLvl w:val="1"/>
    </w:pPr>
    <w:rPr>
      <w:rFonts w:eastAsia="Calibri" w:cs="Calibri"/>
      <w:b/>
      <w:bCs/>
      <w:smallCaps/>
      <w:color w:val="082A4A"/>
      <w:sz w:val="19"/>
      <w:szCs w:val="19"/>
    </w:rPr>
  </w:style>
  <w:style w:type="paragraph" w:styleId="Heading3">
    <w:name w:val="heading 3"/>
    <w:basedOn w:val="Normal"/>
    <w:next w:val="Normal"/>
    <w:uiPriority w:val="9"/>
    <w:unhideWhenUsed/>
    <w:qFormat/>
    <w:pPr>
      <w:keepNext/>
      <w:keepLines/>
      <w:outlineLvl w:val="2"/>
    </w:pPr>
    <w:rPr>
      <w:rFonts w:eastAsia="Helvetica Neue"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82A4A"/>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Bullet">
    <w:name w:val="List Bullet"/>
    <w:basedOn w:val="Normal"/>
    <w:uiPriority w:val="99"/>
    <w:unhideWhenUsed/>
    <w:rsid w:val="000229BC"/>
    <w:pPr>
      <w:numPr>
        <w:numId w:val="5"/>
      </w:numPr>
      <w:contextualSpacing/>
    </w:pPr>
  </w:style>
  <w:style w:type="paragraph" w:styleId="ListNumber">
    <w:name w:val="List Number"/>
    <w:basedOn w:val="Normal"/>
    <w:uiPriority w:val="99"/>
    <w:unhideWhenUsed/>
    <w:rsid w:val="000229BC"/>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xample.com/system-design/contrac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2606</Words>
  <Characters>17908</Characters>
  <Application>Microsoft Office Word</Application>
  <DocSecurity>0</DocSecurity>
  <Lines>484</Lines>
  <Paragraphs>315</Paragraphs>
  <ScaleCrop>false</ScaleCrop>
  <Company/>
  <LinksUpToDate>false</LinksUpToDate>
  <CharactersWithSpaces>20199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2026-09-03T09:10:00Z</dcterms:created>
  <dcterms:modified xsi:type="dcterms:W3CDTF">2026-09-03T09:10:00Z</dcterms:modified>
</cp:coreProperties>
</file>