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B16B2F" w14:textId="7A269392" w:rsidR="00C8664A" w:rsidRDefault="00465D89">
      <w:bookmarkStart w:id="0" w:name="introdução"/>
      <w:r>
        <w:t>Autor: Felipe Cidade Soares</w:t>
      </w:r>
    </w:p>
    <w:p w14:paraId="6E4EA808" w14:textId="77777777" w:rsidR="00C8664A" w:rsidRDefault="00C8664A"/>
    <w:p w14:paraId="101418D1" w14:textId="77777777" w:rsidR="00C8664A" w:rsidRDefault="00C8664A"/>
    <w:p w14:paraId="6167FDCD" w14:textId="77777777" w:rsidR="00C8664A" w:rsidRDefault="00C8664A"/>
    <w:p w14:paraId="798B09BE" w14:textId="77777777" w:rsidR="00C8664A" w:rsidRDefault="00C8664A"/>
    <w:p w14:paraId="6ACC15BF" w14:textId="77777777" w:rsidR="00C8664A" w:rsidRDefault="00C8664A"/>
    <w:p w14:paraId="5718587F" w14:textId="77777777" w:rsidR="00C8664A" w:rsidRDefault="00C8664A"/>
    <w:p w14:paraId="35533135" w14:textId="77777777" w:rsidR="00C8664A" w:rsidRDefault="00C8664A"/>
    <w:p w14:paraId="5EFF90BF" w14:textId="77777777" w:rsidR="00C8664A" w:rsidRDefault="00C8664A"/>
    <w:p w14:paraId="54932D90" w14:textId="77777777" w:rsidR="00C8664A" w:rsidRDefault="00C8664A"/>
    <w:p w14:paraId="34AA609C" w14:textId="77777777" w:rsidR="00C8664A" w:rsidRDefault="00C8664A"/>
    <w:p w14:paraId="760A1DAF" w14:textId="77777777" w:rsidR="00A002D8" w:rsidRDefault="004D527F" w:rsidP="00C8664A">
      <w:pPr>
        <w:pStyle w:val="Ttulo"/>
        <w:jc w:val="center"/>
        <w:rPr>
          <w:sz w:val="28"/>
          <w:szCs w:val="28"/>
        </w:rPr>
      </w:pPr>
      <w:r w:rsidRPr="00A002D8">
        <w:rPr>
          <w:sz w:val="28"/>
          <w:szCs w:val="28"/>
        </w:rPr>
        <w:t>ANÁLISE DE DADOS</w:t>
      </w:r>
      <w:r w:rsidR="00A002D8" w:rsidRPr="00A002D8">
        <w:rPr>
          <w:sz w:val="28"/>
          <w:szCs w:val="28"/>
        </w:rPr>
        <w:t>: SISTEMA DE E-COMMERCE</w:t>
      </w:r>
    </w:p>
    <w:p w14:paraId="1296457D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26985995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5CB28482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5362D354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15E68944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77EF7283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4E5579A6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72B75CEA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30C98B66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70CF1A2C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34511612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6F036B48" w14:textId="77777777" w:rsidR="00A002D8" w:rsidRDefault="00A002D8" w:rsidP="00A002D8">
      <w:pPr>
        <w:pStyle w:val="Corpodetexto"/>
      </w:pPr>
    </w:p>
    <w:p w14:paraId="7D69572F" w14:textId="77777777" w:rsidR="00A002D8" w:rsidRDefault="00A002D8" w:rsidP="00A002D8">
      <w:pPr>
        <w:pStyle w:val="Corpodetexto"/>
      </w:pPr>
    </w:p>
    <w:p w14:paraId="12A0F025" w14:textId="77777777" w:rsidR="00A002D8" w:rsidRDefault="00A002D8" w:rsidP="00A002D8">
      <w:pPr>
        <w:pStyle w:val="Corpodetexto"/>
      </w:pPr>
    </w:p>
    <w:p w14:paraId="27E45B4B" w14:textId="77777777" w:rsidR="00A002D8" w:rsidRPr="00A002D8" w:rsidRDefault="00A002D8" w:rsidP="00A002D8">
      <w:pPr>
        <w:pStyle w:val="Corpodetexto"/>
      </w:pPr>
    </w:p>
    <w:p w14:paraId="1826EBC9" w14:textId="77777777" w:rsidR="00A002D8" w:rsidRDefault="00A002D8" w:rsidP="00C8664A">
      <w:pPr>
        <w:pStyle w:val="Ttulo"/>
        <w:jc w:val="center"/>
        <w:rPr>
          <w:sz w:val="28"/>
          <w:szCs w:val="28"/>
        </w:rPr>
      </w:pPr>
    </w:p>
    <w:p w14:paraId="7B3FAF17" w14:textId="20E83602" w:rsidR="00CB37D0" w:rsidRPr="00A002D8" w:rsidRDefault="00A002D8" w:rsidP="00A002D8">
      <w:pPr>
        <w:jc w:val="center"/>
      </w:pPr>
      <w:r>
        <w:t>Fevereiro de 2026</w:t>
      </w:r>
      <w:r w:rsidR="00CB37D0" w:rsidRPr="00A002D8"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szCs w:val="24"/>
        </w:rPr>
        <w:id w:val="433632094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554C0104" w14:textId="1D76C38B" w:rsidR="00CB37D0" w:rsidRDefault="00CB37D0" w:rsidP="00CB37D0">
          <w:pPr>
            <w:pStyle w:val="CabealhodoSumrio"/>
            <w:jc w:val="center"/>
          </w:pPr>
          <w:r w:rsidRPr="00CB37D0">
            <w:rPr>
              <w:color w:val="auto"/>
              <w:sz w:val="28"/>
              <w:szCs w:val="28"/>
            </w:rPr>
            <w:t>SUMÁRIO</w:t>
          </w:r>
        </w:p>
        <w:p w14:paraId="0B04114C" w14:textId="5F59B231" w:rsidR="00465D89" w:rsidRDefault="00CB37D0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44331" w:history="1">
            <w:r w:rsidR="00465D89" w:rsidRPr="00883153">
              <w:rPr>
                <w:rStyle w:val="Hyperlink"/>
                <w:rFonts w:cs="Segoe UI"/>
                <w:noProof/>
                <w:spacing w:val="-9"/>
              </w:rPr>
              <w:t>1.</w:t>
            </w:r>
            <w:r w:rsidR="00465D89" w:rsidRPr="00883153">
              <w:rPr>
                <w:rStyle w:val="Hyperlink"/>
                <w:noProof/>
              </w:rPr>
              <w:t xml:space="preserve"> INTRODUÇÃO</w:t>
            </w:r>
            <w:r w:rsidR="00465D89">
              <w:rPr>
                <w:noProof/>
                <w:webHidden/>
              </w:rPr>
              <w:tab/>
            </w:r>
            <w:r w:rsidR="00465D89">
              <w:rPr>
                <w:noProof/>
                <w:webHidden/>
              </w:rPr>
              <w:fldChar w:fldCharType="begin"/>
            </w:r>
            <w:r w:rsidR="00465D89">
              <w:rPr>
                <w:noProof/>
                <w:webHidden/>
              </w:rPr>
              <w:instrText xml:space="preserve"> PAGEREF _Toc221044331 \h </w:instrText>
            </w:r>
            <w:r w:rsidR="00465D89">
              <w:rPr>
                <w:noProof/>
                <w:webHidden/>
              </w:rPr>
            </w:r>
            <w:r w:rsidR="00465D89">
              <w:rPr>
                <w:noProof/>
                <w:webHidden/>
              </w:rPr>
              <w:fldChar w:fldCharType="separate"/>
            </w:r>
            <w:r w:rsidR="00100971">
              <w:rPr>
                <w:noProof/>
                <w:webHidden/>
              </w:rPr>
              <w:t>1</w:t>
            </w:r>
            <w:r w:rsidR="00465D89">
              <w:rPr>
                <w:noProof/>
                <w:webHidden/>
              </w:rPr>
              <w:fldChar w:fldCharType="end"/>
            </w:r>
          </w:hyperlink>
        </w:p>
        <w:p w14:paraId="3618492E" w14:textId="3FFB57C6" w:rsidR="00465D89" w:rsidRDefault="00465D89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21044332" w:history="1">
            <w:r w:rsidRPr="00883153">
              <w:rPr>
                <w:rStyle w:val="Hyperlink"/>
                <w:rFonts w:cs="Segoe UI"/>
                <w:noProof/>
                <w:spacing w:val="-9"/>
              </w:rPr>
              <w:t>2.</w:t>
            </w:r>
            <w:r w:rsidRPr="00883153">
              <w:rPr>
                <w:rStyle w:val="Hyperlink"/>
                <w:noProof/>
              </w:rPr>
              <w:t xml:space="preserve"> CONTEXTO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_Toc221044332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0971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C48DE" w14:textId="7ECD2D26" w:rsidR="00465D89" w:rsidRDefault="00465D89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21044333" w:history="1">
            <w:r w:rsidRPr="00883153">
              <w:rPr>
                <w:rStyle w:val="Hyperlink"/>
                <w:rFonts w:cs="Segoe UI"/>
                <w:noProof/>
                <w:spacing w:val="-9"/>
              </w:rPr>
              <w:t>3.</w:t>
            </w:r>
            <w:r w:rsidRPr="00883153">
              <w:rPr>
                <w:rStyle w:val="Hyperlink"/>
                <w:noProof/>
              </w:rPr>
              <w:t xml:space="preserve">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_Toc221044333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097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460B6" w14:textId="51563756" w:rsidR="00465D89" w:rsidRDefault="00465D89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21044334" w:history="1">
            <w:r w:rsidRPr="00883153">
              <w:rPr>
                <w:rStyle w:val="Hyperlink"/>
                <w:rFonts w:cs="Segoe UI"/>
                <w:noProof/>
                <w:spacing w:val="-9"/>
              </w:rPr>
              <w:t>4.</w:t>
            </w:r>
            <w:r w:rsidRPr="00883153">
              <w:rPr>
                <w:rStyle w:val="Hyperlink"/>
                <w:noProof/>
              </w:rPr>
              <w:t xml:space="preserve"> RESULTADOS E ANÁLISES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_Toc221044334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097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F0DD1" w14:textId="5586C3FA" w:rsidR="00465D89" w:rsidRDefault="00465D89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21044335" w:history="1">
            <w:r w:rsidRPr="00883153">
              <w:rPr>
                <w:rStyle w:val="Hyperlink"/>
                <w:rFonts w:cs="Segoe UI"/>
                <w:noProof/>
                <w:spacing w:val="-9"/>
              </w:rPr>
              <w:t>5.</w:t>
            </w:r>
            <w:r w:rsidRPr="00883153">
              <w:rPr>
                <w:rStyle w:val="Hyperlink"/>
                <w:noProof/>
              </w:rPr>
              <w:t xml:space="preserve"> PRINCIPAIS INSIGHTS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_Toc221044335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097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1F3BF" w14:textId="16190FD0" w:rsidR="00465D89" w:rsidRDefault="00465D89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21044336" w:history="1">
            <w:r w:rsidRPr="00883153">
              <w:rPr>
                <w:rStyle w:val="Hyperlink"/>
                <w:rFonts w:cs="Segoe UI"/>
                <w:noProof/>
                <w:spacing w:val="-9"/>
              </w:rPr>
              <w:t>6.</w:t>
            </w:r>
            <w:r w:rsidRPr="00883153">
              <w:rPr>
                <w:rStyle w:val="Hyperlink"/>
                <w:noProof/>
              </w:rPr>
              <w:t xml:space="preserve">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_Toc221044336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097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0EB02" w14:textId="068AAA4F" w:rsidR="00465D89" w:rsidRDefault="00465D89">
          <w:pPr>
            <w:pStyle w:val="Sumrio1"/>
            <w:tabs>
              <w:tab w:val="right" w:leader="dot" w:pos="9395"/>
            </w:tabs>
            <w:rPr>
              <w:rFonts w:asciiTheme="minorHAnsi" w:hAnsiTheme="minorHAnsi"/>
              <w:noProof/>
              <w:kern w:val="2"/>
              <w:lang w:eastAsia="pt-BR"/>
              <w14:ligatures w14:val="standardContextual"/>
            </w:rPr>
          </w:pPr>
          <w:hyperlink w:anchor="_Toc221044337" w:history="1">
            <w:r w:rsidRPr="00883153">
              <w:rPr>
                <w:rStyle w:val="Hyperlink"/>
                <w:noProof/>
              </w:rPr>
              <w:t>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097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FE2CC" w14:textId="4474990C" w:rsidR="00CB37D0" w:rsidRDefault="00CB37D0">
          <w:r>
            <w:rPr>
              <w:b/>
              <w:bCs/>
            </w:rPr>
            <w:fldChar w:fldCharType="end"/>
          </w:r>
        </w:p>
      </w:sdtContent>
    </w:sdt>
    <w:p w14:paraId="341A4794" w14:textId="77777777" w:rsidR="00CB37D0" w:rsidRDefault="00CB37D0" w:rsidP="00CB37D0">
      <w:pPr>
        <w:pStyle w:val="FirstParagraph"/>
      </w:pPr>
    </w:p>
    <w:p w14:paraId="3958266C" w14:textId="77777777" w:rsidR="00CB37D0" w:rsidRDefault="00CB37D0">
      <w:pPr>
        <w:rPr>
          <w:rFonts w:eastAsiaTheme="majorEastAsia" w:cstheme="majorBidi"/>
          <w:b/>
          <w:szCs w:val="40"/>
        </w:rPr>
      </w:pPr>
      <w:r>
        <w:br w:type="page"/>
      </w:r>
    </w:p>
    <w:p w14:paraId="3C49DB72" w14:textId="77777777" w:rsidR="00CB37D0" w:rsidRDefault="00CB37D0" w:rsidP="00BB2C24">
      <w:pPr>
        <w:pStyle w:val="Ttulo1"/>
        <w:numPr>
          <w:ilvl w:val="0"/>
          <w:numId w:val="2"/>
        </w:numPr>
        <w:sectPr w:rsidR="00CB37D0" w:rsidSect="00D108B5">
          <w:footnotePr>
            <w:numRestart w:val="eachSect"/>
          </w:footnotePr>
          <w:pgSz w:w="12240" w:h="15840"/>
          <w:pgMar w:top="1701" w:right="1134" w:bottom="1134" w:left="1701" w:header="720" w:footer="720" w:gutter="0"/>
          <w:cols w:space="720"/>
          <w:docGrid w:linePitch="326"/>
        </w:sectPr>
      </w:pPr>
    </w:p>
    <w:p w14:paraId="657FE027" w14:textId="552CF8F8" w:rsidR="00865096" w:rsidRPr="00BB2C24" w:rsidRDefault="00D108B5" w:rsidP="00BB2C24">
      <w:pPr>
        <w:pStyle w:val="Ttulo1"/>
        <w:numPr>
          <w:ilvl w:val="0"/>
          <w:numId w:val="2"/>
        </w:numPr>
      </w:pPr>
      <w:bookmarkStart w:id="1" w:name="_Toc221044331"/>
      <w:r w:rsidRPr="00BB2C24">
        <w:lastRenderedPageBreak/>
        <w:t>INTRODUÇÃO</w:t>
      </w:r>
      <w:bookmarkEnd w:id="1"/>
    </w:p>
    <w:p w14:paraId="657FE028" w14:textId="77777777" w:rsidR="00865096" w:rsidRPr="00BB2C24" w:rsidRDefault="00D108B5" w:rsidP="0063285C">
      <w:pPr>
        <w:pStyle w:val="FirstParagraph"/>
        <w:ind w:firstLine="720"/>
      </w:pPr>
      <w:r w:rsidRPr="00BB2C24">
        <w:t>O crescimento do e-commerce brasileiro tornou a logística um fator crítico para a competitividade, onde a eficiência na entrega e o cumprimento de prazos impactam diretamente a satisfação do cliente e indicadores estratégicos, como o faturamento e a frequência de compra. Diante dessa complexidade, o presente trabalho utiliza um conjunto de dados reais para investigar como o desempenho operacional, com foco especial nos atrasos de entrega, influencia o comportamento do consumidor e as métricas de negócio.</w:t>
      </w:r>
    </w:p>
    <w:p w14:paraId="657FE029" w14:textId="77777777" w:rsidR="00865096" w:rsidRPr="00BB2C24" w:rsidRDefault="00D108B5" w:rsidP="0063285C">
      <w:pPr>
        <w:pStyle w:val="Corpodetexto"/>
        <w:ind w:firstLine="720"/>
      </w:pPr>
      <w:r w:rsidRPr="00BB2C24">
        <w:t>A metodologia foi dividida em duas fases complementares: primeiramente, utilizou-se scripts em Python para a exploração dos dados de pedidos, pagamentos e logística. Em seguida, os dados foram exportados para o Power BI, onde foi desenvolvido um dashboard interativo para permitir a visualização clara de gargalos e facilitar a interpretação de tendências de mercado.</w:t>
      </w:r>
    </w:p>
    <w:p w14:paraId="657FE02A" w14:textId="77777777" w:rsidR="00865096" w:rsidRPr="00BB2C24" w:rsidRDefault="00D108B5" w:rsidP="0063285C">
      <w:pPr>
        <w:pStyle w:val="Corpodetexto"/>
        <w:ind w:firstLine="720"/>
      </w:pPr>
      <w:r w:rsidRPr="00BB2C24">
        <w:t xml:space="preserve">A estrutura da análise está organizada em três eixos: visão geral do negócio, evolução histórica das vendas e análise técnica de logística (SLA). O objetivo é demonstrar como a transformação de dados transacionais em </w:t>
      </w:r>
      <w:r w:rsidRPr="00BB2C24">
        <w:rPr>
          <w:i/>
          <w:iCs/>
        </w:rPr>
        <w:t>insights</w:t>
      </w:r>
      <w:r w:rsidRPr="00BB2C24">
        <w:t xml:space="preserve"> estratégicos pode orientar decisões mais precisas, permitindo que as empresas otimizem suas operações e melhorem a experiência do cliente em um cenário de alta competitividade.</w:t>
      </w:r>
    </w:p>
    <w:p w14:paraId="606F7FAA" w14:textId="77777777" w:rsidR="00BB2C24" w:rsidRPr="00BB2C24" w:rsidRDefault="00BB2C24" w:rsidP="0063285C">
      <w:pPr>
        <w:pStyle w:val="Corpodetexto"/>
        <w:ind w:firstLine="720"/>
      </w:pPr>
    </w:p>
    <w:p w14:paraId="5ACAB2E3" w14:textId="38BE130B" w:rsidR="00BB2C24" w:rsidRPr="00BB2C24" w:rsidRDefault="00D108B5" w:rsidP="00BB2C24">
      <w:pPr>
        <w:pStyle w:val="Ttulo1"/>
        <w:numPr>
          <w:ilvl w:val="0"/>
          <w:numId w:val="2"/>
        </w:numPr>
      </w:pPr>
      <w:bookmarkStart w:id="2" w:name="contexto-dos-dados"/>
      <w:bookmarkStart w:id="3" w:name="_Toc221044332"/>
      <w:bookmarkEnd w:id="0"/>
      <w:r w:rsidRPr="00BB2C24">
        <w:t>CONTEXTO DOS DADOS</w:t>
      </w:r>
      <w:bookmarkEnd w:id="3"/>
    </w:p>
    <w:p w14:paraId="657FE02C" w14:textId="77777777" w:rsidR="00865096" w:rsidRPr="00BB2C24" w:rsidRDefault="00D108B5" w:rsidP="0063285C">
      <w:pPr>
        <w:pStyle w:val="FirstParagraph"/>
        <w:ind w:firstLine="720"/>
      </w:pPr>
      <w:r w:rsidRPr="00BB2C24">
        <w:t xml:space="preserve">Os dados analisados neste estudo são da Olist, empresa brasileira de e-commerce, e foram obtidos na plataforma </w:t>
      </w:r>
      <w:proofErr w:type="spellStart"/>
      <w:r w:rsidRPr="00BB2C24">
        <w:rPr>
          <w:i/>
          <w:iCs/>
        </w:rPr>
        <w:t>Kaggle</w:t>
      </w:r>
      <w:proofErr w:type="spellEnd"/>
      <w:r w:rsidRPr="00BB2C24">
        <w:t xml:space="preserve">, amplamente reconhecida por disponibilizar </w:t>
      </w:r>
      <w:proofErr w:type="spellStart"/>
      <w:r w:rsidRPr="00BB2C24">
        <w:t>datasets</w:t>
      </w:r>
      <w:proofErr w:type="spellEnd"/>
      <w:r w:rsidRPr="00BB2C24">
        <w:t xml:space="preserve"> públicos de diversas áreas para pesquisa e desenvolvimento. O conjunto de dados reúne informações reais do comércio eletrônico no Brasil e permite explorar aspectos relevantes do desempenho logístico, como pedidos, pagamentos, envios, reviews, clientes e vendedores. O material pode ser acessado em </w:t>
      </w:r>
      <w:hyperlink r:id="rId8">
        <w:r w:rsidRPr="00946D98">
          <w:rPr>
            <w:rStyle w:val="Hyperlink"/>
            <w:color w:val="auto"/>
          </w:rPr>
          <w:t>https://www.kaggle.com/datasets/olistbr/brazilian-ecommerce/data</w:t>
        </w:r>
      </w:hyperlink>
      <w:r w:rsidRPr="00BB2C24">
        <w:t>.</w:t>
      </w:r>
    </w:p>
    <w:p w14:paraId="657FE02D" w14:textId="77777777" w:rsidR="00865096" w:rsidRPr="00BB2C24" w:rsidRDefault="00D108B5" w:rsidP="0063285C">
      <w:pPr>
        <w:pStyle w:val="Corpodetexto"/>
        <w:ind w:firstLine="720"/>
      </w:pPr>
      <w:r w:rsidRPr="00BB2C24">
        <w:t>Esse conjunto de dados é bastante robusto, reunindo mais de cem mil registros, o que oferece uma base sólida para análises com boa representatividade. A amplitude do volume permite observar padrões, tendências e variações com maior segurança, enriquecendo as conclusões do estudo.</w:t>
      </w:r>
    </w:p>
    <w:p w14:paraId="657FE02E" w14:textId="77777777" w:rsidR="00865096" w:rsidRPr="00BB2C24" w:rsidRDefault="00D108B5" w:rsidP="0063285C">
      <w:pPr>
        <w:pStyle w:val="Corpodetexto"/>
        <w:ind w:firstLine="720"/>
      </w:pPr>
      <w:r w:rsidRPr="00BB2C24">
        <w:lastRenderedPageBreak/>
        <w:t>Os dados abrangem o período de 2016, 2017 e 2018, possibilitando uma visão evolutiva do comportamento do e-commerce brasileiro ao longo de três anos consecutivos. Essa janela temporal facilita comparações entre ciclos e ajuda a identificar mudanças relevantes no desempenho logístico.</w:t>
      </w:r>
    </w:p>
    <w:p w14:paraId="2F7189AD" w14:textId="77777777" w:rsidR="00BB2C24" w:rsidRPr="00BB2C24" w:rsidRDefault="00BB2C24" w:rsidP="0063285C">
      <w:pPr>
        <w:pStyle w:val="Corpodetexto"/>
        <w:ind w:firstLine="720"/>
      </w:pPr>
    </w:p>
    <w:p w14:paraId="405E5E7A" w14:textId="475CB9ED" w:rsidR="00BB2C24" w:rsidRPr="00BB2C24" w:rsidRDefault="00D108B5" w:rsidP="00BB2C24">
      <w:pPr>
        <w:pStyle w:val="Ttulo1"/>
        <w:numPr>
          <w:ilvl w:val="0"/>
          <w:numId w:val="2"/>
        </w:numPr>
      </w:pPr>
      <w:bookmarkStart w:id="4" w:name="metodologia"/>
      <w:bookmarkStart w:id="5" w:name="_Toc221044333"/>
      <w:bookmarkEnd w:id="2"/>
      <w:r w:rsidRPr="00BB2C24">
        <w:t>METODOLOGIA</w:t>
      </w:r>
      <w:bookmarkEnd w:id="5"/>
    </w:p>
    <w:p w14:paraId="657FE030" w14:textId="77777777" w:rsidR="00865096" w:rsidRPr="00BB2C24" w:rsidRDefault="00D108B5" w:rsidP="0063285C">
      <w:pPr>
        <w:pStyle w:val="FirstParagraph"/>
        <w:ind w:firstLine="720"/>
      </w:pPr>
      <w:r w:rsidRPr="00BB2C24">
        <w:t xml:space="preserve">Nesta seção, apresentam-se os principais blocos do trabalho: análise, modelagem, visualização e </w:t>
      </w:r>
      <w:proofErr w:type="spellStart"/>
      <w:r w:rsidRPr="00946D98">
        <w:rPr>
          <w:i/>
          <w:iCs/>
        </w:rPr>
        <w:t>storytelling</w:t>
      </w:r>
      <w:proofErr w:type="spellEnd"/>
      <w:r w:rsidRPr="00BB2C24">
        <w:t>, destacando como cada etapa contribui para a construção e comunicação dos resultados.</w:t>
      </w:r>
    </w:p>
    <w:p w14:paraId="6C95B6EF" w14:textId="77777777" w:rsidR="00BB2C24" w:rsidRPr="00BB2C24" w:rsidRDefault="00BB2C24" w:rsidP="00BB2C24">
      <w:pPr>
        <w:pStyle w:val="Corpodetexto"/>
      </w:pPr>
    </w:p>
    <w:p w14:paraId="4BBA084F" w14:textId="14045EC9" w:rsidR="00BB2C24" w:rsidRPr="00BB2C24" w:rsidRDefault="00D108B5" w:rsidP="00BB2C24">
      <w:pPr>
        <w:pStyle w:val="Ttulo20"/>
        <w:numPr>
          <w:ilvl w:val="0"/>
          <w:numId w:val="3"/>
        </w:numPr>
      </w:pPr>
      <w:bookmarkStart w:id="6" w:name="análise-dos-dados-python"/>
      <w:r w:rsidRPr="00BB2C24">
        <w:t>Análise dos Dados (Python)</w:t>
      </w:r>
    </w:p>
    <w:p w14:paraId="657FE032" w14:textId="77777777" w:rsidR="00865096" w:rsidRPr="00BB2C24" w:rsidRDefault="00D108B5" w:rsidP="0063285C">
      <w:pPr>
        <w:pStyle w:val="FirstParagraph"/>
        <w:ind w:firstLine="720"/>
      </w:pPr>
      <w:r w:rsidRPr="00BB2C24">
        <w:t>A análise por meio de scripts em Python revelou que os dados de 2016 são pouco representativos. De um universo superior a 99 mil pedidos, apenas 312 pertencem a esse ano. Por essa razão, optou-se por considerar apenas os dados de 2017 e 2018, com aproximadamente 45 mil e 54 mil pedidos, respectivamente, garantindo maior consistência estatística.</w:t>
      </w:r>
    </w:p>
    <w:p w14:paraId="657FE033" w14:textId="77777777" w:rsidR="00865096" w:rsidRPr="00946D98" w:rsidRDefault="00D108B5" w:rsidP="0063285C">
      <w:pPr>
        <w:pStyle w:val="Corpodetexto"/>
        <w:ind w:firstLine="720"/>
      </w:pPr>
      <w:r w:rsidRPr="00BB2C24">
        <w:t xml:space="preserve">O uso da linguagem Python foi essencial nessa etapa, pois oferece agilidade e precisão no tratamento de grandes volumes de dados. Para as análises, utilizaram-se principalmente as bibliotecas Pandas, para manipulação e limpeza das tabelas, e </w:t>
      </w:r>
      <w:proofErr w:type="spellStart"/>
      <w:r w:rsidRPr="00BB2C24">
        <w:t>Plotly</w:t>
      </w:r>
      <w:proofErr w:type="spellEnd"/>
      <w:r w:rsidRPr="00BB2C24">
        <w:t xml:space="preserve">, para visualizações interativas e mais informativas. Os scripts em questão podem ser acessados no repositório do GitHub </w:t>
      </w:r>
      <w:hyperlink r:id="rId9">
        <w:r w:rsidRPr="00946D98">
          <w:rPr>
            <w:rStyle w:val="Hyperlink"/>
            <w:color w:val="auto"/>
          </w:rPr>
          <w:t>https://github.com/cidade-felipe/ecommerce-shipping-analytics</w:t>
        </w:r>
      </w:hyperlink>
      <w:r w:rsidRPr="00946D98">
        <w:t>.</w:t>
      </w:r>
    </w:p>
    <w:p w14:paraId="54484527" w14:textId="77777777" w:rsidR="00BB2C24" w:rsidRPr="00BB2C24" w:rsidRDefault="00BB2C24" w:rsidP="0063285C">
      <w:pPr>
        <w:pStyle w:val="Corpodetexto"/>
        <w:ind w:firstLine="720"/>
      </w:pPr>
    </w:p>
    <w:p w14:paraId="7B3D2840" w14:textId="6E60E49B" w:rsidR="00BB2C24" w:rsidRPr="00BB2C24" w:rsidRDefault="00D108B5" w:rsidP="00BB2C24">
      <w:pPr>
        <w:pStyle w:val="Ttulo20"/>
        <w:numPr>
          <w:ilvl w:val="0"/>
          <w:numId w:val="3"/>
        </w:numPr>
      </w:pPr>
      <w:bookmarkStart w:id="7" w:name="modelagem-analítica"/>
      <w:bookmarkEnd w:id="6"/>
      <w:r w:rsidRPr="00BB2C24">
        <w:t>Modelagem Analítica</w:t>
      </w:r>
    </w:p>
    <w:p w14:paraId="657FE035" w14:textId="41AF4028" w:rsidR="00865096" w:rsidRPr="00BB2C24" w:rsidRDefault="00D108B5" w:rsidP="0063285C">
      <w:pPr>
        <w:pStyle w:val="FirstParagraph"/>
        <w:ind w:firstLine="720"/>
      </w:pPr>
      <w:r w:rsidRPr="00BB2C24">
        <w:t>A modelagem analítica teve como objetivo transformar dados transacionais em métricas consistentes de negócio, capazes de sustentar análises comparáveis ao longo do tempo e entre diferentes recortes. Foram definidas métricas comerciais como GMV (</w:t>
      </w:r>
      <w:r w:rsidRPr="00BB2C24">
        <w:rPr>
          <w:i/>
          <w:iCs/>
        </w:rPr>
        <w:t xml:space="preserve">Gross </w:t>
      </w:r>
      <w:proofErr w:type="spellStart"/>
      <w:r w:rsidRPr="00BB2C24">
        <w:rPr>
          <w:i/>
          <w:iCs/>
        </w:rPr>
        <w:t>Merchandise</w:t>
      </w:r>
      <w:proofErr w:type="spellEnd"/>
      <w:r w:rsidRPr="00BB2C24">
        <w:rPr>
          <w:i/>
          <w:iCs/>
        </w:rPr>
        <w:t xml:space="preserve"> </w:t>
      </w:r>
      <w:proofErr w:type="spellStart"/>
      <w:r w:rsidRPr="00BB2C24">
        <w:rPr>
          <w:i/>
          <w:iCs/>
        </w:rPr>
        <w:t>Value</w:t>
      </w:r>
      <w:proofErr w:type="spellEnd"/>
      <w:r w:rsidRPr="00BB2C24">
        <w:t xml:space="preserve">), calculado a partir da soma do valor dos itens e do frete, além do ticket médio por pedido, permitindo distinguir crescimento por volume de crescimento por valor. Essas métricas foram estruturadas para respeitar a </w:t>
      </w:r>
      <w:r w:rsidRPr="00BB2C24">
        <w:lastRenderedPageBreak/>
        <w:t>granularidade dos dados e os filtros aplicados, garantindo coerência nas análises por período, região e status do pedido.</w:t>
      </w:r>
    </w:p>
    <w:p w14:paraId="657FE036" w14:textId="77777777" w:rsidR="00865096" w:rsidRPr="00BB2C24" w:rsidRDefault="00D108B5" w:rsidP="0063285C">
      <w:pPr>
        <w:pStyle w:val="Corpodetexto"/>
        <w:ind w:firstLine="720"/>
      </w:pPr>
      <w:r w:rsidRPr="00BB2C24">
        <w:t>Em paralelo, foram construídas métricas operacionais voltadas ao desempenho logístico e ao cumprimento de SLA, como percentual de pedidos entregues, percentual de pedidos atrasados, tempo médio de entrega e quantidade média de dias de atraso. O atraso foi definido como a diferença entre a data real de entrega e a data estimada informada ao cliente, permitindo avaliar tanto a ocorrência quanto a intensidade do problema. Para viabilizar análises temporais consistentes, utilizou-se uma tabela calendário dedicada, com comparações mês a mês (</w:t>
      </w:r>
      <w:proofErr w:type="spellStart"/>
      <w:r w:rsidRPr="00BB2C24">
        <w:t>MoM</w:t>
      </w:r>
      <w:proofErr w:type="spellEnd"/>
      <w:r w:rsidRPr="00BB2C24">
        <w:t>) e ano contra ano (</w:t>
      </w:r>
      <w:proofErr w:type="spellStart"/>
      <w:r w:rsidRPr="00BB2C24">
        <w:t>YoY</w:t>
      </w:r>
      <w:proofErr w:type="spellEnd"/>
      <w:r w:rsidRPr="00BB2C24">
        <w:t>), separando análises descritivas do “o que está acontecendo” de análises analíticas que investigam relações e impactos, como o efeito de atrasos no ticket médio e na satisfação do cliente.</w:t>
      </w:r>
    </w:p>
    <w:p w14:paraId="76C41FDE" w14:textId="77777777" w:rsidR="00BB2C24" w:rsidRPr="00BB2C24" w:rsidRDefault="00BB2C24" w:rsidP="0063285C">
      <w:pPr>
        <w:pStyle w:val="Corpodetexto"/>
        <w:ind w:firstLine="720"/>
      </w:pPr>
    </w:p>
    <w:p w14:paraId="1568B953" w14:textId="51C59FE5" w:rsidR="00BB2C24" w:rsidRPr="00C8664A" w:rsidRDefault="00D108B5" w:rsidP="00BB2C24">
      <w:pPr>
        <w:pStyle w:val="Ttulo20"/>
        <w:numPr>
          <w:ilvl w:val="0"/>
          <w:numId w:val="3"/>
        </w:numPr>
        <w:rPr>
          <w:lang w:val="en-US"/>
        </w:rPr>
      </w:pPr>
      <w:bookmarkStart w:id="8" w:name="visualização-e-storytelling-power-bi"/>
      <w:bookmarkEnd w:id="7"/>
      <w:proofErr w:type="spellStart"/>
      <w:r w:rsidRPr="00C8664A">
        <w:rPr>
          <w:lang w:val="en-US"/>
        </w:rPr>
        <w:t>Visualização</w:t>
      </w:r>
      <w:proofErr w:type="spellEnd"/>
      <w:r w:rsidRPr="00C8664A">
        <w:rPr>
          <w:lang w:val="en-US"/>
        </w:rPr>
        <w:t xml:space="preserve"> e </w:t>
      </w:r>
      <w:r w:rsidRPr="00C8664A">
        <w:rPr>
          <w:i/>
          <w:lang w:val="en-US"/>
        </w:rPr>
        <w:t>Storytelling</w:t>
      </w:r>
      <w:r w:rsidRPr="00C8664A">
        <w:rPr>
          <w:lang w:val="en-US"/>
        </w:rPr>
        <w:t xml:space="preserve"> (Power BI)</w:t>
      </w:r>
    </w:p>
    <w:p w14:paraId="657FE038" w14:textId="49351B64" w:rsidR="00865096" w:rsidRPr="00BB2C24" w:rsidRDefault="00D108B5" w:rsidP="0063285C">
      <w:pPr>
        <w:pStyle w:val="FirstParagraph"/>
        <w:ind w:firstLine="720"/>
      </w:pPr>
      <w:r w:rsidRPr="00BB2C24">
        <w:t xml:space="preserve">A etapa de visualização foi concebida com foco em </w:t>
      </w:r>
      <w:proofErr w:type="spellStart"/>
      <w:r w:rsidRPr="00BB2C24">
        <w:rPr>
          <w:i/>
          <w:iCs/>
        </w:rPr>
        <w:t>storytelling</w:t>
      </w:r>
      <w:proofErr w:type="spellEnd"/>
      <w:r w:rsidRPr="00BB2C24">
        <w:t xml:space="preserve"> analítico e apoio à tomada de decisão, utilizando dashboards interativos para transformar métricas e análises em leituras claras e acionáveis. O desenho priorizou a organização da informação em camadas, evitando sobrecarga visual e permitindo que o leitor avance do entendimento macro do negócio para recortes mais específicos. Cada visual foi selecionado com base na pergunta que precisava responder, e não apenas por estética ou conveniência de gráfico.</w:t>
      </w:r>
    </w:p>
    <w:p w14:paraId="657FE039" w14:textId="5222A970" w:rsidR="00865096" w:rsidRPr="00BB2C24" w:rsidRDefault="00D108B5" w:rsidP="0063285C">
      <w:pPr>
        <w:pStyle w:val="Corpodetexto"/>
        <w:ind w:firstLine="720"/>
      </w:pPr>
      <w:r w:rsidRPr="00BB2C24">
        <w:t xml:space="preserve">O </w:t>
      </w:r>
      <w:r w:rsidRPr="00BB2C24">
        <w:rPr>
          <w:i/>
          <w:iCs/>
        </w:rPr>
        <w:t>dashboard</w:t>
      </w:r>
      <w:r w:rsidRPr="00BB2C24">
        <w:t xml:space="preserve"> foi estruturado em três páginas com papéis analíticos distintos: uma visão geral com indicadores-chave (GMV, pedidos entregues, </w:t>
      </w:r>
      <w:r w:rsidRPr="00BB2C24">
        <w:rPr>
          <w:i/>
          <w:iCs/>
        </w:rPr>
        <w:t>ticket</w:t>
      </w:r>
      <w:r w:rsidRPr="00BB2C24">
        <w:t xml:space="preserve"> médio, taxa de atraso, tempo médio de entrega e avaliação de clientes), uma página temporal com análises </w:t>
      </w:r>
      <w:proofErr w:type="spellStart"/>
      <w:r w:rsidRPr="00BB2C24">
        <w:t>MoM</w:t>
      </w:r>
      <w:proofErr w:type="spellEnd"/>
      <w:r w:rsidRPr="00BB2C24">
        <w:t xml:space="preserve"> e </w:t>
      </w:r>
      <w:proofErr w:type="spellStart"/>
      <w:r w:rsidRPr="00BB2C24">
        <w:t>YoY</w:t>
      </w:r>
      <w:proofErr w:type="spellEnd"/>
      <w:r w:rsidRPr="00BB2C24">
        <w:t xml:space="preserve"> e relações entre volume de pedidos e </w:t>
      </w:r>
      <w:r w:rsidRPr="00BB2C24">
        <w:rPr>
          <w:i/>
          <w:iCs/>
        </w:rPr>
        <w:t>ticket</w:t>
      </w:r>
      <w:r w:rsidRPr="00BB2C24">
        <w:t xml:space="preserve"> médio, e uma página operacional focada em SLA, impactos financeiros e experiência do cliente, incluindo recortes geográficos. Essa arquitetura separa análises descritivas do “o que está acontecendo” de análises analíticas sobre evolução e impacto, enquanto insights textuais estratégicos reforçam a interpretação dos dados e orientam conclusões relevantes. As páginas deste </w:t>
      </w:r>
      <w:r w:rsidRPr="00BB2C24">
        <w:rPr>
          <w:i/>
          <w:iCs/>
        </w:rPr>
        <w:t>dashboard</w:t>
      </w:r>
      <w:r w:rsidRPr="00BB2C24">
        <w:t xml:space="preserve"> podem ser </w:t>
      </w:r>
      <w:r w:rsidR="0063285C" w:rsidRPr="00BB2C24">
        <w:t>vistas</w:t>
      </w:r>
      <w:r w:rsidRPr="00BB2C24">
        <w:t xml:space="preserve"> na seção de apêndices.</w:t>
      </w:r>
    </w:p>
    <w:p w14:paraId="59013F39" w14:textId="77777777" w:rsidR="00BB2C24" w:rsidRPr="00BB2C24" w:rsidRDefault="00BB2C24" w:rsidP="0063285C">
      <w:pPr>
        <w:pStyle w:val="Corpodetexto"/>
        <w:ind w:firstLine="720"/>
      </w:pPr>
    </w:p>
    <w:p w14:paraId="657FE03A" w14:textId="1850D6BB" w:rsidR="00865096" w:rsidRPr="00BB2C24" w:rsidRDefault="00D108B5" w:rsidP="00BB2C24">
      <w:pPr>
        <w:pStyle w:val="Ttulo1"/>
        <w:numPr>
          <w:ilvl w:val="0"/>
          <w:numId w:val="2"/>
        </w:numPr>
      </w:pPr>
      <w:bookmarkStart w:id="9" w:name="resultados-e-análises"/>
      <w:bookmarkStart w:id="10" w:name="_Toc221044334"/>
      <w:bookmarkEnd w:id="4"/>
      <w:bookmarkEnd w:id="8"/>
      <w:r w:rsidRPr="00BB2C24">
        <w:lastRenderedPageBreak/>
        <w:t>RESULTADOS E ANÁLISES</w:t>
      </w:r>
      <w:bookmarkEnd w:id="10"/>
    </w:p>
    <w:p w14:paraId="657FE03B" w14:textId="37FBA37A" w:rsidR="00865096" w:rsidRPr="00BB2C24" w:rsidRDefault="00D108B5" w:rsidP="00D108B5">
      <w:pPr>
        <w:pStyle w:val="FirstParagraph"/>
        <w:ind w:firstLine="720"/>
      </w:pPr>
      <w:r w:rsidRPr="00BB2C24">
        <w:t>Nesta seção, apresentam-se os insights extraídos de cada uma das três páginas do dashboard: a primeira traz o panorama do negócio, a segunda explora o comportamento ao longo do tempo e a terceira foca no desempenho operacional e no nível de serviço, considerando 2017 e 2018 de forma consolidada para garantir maior robustez e comparabilidade das análises.</w:t>
      </w:r>
    </w:p>
    <w:p w14:paraId="562B73F5" w14:textId="77777777" w:rsidR="00BB2C24" w:rsidRPr="00BB2C24" w:rsidRDefault="00BB2C24" w:rsidP="00BB2C24">
      <w:pPr>
        <w:pStyle w:val="Corpodetexto"/>
      </w:pPr>
    </w:p>
    <w:p w14:paraId="657FE03C" w14:textId="38ADE264" w:rsidR="00865096" w:rsidRPr="00BB2C24" w:rsidRDefault="00D108B5" w:rsidP="00BB2C24">
      <w:pPr>
        <w:pStyle w:val="Ttulo20"/>
        <w:numPr>
          <w:ilvl w:val="0"/>
          <w:numId w:val="4"/>
        </w:numPr>
      </w:pPr>
      <w:bookmarkStart w:id="11" w:name="visão-geral-do-negócio"/>
      <w:r w:rsidRPr="00BB2C24">
        <w:t>Visão geral do negócio</w:t>
      </w:r>
    </w:p>
    <w:p w14:paraId="657FE03D" w14:textId="77777777" w:rsidR="00865096" w:rsidRPr="00BB2C24" w:rsidRDefault="00D108B5" w:rsidP="00D108B5">
      <w:pPr>
        <w:pStyle w:val="FirstParagraph"/>
        <w:ind w:firstLine="720"/>
      </w:pPr>
      <w:r w:rsidRPr="00BB2C24">
        <w:t>Nesta página, avaliaram-se os dados gerais dos pedidos, com foco nos entregues. Relacionaram-se a quantidade de pedidos às taxas de entrega e atraso, ao GMV e às avaliações dos clientes.</w:t>
      </w:r>
    </w:p>
    <w:p w14:paraId="657FE03E" w14:textId="77777777" w:rsidR="00865096" w:rsidRPr="00BB2C24" w:rsidRDefault="00D108B5">
      <w:pPr>
        <w:pStyle w:val="Corpodetexto"/>
      </w:pPr>
      <w:r w:rsidRPr="00BB2C24">
        <w:t>Foram realizados aproximadamente 98,7 mil pedidos, dos quais 97,78% foram entregues (cerca de 96,5 mil). Desses, 93,23% chegaram dentro do prazo e 6,77% chegaram atrasados.</w:t>
      </w:r>
    </w:p>
    <w:p w14:paraId="38268583" w14:textId="77777777" w:rsidR="000032BD" w:rsidRDefault="00D108B5" w:rsidP="000032BD">
      <w:pPr>
        <w:pStyle w:val="Corpodetexto"/>
        <w:ind w:firstLine="720"/>
      </w:pPr>
      <w:r w:rsidRPr="00BB2C24">
        <w:t>O GMV dos pedidos entregues alcançou 1,61 bilhão de reais. As categorias de beleza e saúde foram as principais contribuidoras, com GMV beirando os 146 milhões de reais. Entre os meios de pagamento, o cartão de crédito lidera com cerca de 1,24 bilhão de reais (76,84%), enquanto o cartão de débito apresenta o menor volume, em torno</w:t>
      </w:r>
      <w:r w:rsidR="000032BD">
        <w:t> </w:t>
      </w:r>
      <w:r w:rsidRPr="00BB2C24">
        <w:t>de</w:t>
      </w:r>
      <w:r w:rsidR="000032BD">
        <w:t> </w:t>
      </w:r>
      <w:r w:rsidRPr="00BB2C24">
        <w:t>20,86</w:t>
      </w:r>
      <w:r w:rsidR="000032BD">
        <w:t> </w:t>
      </w:r>
      <w:r w:rsidRPr="00BB2C24">
        <w:t>milhões</w:t>
      </w:r>
      <w:r w:rsidR="000032BD">
        <w:t> </w:t>
      </w:r>
      <w:r w:rsidRPr="00BB2C24">
        <w:t>de</w:t>
      </w:r>
      <w:r w:rsidR="000032BD">
        <w:t> </w:t>
      </w:r>
      <w:r w:rsidRPr="00BB2C24">
        <w:t>reais</w:t>
      </w:r>
      <w:r w:rsidR="000032BD">
        <w:t> </w:t>
      </w:r>
      <w:r w:rsidRPr="00BB2C24">
        <w:t>(1,29%).</w:t>
      </w:r>
    </w:p>
    <w:p w14:paraId="657FE040" w14:textId="23561313" w:rsidR="00865096" w:rsidRPr="00BB2C24" w:rsidRDefault="00D108B5" w:rsidP="000032BD">
      <w:pPr>
        <w:pStyle w:val="Corpodetexto"/>
        <w:ind w:firstLine="720"/>
      </w:pPr>
      <w:r w:rsidRPr="00BB2C24">
        <w:rPr>
          <w:noProof/>
        </w:rPr>
        <w:drawing>
          <wp:inline distT="0" distB="0" distL="0" distR="0" wp14:anchorId="657FE062" wp14:editId="462AEAA1">
            <wp:extent cx="4903287" cy="1569811"/>
            <wp:effectExtent l="0" t="0" r="0" b="0"/>
            <wp:docPr id="18" name="Picture" descr="gmv_meio_pg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../figures/gmv_meio_pgto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7691" cy="1571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FE042" w14:textId="77777777" w:rsidR="00865096" w:rsidRPr="00BB2C24" w:rsidRDefault="00D108B5" w:rsidP="000032BD">
      <w:pPr>
        <w:pStyle w:val="CaptionedFigure"/>
        <w:jc w:val="center"/>
      </w:pPr>
      <w:r w:rsidRPr="00BB2C24">
        <w:rPr>
          <w:noProof/>
        </w:rPr>
        <w:lastRenderedPageBreak/>
        <w:drawing>
          <wp:inline distT="0" distB="0" distL="0" distR="0" wp14:anchorId="657FE064" wp14:editId="657FE065">
            <wp:extent cx="5334000" cy="2350976"/>
            <wp:effectExtent l="0" t="0" r="0" b="0"/>
            <wp:docPr id="21" name="Picture" descr="top_10_categoria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../figures/top_10_categoria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0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FE043" w14:textId="38849C09" w:rsidR="00865096" w:rsidRPr="00BB2C24" w:rsidRDefault="00865096">
      <w:pPr>
        <w:pStyle w:val="ImageCaption"/>
      </w:pPr>
    </w:p>
    <w:p w14:paraId="657FE044" w14:textId="77777777" w:rsidR="00865096" w:rsidRPr="00BB2C24" w:rsidRDefault="00D108B5" w:rsidP="00D108B5">
      <w:pPr>
        <w:pStyle w:val="Corpodetexto"/>
        <w:ind w:firstLine="720"/>
      </w:pPr>
      <w:r w:rsidRPr="00BB2C24">
        <w:t>A avaliação média dos produtos entregues é 4,16 (escala de 0 a 5). Para entregas no prazo, a média sobe para 4,29; para entregas atrasadas, cai para 2,27, uma redução de 47,1%.</w:t>
      </w:r>
    </w:p>
    <w:p w14:paraId="629B2ABC" w14:textId="77777777" w:rsidR="00BB2C24" w:rsidRPr="00BB2C24" w:rsidRDefault="00BB2C24" w:rsidP="00D108B5">
      <w:pPr>
        <w:pStyle w:val="Corpodetexto"/>
        <w:ind w:firstLine="720"/>
      </w:pPr>
    </w:p>
    <w:p w14:paraId="657FE045" w14:textId="1494B198" w:rsidR="00865096" w:rsidRPr="00BB2C24" w:rsidRDefault="00D108B5" w:rsidP="00BB2C24">
      <w:pPr>
        <w:pStyle w:val="Ttulo20"/>
        <w:numPr>
          <w:ilvl w:val="0"/>
          <w:numId w:val="4"/>
        </w:numPr>
      </w:pPr>
      <w:bookmarkStart w:id="12" w:name="evolução-e-tendêcia"/>
      <w:bookmarkEnd w:id="11"/>
      <w:r w:rsidRPr="00BB2C24">
        <w:t xml:space="preserve">Evolução e </w:t>
      </w:r>
      <w:r w:rsidR="00BB2C24" w:rsidRPr="00BB2C24">
        <w:t>Tendência</w:t>
      </w:r>
    </w:p>
    <w:p w14:paraId="4365177A" w14:textId="77777777" w:rsidR="000032BD" w:rsidRDefault="00D108B5" w:rsidP="000032BD">
      <w:pPr>
        <w:pStyle w:val="FirstParagraph"/>
        <w:ind w:firstLine="720"/>
      </w:pPr>
      <w:r w:rsidRPr="00BB2C24">
        <w:t>Apesar de o GMV de 2018 ser superior ao de 2017, observa-se desaceleração no ritmo de crescimento. Na comparação entre os três últimos meses e o trimestre imediatamente anterior, o avanço do GMV foi 69,07% menor do que o registrado no ano precedente, indicando perda de fôlego. Essa tendência também aparece nos picos de crescimento mensal, que se tornam mais contidos ao longo do período: em fevereiro, o crescimento alcança 108,6%, enquanto em setembro ocorre retração de -100,0%, sinalizando</w:t>
      </w:r>
      <w:r w:rsidR="000032BD">
        <w:t> </w:t>
      </w:r>
      <w:r w:rsidRPr="00BB2C24">
        <w:t>inversão</w:t>
      </w:r>
      <w:r w:rsidR="000032BD">
        <w:t> </w:t>
      </w:r>
      <w:r w:rsidRPr="00BB2C24">
        <w:t>na</w:t>
      </w:r>
      <w:r w:rsidR="000032BD">
        <w:t> </w:t>
      </w:r>
      <w:r w:rsidRPr="00BB2C24">
        <w:t>trajetória.</w:t>
      </w:r>
    </w:p>
    <w:p w14:paraId="657FE047" w14:textId="5753C2CD" w:rsidR="00865096" w:rsidRPr="00BB2C24" w:rsidRDefault="00D108B5" w:rsidP="000032BD">
      <w:pPr>
        <w:pStyle w:val="FirstParagraph"/>
        <w:ind w:firstLine="720"/>
      </w:pPr>
      <w:r w:rsidRPr="00BB2C24">
        <w:rPr>
          <w:noProof/>
        </w:rPr>
        <w:drawing>
          <wp:inline distT="0" distB="0" distL="0" distR="0" wp14:anchorId="657FE066" wp14:editId="657FE067">
            <wp:extent cx="5334000" cy="1384300"/>
            <wp:effectExtent l="0" t="0" r="0" b="0"/>
            <wp:docPr id="25" name="Picture" descr="crescimento_3_mese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../figures/crescimento_3_mese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FE049" w14:textId="77777777" w:rsidR="00865096" w:rsidRPr="00BB2C24" w:rsidRDefault="00D108B5">
      <w:pPr>
        <w:pStyle w:val="CaptionedFigure"/>
      </w:pPr>
      <w:r w:rsidRPr="00BB2C24">
        <w:rPr>
          <w:noProof/>
        </w:rPr>
        <w:lastRenderedPageBreak/>
        <w:drawing>
          <wp:inline distT="0" distB="0" distL="0" distR="0" wp14:anchorId="657FE068" wp14:editId="657FE069">
            <wp:extent cx="5334000" cy="3249520"/>
            <wp:effectExtent l="0" t="0" r="0" b="0"/>
            <wp:docPr id="28" name="Picture" descr="GMV_crescimento_mensal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../figures/GMV_crescimento_mensal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9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FE04B" w14:textId="77777777" w:rsidR="00865096" w:rsidRPr="00BB2C24" w:rsidRDefault="00D108B5" w:rsidP="00D108B5">
      <w:pPr>
        <w:pStyle w:val="Corpodetexto"/>
        <w:ind w:firstLine="720"/>
      </w:pPr>
      <w:r w:rsidRPr="00BB2C24">
        <w:t>A análise evidencia correlação direta entre GMV e volume de pedidos: conforme o número de compras aumenta, o valor total transacionado também cresce. Esse comportamento confirma que a expansão do GMV está ancorada no aumento da base transacional, e não apenas em variações pontuais de preço ou de mix de produtos.</w:t>
      </w:r>
    </w:p>
    <w:p w14:paraId="657FE04C" w14:textId="77777777" w:rsidR="00865096" w:rsidRPr="00BB2C24" w:rsidRDefault="00D108B5" w:rsidP="00D108B5">
      <w:pPr>
        <w:pStyle w:val="Corpodetexto"/>
        <w:ind w:firstLine="720"/>
      </w:pPr>
      <w:r w:rsidRPr="00BB2C24">
        <w:t>Entretanto, o ticket médio não acompanha o mesmo ritmo de expansão, o que sugere que a elevação do GMV é impulsionada principalmente pela maior quantidade de pedidos, e não por um acréscimo proporcional no valor médio por compra. Em termos práticos, o crescimento observado reflete escala de demanda, com menor contribuição do aumento de gasto por pedido.</w:t>
      </w:r>
    </w:p>
    <w:p w14:paraId="657FE04D" w14:textId="77777777" w:rsidR="00865096" w:rsidRPr="00BB2C24" w:rsidRDefault="00D108B5" w:rsidP="000032BD">
      <w:pPr>
        <w:pStyle w:val="CaptionedFigure"/>
        <w:jc w:val="center"/>
      </w:pPr>
      <w:r w:rsidRPr="00BB2C24">
        <w:rPr>
          <w:noProof/>
        </w:rPr>
        <w:drawing>
          <wp:inline distT="0" distB="0" distL="0" distR="0" wp14:anchorId="657FE06A" wp14:editId="5918BCF7">
            <wp:extent cx="5932714" cy="1431471"/>
            <wp:effectExtent l="0" t="0" r="0" b="0"/>
            <wp:docPr id="31" name="Picture" descr="pedidos_ticket_medi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../figures/pedidos_ticket_medio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915" cy="14387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D3493" w14:textId="77777777" w:rsidR="00BB2C24" w:rsidRPr="00BB2C24" w:rsidRDefault="00BB2C24">
      <w:pPr>
        <w:pStyle w:val="ImageCaption"/>
      </w:pPr>
    </w:p>
    <w:p w14:paraId="657FE04F" w14:textId="6E2E6B5E" w:rsidR="00865096" w:rsidRPr="00BB2C24" w:rsidRDefault="00D108B5" w:rsidP="00BB2C24">
      <w:pPr>
        <w:pStyle w:val="Ttulo20"/>
        <w:numPr>
          <w:ilvl w:val="0"/>
          <w:numId w:val="4"/>
        </w:numPr>
      </w:pPr>
      <w:bookmarkStart w:id="13" w:name="operação-e-sla"/>
      <w:bookmarkEnd w:id="12"/>
      <w:r w:rsidRPr="00BB2C24">
        <w:lastRenderedPageBreak/>
        <w:t>Operação e SLA</w:t>
      </w:r>
    </w:p>
    <w:p w14:paraId="657FE050" w14:textId="77777777" w:rsidR="00865096" w:rsidRPr="00BB2C24" w:rsidRDefault="00D108B5" w:rsidP="00D108B5">
      <w:pPr>
        <w:pStyle w:val="FirstParagraph"/>
        <w:ind w:firstLine="720"/>
      </w:pPr>
      <w:r w:rsidRPr="00BB2C24">
        <w:t>O crescimento do GMV mantém-se relativamente estável, independentemente dos picos de atraso logístico. Ainda assim, observa-se que aumentos de atraso tendem a anteceder quedas no ticket médio, indicando possível sensibilidade do valor gasto ao desempenho de entrega.</w:t>
      </w:r>
    </w:p>
    <w:p w14:paraId="657FE051" w14:textId="77777777" w:rsidR="00865096" w:rsidRPr="00BB2C24" w:rsidRDefault="00D108B5" w:rsidP="000032BD">
      <w:pPr>
        <w:pStyle w:val="CaptionedFigure"/>
        <w:jc w:val="center"/>
      </w:pPr>
      <w:r w:rsidRPr="00BB2C24">
        <w:rPr>
          <w:noProof/>
        </w:rPr>
        <w:drawing>
          <wp:inline distT="0" distB="0" distL="0" distR="0" wp14:anchorId="657FE06C" wp14:editId="657FE06D">
            <wp:extent cx="5334000" cy="2161702"/>
            <wp:effectExtent l="0" t="0" r="0" b="0"/>
            <wp:docPr id="35" name="Picture" descr="gmv_atrasad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../figures/gmv_atrasados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1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7FE053" w14:textId="77777777" w:rsidR="00865096" w:rsidRPr="00BB2C24" w:rsidRDefault="00D108B5" w:rsidP="00D108B5">
      <w:pPr>
        <w:pStyle w:val="Corpodetexto"/>
        <w:ind w:firstLine="720"/>
      </w:pPr>
      <w:r w:rsidRPr="00BB2C24">
        <w:t>As maiores médias de atraso concentram-se na região Norte, com o Amapá apresentando a maior média de dias de atraso (72,5 dias), seguido de Roraima (36,4 dias) e Amazonas (30,25 dias). Na sequência, a região Nordeste aparece com destaque para o Sergipe (16,2 dias).</w:t>
      </w:r>
    </w:p>
    <w:p w14:paraId="657FE054" w14:textId="77777777" w:rsidR="00865096" w:rsidRPr="00BB2C24" w:rsidRDefault="00D108B5" w:rsidP="00D108B5">
      <w:pPr>
        <w:pStyle w:val="Corpodetexto"/>
        <w:ind w:firstLine="720"/>
      </w:pPr>
      <w:r w:rsidRPr="00BB2C24">
        <w:t>A região Sul registra as menores médias de atraso, com o Paraná em 8,21 dias. O menor indicador individual é o Distrito Federal, com média de 7,3 dias. Todos esses resultados consideram o estado do consumidor como referência.</w:t>
      </w:r>
    </w:p>
    <w:p w14:paraId="657FE055" w14:textId="77777777" w:rsidR="00865096" w:rsidRPr="00BB2C24" w:rsidRDefault="00D108B5" w:rsidP="000032BD">
      <w:pPr>
        <w:pStyle w:val="CaptionedFigure"/>
        <w:jc w:val="center"/>
      </w:pPr>
      <w:r w:rsidRPr="00BB2C24">
        <w:rPr>
          <w:noProof/>
        </w:rPr>
        <w:lastRenderedPageBreak/>
        <w:drawing>
          <wp:inline distT="0" distB="0" distL="0" distR="0" wp14:anchorId="657FE06E" wp14:editId="657FE06F">
            <wp:extent cx="4664208" cy="5647764"/>
            <wp:effectExtent l="0" t="0" r="0" b="0"/>
            <wp:docPr id="38" name="Picture" descr="mapa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../figures/mapa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4208" cy="5647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B688E1" w14:textId="77777777" w:rsidR="00BB2C24" w:rsidRPr="00BB2C24" w:rsidRDefault="00BB2C24">
      <w:pPr>
        <w:pStyle w:val="ImageCaption"/>
      </w:pPr>
    </w:p>
    <w:p w14:paraId="657FE057" w14:textId="05D9DDAD" w:rsidR="00865096" w:rsidRPr="00BB2C24" w:rsidRDefault="00D108B5" w:rsidP="00BB2C24">
      <w:pPr>
        <w:pStyle w:val="Ttulo1"/>
        <w:numPr>
          <w:ilvl w:val="0"/>
          <w:numId w:val="2"/>
        </w:numPr>
      </w:pPr>
      <w:bookmarkStart w:id="14" w:name="principais-insights"/>
      <w:bookmarkStart w:id="15" w:name="_Toc221044335"/>
      <w:bookmarkEnd w:id="9"/>
      <w:bookmarkEnd w:id="13"/>
      <w:r w:rsidRPr="00BB2C24">
        <w:t>PRINCIPAIS INSIGHTS</w:t>
      </w:r>
      <w:bookmarkEnd w:id="15"/>
    </w:p>
    <w:p w14:paraId="657FE058" w14:textId="77777777" w:rsidR="00865096" w:rsidRPr="00BB2C24" w:rsidRDefault="00D108B5" w:rsidP="00D108B5">
      <w:pPr>
        <w:pStyle w:val="FirstParagraph"/>
        <w:ind w:firstLine="720"/>
      </w:pPr>
      <w:r w:rsidRPr="00BB2C24">
        <w:t>O negócio apresentou alto volume de pedidos e elevada taxa de entrega, com GMV robusto e concentração de receita em categorias-chave e no cartão de crédito. A satisfação do cliente é sensível ao prazo: entregas no prazo têm avaliação significativamente superior às atrasadas, reforçando o impacto direto da logística na experiência.</w:t>
      </w:r>
    </w:p>
    <w:p w14:paraId="657FE059" w14:textId="77777777" w:rsidR="00865096" w:rsidRPr="00BB2C24" w:rsidRDefault="00D108B5" w:rsidP="00D108B5">
      <w:pPr>
        <w:pStyle w:val="Corpodetexto"/>
        <w:ind w:firstLine="720"/>
      </w:pPr>
      <w:r w:rsidRPr="00BB2C24">
        <w:t xml:space="preserve">No recorte temporal, o GMV de 2018 supera 2017, mas o ritmo de crescimento desacelera, com picos mensais menos intensos e sinais de retração em alguns meses. </w:t>
      </w:r>
      <w:r w:rsidRPr="00BB2C24">
        <w:lastRenderedPageBreak/>
        <w:t>O aumento do GMV acompanha o volume de pedidos, porém o ticket médio não cresce no mesmo ritmo, indicando expansão por escala e não por aumento do valor médio por compra.</w:t>
      </w:r>
    </w:p>
    <w:p w14:paraId="657FE05A" w14:textId="77777777" w:rsidR="00865096" w:rsidRPr="00BB2C24" w:rsidRDefault="00D108B5" w:rsidP="00D108B5">
      <w:pPr>
        <w:pStyle w:val="Corpodetexto"/>
        <w:ind w:firstLine="720"/>
      </w:pPr>
      <w:r w:rsidRPr="00BB2C24">
        <w:t>Na operação, picos de atraso não derrubam o GMV de forma imediata, mas antecedem quedas no ticket médio, sugerindo efeito indireto na disposição de gasto. Regionalmente, o Norte concentra as maiores médias de atraso (Amapá, Roraima e Amazonas), enquanto Sul e Distrito Federal apresentam os menores índices, apontando diferenças logísticas relevantes por localidade.</w:t>
      </w:r>
    </w:p>
    <w:p w14:paraId="1EF69948" w14:textId="77777777" w:rsidR="00BB2C24" w:rsidRPr="00BB2C24" w:rsidRDefault="00BB2C24" w:rsidP="00D108B5">
      <w:pPr>
        <w:pStyle w:val="Corpodetexto"/>
        <w:ind w:firstLine="720"/>
      </w:pPr>
    </w:p>
    <w:p w14:paraId="657FE05B" w14:textId="1219F850" w:rsidR="00865096" w:rsidRPr="00BB2C24" w:rsidRDefault="00D108B5" w:rsidP="00BB2C24">
      <w:pPr>
        <w:pStyle w:val="Ttulo1"/>
        <w:numPr>
          <w:ilvl w:val="0"/>
          <w:numId w:val="2"/>
        </w:numPr>
      </w:pPr>
      <w:bookmarkStart w:id="16" w:name="conclusão"/>
      <w:bookmarkStart w:id="17" w:name="_Toc221044336"/>
      <w:bookmarkEnd w:id="14"/>
      <w:r w:rsidRPr="00BB2C24">
        <w:t>CONCLUSÃO</w:t>
      </w:r>
      <w:bookmarkEnd w:id="17"/>
    </w:p>
    <w:p w14:paraId="657FE05C" w14:textId="77777777" w:rsidR="00865096" w:rsidRPr="00BB2C24" w:rsidRDefault="00D108B5" w:rsidP="00D108B5">
      <w:pPr>
        <w:pStyle w:val="FirstParagraph"/>
        <w:ind w:firstLine="720"/>
      </w:pPr>
      <w:r w:rsidRPr="00BB2C24">
        <w:t>As análises mostram um negócio com alto volume e boa performance de entrega, mas com sinais claros de desaceleração do crescimento e sensibilidade do cliente ao cumprimento de prazos. O GMV cresce principalmente por escala de pedidos, enquanto o ticket médio não acompanha o mesmo ritmo, indicando espaço para iniciativas que elevem valor por compra. Além disso, as diferenças regionais de atraso evidenciam que eficiência logística não é homogênea e impacta diretamente a satisfação.</w:t>
      </w:r>
    </w:p>
    <w:p w14:paraId="657FE05D" w14:textId="77777777" w:rsidR="00865096" w:rsidRPr="00BB2C24" w:rsidRDefault="00D108B5" w:rsidP="00D108B5">
      <w:pPr>
        <w:pStyle w:val="Corpodetexto"/>
        <w:ind w:firstLine="720"/>
      </w:pPr>
      <w:r w:rsidRPr="00BB2C24">
        <w:t>Esse tipo de análise transforma dados transacionais em evidências acionáveis, permitindo decisões com impacto real: priorizar melhorias logísticas onde o atraso é mais crítico, calibrar metas comerciais com base na dinâmica de crescimento e orientar estratégias de retenção e experiência do cliente a partir do efeito do SLA no ticket médio e nas avaliações.</w:t>
      </w:r>
    </w:p>
    <w:p w14:paraId="657FE05E" w14:textId="77777777" w:rsidR="00865096" w:rsidRPr="00BB2C24" w:rsidRDefault="00D108B5" w:rsidP="00D108B5">
      <w:pPr>
        <w:pStyle w:val="Corpodetexto"/>
        <w:ind w:firstLine="720"/>
      </w:pPr>
      <w:r w:rsidRPr="00BB2C24">
        <w:t xml:space="preserve">Como próximos passos, recomenda-se aprofundar por </w:t>
      </w:r>
      <w:proofErr w:type="spellStart"/>
      <w:r w:rsidRPr="00BB2C24">
        <w:t>seller</w:t>
      </w:r>
      <w:proofErr w:type="spellEnd"/>
      <w:r w:rsidRPr="00BB2C24">
        <w:t xml:space="preserve"> e por categoria para identificar onde o desempenho logístico mais afeta receita, além de segmentar por região e tipo de produto para priorização operacional. Também é útil investigar elasticidades entre atraso, ticket médio e avaliação, e evoluir para análises preditivas de atraso e de satisfação, apoiando ações preventivas e ganhos sustentáveis no negócio.</w:t>
      </w:r>
    </w:p>
    <w:p w14:paraId="53698073" w14:textId="77777777" w:rsidR="00D108B5" w:rsidRDefault="00D108B5" w:rsidP="00D108B5">
      <w:pPr>
        <w:pStyle w:val="Corpodetexto"/>
      </w:pPr>
    </w:p>
    <w:p w14:paraId="1390A258" w14:textId="77777777" w:rsidR="000032BD" w:rsidRPr="00BB2C24" w:rsidRDefault="000032BD" w:rsidP="00D108B5">
      <w:pPr>
        <w:pStyle w:val="Corpodetexto"/>
      </w:pPr>
    </w:p>
    <w:p w14:paraId="657FE05F" w14:textId="77777777" w:rsidR="00865096" w:rsidRPr="00BB2C24" w:rsidRDefault="00D108B5" w:rsidP="00D108B5">
      <w:pPr>
        <w:pStyle w:val="Ttulo1"/>
      </w:pPr>
      <w:bookmarkStart w:id="18" w:name="apêndices"/>
      <w:bookmarkStart w:id="19" w:name="_Toc221044337"/>
      <w:bookmarkEnd w:id="16"/>
      <w:r w:rsidRPr="00BB2C24">
        <w:lastRenderedPageBreak/>
        <w:t>APÊNDICES</w:t>
      </w:r>
      <w:bookmarkEnd w:id="19"/>
    </w:p>
    <w:p w14:paraId="657FE061" w14:textId="5833140A" w:rsidR="00865096" w:rsidRDefault="00D108B5" w:rsidP="000032BD">
      <w:pPr>
        <w:pStyle w:val="FirstParagraph"/>
        <w:jc w:val="left"/>
      </w:pPr>
      <w:r w:rsidRPr="00BB2C24">
        <w:rPr>
          <w:b/>
          <w:bCs/>
        </w:rPr>
        <w:t>Páginas do </w:t>
      </w:r>
      <w:r w:rsidRPr="00BB2C24">
        <w:rPr>
          <w:b/>
          <w:bCs/>
          <w:i/>
          <w:iCs/>
        </w:rPr>
        <w:t>dashboard</w:t>
      </w:r>
      <w:r w:rsidRPr="00BB2C24">
        <w:rPr>
          <w:noProof/>
        </w:rPr>
        <w:drawing>
          <wp:inline distT="0" distB="0" distL="0" distR="0" wp14:anchorId="657FE070" wp14:editId="2E8B9F42">
            <wp:extent cx="5862618" cy="3146334"/>
            <wp:effectExtent l="0" t="0" r="0" b="0"/>
            <wp:docPr id="45" name="Picture" descr="visao_ger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../figures/visao_geral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618" cy="31463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B2C24">
        <w:rPr>
          <w:noProof/>
        </w:rPr>
        <w:lastRenderedPageBreak/>
        <w:drawing>
          <wp:inline distT="0" distB="0" distL="0" distR="0" wp14:anchorId="657FE072" wp14:editId="6E400261">
            <wp:extent cx="5890260" cy="3069771"/>
            <wp:effectExtent l="0" t="0" r="0" b="0"/>
            <wp:docPr id="48" name="Picture" descr="evoluca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../figures/evolucao_tendencia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0697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B2C24">
        <w:br/>
      </w:r>
      <w:r w:rsidRPr="00BB2C24">
        <w:rPr>
          <w:noProof/>
        </w:rPr>
        <w:drawing>
          <wp:inline distT="0" distB="0" distL="0" distR="0" wp14:anchorId="657FE074" wp14:editId="3283FB6C">
            <wp:extent cx="5890792" cy="3559628"/>
            <wp:effectExtent l="0" t="0" r="0" b="0"/>
            <wp:docPr id="51" name="Picture" descr="operaca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../figures/operacao_sla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3268" cy="3567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"/>
    </w:p>
    <w:sectPr w:rsidR="00865096" w:rsidSect="00CB37D0">
      <w:headerReference w:type="default" r:id="rId20"/>
      <w:footnotePr>
        <w:numRestart w:val="eachSect"/>
      </w:footnotePr>
      <w:pgSz w:w="12240" w:h="15840"/>
      <w:pgMar w:top="1701" w:right="1134" w:bottom="1134" w:left="1701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B77447" w14:textId="77777777" w:rsidR="0009277B" w:rsidRPr="00BB2C24" w:rsidRDefault="0009277B" w:rsidP="00D108B5">
      <w:r w:rsidRPr="00BB2C24">
        <w:separator/>
      </w:r>
    </w:p>
  </w:endnote>
  <w:endnote w:type="continuationSeparator" w:id="0">
    <w:p w14:paraId="03FF6413" w14:textId="77777777" w:rsidR="0009277B" w:rsidRPr="00BB2C24" w:rsidRDefault="0009277B" w:rsidP="00D108B5">
      <w:r w:rsidRPr="00BB2C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E5A061" w14:textId="77777777" w:rsidR="0009277B" w:rsidRPr="00BB2C24" w:rsidRDefault="0009277B" w:rsidP="00D108B5">
      <w:r w:rsidRPr="00BB2C24">
        <w:separator/>
      </w:r>
    </w:p>
  </w:footnote>
  <w:footnote w:type="continuationSeparator" w:id="0">
    <w:p w14:paraId="7386B7C5" w14:textId="77777777" w:rsidR="0009277B" w:rsidRPr="00BB2C24" w:rsidRDefault="0009277B" w:rsidP="00D108B5">
      <w:r w:rsidRPr="00BB2C2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65444922"/>
      <w:docPartObj>
        <w:docPartGallery w:val="Page Numbers (Top of Page)"/>
        <w:docPartUnique/>
      </w:docPartObj>
    </w:sdtPr>
    <w:sdtContent>
      <w:p w14:paraId="27D5082E" w14:textId="7FFCDD20" w:rsidR="00CB37D0" w:rsidRDefault="00CB37D0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517351" w14:textId="77777777" w:rsidR="00CB37D0" w:rsidRDefault="00CB37D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EB8CEB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43D03B36"/>
    <w:multiLevelType w:val="hybridMultilevel"/>
    <w:tmpl w:val="D8E44FCC"/>
    <w:lvl w:ilvl="0" w:tplc="A9CEC3FE">
      <w:start w:val="1"/>
      <w:numFmt w:val="decimal"/>
      <w:suff w:val="space"/>
      <w:lvlText w:val="3.%1."/>
      <w:lvlJc w:val="left"/>
      <w:pPr>
        <w:ind w:left="0" w:firstLine="0"/>
      </w:pPr>
      <w:rPr>
        <w:rFonts w:ascii="Arial" w:hAnsi="Arial" w:hint="default"/>
        <w:b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D21427"/>
    <w:multiLevelType w:val="hybridMultilevel"/>
    <w:tmpl w:val="325C5334"/>
    <w:lvl w:ilvl="0" w:tplc="B770D0C0">
      <w:start w:val="1"/>
      <w:numFmt w:val="decimal"/>
      <w:suff w:val="space"/>
      <w:lvlText w:val="4.%1."/>
      <w:lvlJc w:val="left"/>
      <w:pPr>
        <w:ind w:left="0" w:firstLine="0"/>
      </w:pPr>
      <w:rPr>
        <w:rFonts w:hint="default"/>
        <w:b/>
        <w:i w:val="0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9717C9"/>
    <w:multiLevelType w:val="hybridMultilevel"/>
    <w:tmpl w:val="EDFC9A8E"/>
    <w:lvl w:ilvl="0" w:tplc="F37C9938">
      <w:start w:val="1"/>
      <w:numFmt w:val="decimal"/>
      <w:suff w:val="space"/>
      <w:lvlText w:val="%1."/>
      <w:lvlJc w:val="left"/>
      <w:pPr>
        <w:ind w:left="0" w:firstLine="0"/>
      </w:pPr>
      <w:rPr>
        <w:rFonts w:ascii="Arial" w:hAnsi="Arial" w:cs="Segoe UI" w:hint="default"/>
        <w:b/>
        <w:bCs w:val="0"/>
        <w:i w:val="0"/>
        <w:iCs w:val="0"/>
        <w:spacing w:val="-9"/>
        <w:w w:val="100"/>
        <w:sz w:val="24"/>
        <w:szCs w:val="2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2284234">
    <w:abstractNumId w:val="0"/>
  </w:num>
  <w:num w:numId="2" w16cid:durableId="844586599">
    <w:abstractNumId w:val="3"/>
  </w:num>
  <w:num w:numId="3" w16cid:durableId="1121454992">
    <w:abstractNumId w:val="1"/>
  </w:num>
  <w:num w:numId="4" w16cid:durableId="805927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5096"/>
    <w:rsid w:val="000032BD"/>
    <w:rsid w:val="0009277B"/>
    <w:rsid w:val="00100971"/>
    <w:rsid w:val="002F1907"/>
    <w:rsid w:val="00311530"/>
    <w:rsid w:val="00465D89"/>
    <w:rsid w:val="004D527F"/>
    <w:rsid w:val="0063285C"/>
    <w:rsid w:val="00865096"/>
    <w:rsid w:val="00946D98"/>
    <w:rsid w:val="00A002D8"/>
    <w:rsid w:val="00BB2C24"/>
    <w:rsid w:val="00C8664A"/>
    <w:rsid w:val="00CB37D0"/>
    <w:rsid w:val="00D108B5"/>
    <w:rsid w:val="00D4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FE027"/>
  <w15:docId w15:val="{1D31623C-2716-4993-A858-E4306D67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head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002D8"/>
    <w:pPr>
      <w:spacing w:after="0" w:line="360" w:lineRule="auto"/>
      <w:jc w:val="both"/>
    </w:pPr>
    <w:rPr>
      <w:rFonts w:ascii="Arial" w:hAnsi="Arial"/>
      <w:lang w:val="pt-BR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D108B5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rsid w:val="0063285C"/>
  </w:style>
  <w:style w:type="paragraph" w:customStyle="1" w:styleId="FirstParagraph">
    <w:name w:val="First Paragraph"/>
    <w:basedOn w:val="Corpodetexto"/>
    <w:next w:val="Corpodetexto"/>
    <w:qFormat/>
    <w:rsid w:val="0063285C"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C8664A"/>
    <w:pPr>
      <w:contextualSpacing/>
    </w:pPr>
    <w:rPr>
      <w:rFonts w:eastAsiaTheme="majorEastAsia" w:cstheme="majorBidi"/>
      <w:b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664A"/>
    <w:rPr>
      <w:rFonts w:ascii="Arial" w:eastAsiaTheme="majorEastAsia" w:hAnsi="Arial" w:cstheme="majorBidi"/>
      <w:b/>
      <w:sz w:val="56"/>
      <w:szCs w:val="56"/>
      <w:lang w:val="pt-BR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D108B5"/>
    <w:rPr>
      <w:rFonts w:ascii="Arial" w:eastAsiaTheme="majorEastAsia" w:hAnsi="Arial" w:cstheme="majorBidi"/>
      <w:b/>
      <w:szCs w:val="40"/>
      <w:lang w:val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uiPriority w:val="99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customStyle="1" w:styleId="Ttulo20">
    <w:name w:val="Título_2"/>
    <w:basedOn w:val="Ttulo4"/>
    <w:link w:val="Ttulo2Char0"/>
    <w:qFormat/>
    <w:rsid w:val="00D108B5"/>
    <w:pPr>
      <w:spacing w:before="0" w:after="0"/>
    </w:pPr>
    <w:rPr>
      <w:b/>
      <w:i w:val="0"/>
      <w:color w:val="auto"/>
    </w:rPr>
  </w:style>
  <w:style w:type="character" w:customStyle="1" w:styleId="Ttulo2Char0">
    <w:name w:val="Título_2 Char"/>
    <w:basedOn w:val="Ttulo4Char"/>
    <w:link w:val="Ttulo20"/>
    <w:rsid w:val="00D108B5"/>
    <w:rPr>
      <w:rFonts w:ascii="Arial" w:eastAsiaTheme="majorEastAsia" w:hAnsi="Arial" w:cstheme="majorBidi"/>
      <w:b/>
      <w:i w:val="0"/>
      <w:iCs/>
      <w:color w:val="0F4761" w:themeColor="accent1" w:themeShade="BF"/>
      <w:lang w:val="pt-BR"/>
    </w:rPr>
  </w:style>
  <w:style w:type="paragraph" w:styleId="Cabealho">
    <w:name w:val="header"/>
    <w:basedOn w:val="Normal"/>
    <w:link w:val="CabealhoChar"/>
    <w:uiPriority w:val="99"/>
    <w:rsid w:val="00D108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108B5"/>
    <w:rPr>
      <w:lang w:val="pt-BR"/>
    </w:rPr>
  </w:style>
  <w:style w:type="paragraph" w:styleId="Rodap">
    <w:name w:val="footer"/>
    <w:basedOn w:val="Normal"/>
    <w:link w:val="RodapChar"/>
    <w:rsid w:val="00D108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108B5"/>
    <w:rPr>
      <w:lang w:val="pt-BR"/>
    </w:rPr>
  </w:style>
  <w:style w:type="paragraph" w:styleId="Sumrio1">
    <w:name w:val="toc 1"/>
    <w:basedOn w:val="Normal"/>
    <w:next w:val="Normal"/>
    <w:autoRedefine/>
    <w:uiPriority w:val="39"/>
    <w:rsid w:val="00CB37D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olistbr/brazilian-ecommerce/data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github.com/cidade-felipe/ecommerce-shipping-analytics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0"/>
</file>

<file path=customXml/itemProps1.xml><?xml version="1.0" encoding="utf-8"?>
<ds:datastoreItem xmlns:ds="http://schemas.openxmlformats.org/officeDocument/2006/customXml" ds:itemID="{625437F6-E081-46FB-A3E7-D0F6EAEFD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1980</Words>
  <Characters>10694</Characters>
  <Application>Microsoft Office Word</Application>
  <DocSecurity>0</DocSecurity>
  <Lines>89</Lines>
  <Paragraphs>25</Paragraphs>
  <ScaleCrop>false</ScaleCrop>
  <Company/>
  <LinksUpToDate>false</LinksUpToDate>
  <CharactersWithSpaces>12649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Cidade Soares</dc:creator>
  <cp:keywords/>
  <cp:lastModifiedBy>Felipe Cidade Soares</cp:lastModifiedBy>
  <cp:revision>12</cp:revision>
  <cp:lastPrinted>2026-02-03T23:52:00Z</cp:lastPrinted>
  <dcterms:created xsi:type="dcterms:W3CDTF">2026-02-03T21:06:00Z</dcterms:created>
  <dcterms:modified xsi:type="dcterms:W3CDTF">2026-02-03T23:52:00Z</dcterms:modified>
</cp:coreProperties>
</file>