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20"/>
        </w:rPr>
        <w:t>T.C. MİLLÎ EĞİTİM BAKANLIĞI</w:t>
        <w:br/>
      </w:r>
      <w:r>
        <w:rPr>
          <w:rFonts w:ascii="Arial" w:hAnsi="Arial"/>
          <w:b/>
          <w:sz w:val="21"/>
        </w:rPr>
        <w:t>ANKARA / YENİMAHALLE - TEVFİK İLERİ ANADOLU İMAM HATİP LİSESİ / İHO</w:t>
        <w:br/>
      </w:r>
      <w:r>
        <w:rPr>
          <w:rFonts w:ascii="Arial" w:hAnsi="Arial"/>
          <w:b/>
          <w:sz w:val="20"/>
        </w:rPr>
        <w:t>2025-2026 EĞİTİM ÖĞRETİM YILI 8. SINIF DIN KÜLTÜRÜ VE AHLAK BILGISI DERSİ</w:t>
        <w:br/>
      </w:r>
      <w:r>
        <w:rPr>
          <w:rFonts w:ascii="Arial" w:hAnsi="Arial"/>
          <w:b/>
          <w:sz w:val="21"/>
        </w:rPr>
        <w:t>1. DÖNEM 1. YAZILI SINAVI (SENARYO 1)</w:t>
      </w:r>
    </w:p>
    <w:tbl>
      <w:tblPr>
        <w:tblW w:type="auto" w:w="0"/>
        <w:jc w:val="center"/>
        <w:tblLayout w:type="fixed"/>
        <w:tblLook w:firstColumn="1" w:firstRow="1" w:lastColumn="0" w:lastRow="0" w:noHBand="0" w:noVBand="1" w:val="04A0"/>
      </w:tblPr>
      <w:tblGrid>
        <w:gridCol w:w="2617"/>
        <w:gridCol w:w="2617"/>
        <w:gridCol w:w="2617"/>
        <w:gridCol w:w="2617"/>
      </w:tblGrid>
      <w:tr>
        <w:tc>
          <w:tcPr>
            <w:tcW w:type="dxa" w:w="172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Adı ve Soyadı:</w:t>
            </w:r>
          </w:p>
        </w:tc>
        <w:tc>
          <w:tcPr>
            <w:tcW w:type="dxa" w:w="460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t>.............................................................</w:t>
            </w:r>
          </w:p>
        </w:tc>
        <w:tc>
          <w:tcPr>
            <w:tcW w:type="dxa" w:w="2160"/>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ALDIĞI PUAN:</w:t>
            </w:r>
          </w:p>
        </w:tc>
        <w:tc>
          <w:tcPr>
            <w:tcW w:type="dxa" w:w="187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jc w:val="center"/>
            </w:pPr>
            <w:r>
              <w:rPr>
                <w:rFonts w:ascii="Arial" w:hAnsi="Arial"/>
                <w:b/>
                <w:sz w:val="20"/>
              </w:rPr>
              <w:t>....... / 100</w:t>
            </w:r>
          </w:p>
        </w:tc>
      </w:tr>
      <w:tr>
        <w:tc>
          <w:tcPr>
            <w:tcW w:type="dxa" w:w="172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Sınıfı / Şubesi:</w:t>
            </w:r>
          </w:p>
        </w:tc>
        <w:tc>
          <w:tcPr>
            <w:tcW w:type="dxa" w:w="460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t>8 / .....       Okul No: ...............</w:t>
            </w:r>
          </w:p>
        </w:tc>
        <w:tc>
          <w:tcPr>
            <w:tcW w:type="dxa" w:w="2160"/>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Tarih / İmza:</w:t>
            </w:r>
          </w:p>
        </w:tc>
        <w:tc>
          <w:tcPr>
            <w:tcW w:type="dxa" w:w="187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jc w:val="center"/>
            </w:pPr>
            <w:r>
              <w:t>...../...../2026</w:t>
            </w:r>
          </w:p>
        </w:tc>
      </w:tr>
    </w:tbl>
    <w:p>
      <w:pPr>
        <w:spacing w:after="80"/>
      </w:pPr>
    </w:p>
    <w:tbl>
      <w:tblPr>
        <w:tblW w:type="auto" w:w="0"/>
        <w:jc w:val="center"/>
        <w:tblLayout w:type="fixed"/>
        <w:tblLook w:firstColumn="1" w:firstRow="1" w:lastColumn="0" w:lastRow="0" w:noHBand="0" w:noVBand="1" w:val="04A0"/>
      </w:tblPr>
      <w:tblGrid>
        <w:gridCol w:w="5234"/>
        <w:gridCol w:w="5234"/>
      </w:tblGrid>
      <w:tr>
        <w:tc>
          <w:tcPr>
            <w:tcW w:type="dxa" w:w="5184"/>
            <w:tcBorders>
              <w:right w:val="dashed" w:sz="6" w:space="0" w:color="AAAAAA"/>
            </w:tcBorders>
            <w:tcMar>
              <w:top w:w="50" w:type="dxa"/>
              <w:bottom w:w="50" w:type="dxa"/>
              <w:left w:w="50" w:type="dxa"/>
              <w:right w:w="100" w:type="dxa"/>
            </w:tcMar>
          </w:tcPr>
          <w:p/>
          <w:p>
            <w:pPr>
              <w:spacing w:after="40" w:line="276" w:lineRule="auto"/>
            </w:pPr>
            <w:r>
              <w:rPr>
                <w:rFonts w:ascii="Arial" w:hAnsi="Arial"/>
                <w:b/>
                <w:sz w:val="19"/>
              </w:rPr>
              <w:t xml:space="preserve">Soru 1) </w:t>
            </w:r>
            <w:r>
              <w:rPr>
                <w:rFonts w:ascii="Arial" w:hAnsi="Arial"/>
                <w:b/>
                <w:color w:val="646464"/>
                <w:sz w:val="17"/>
              </w:rPr>
              <w:t xml:space="preserve">(17 Puan) </w:t>
            </w:r>
          </w:p>
          <w:p>
            <w:pPr>
              <w:spacing w:after="40"/>
              <w:jc w:val="center"/>
            </w:pPr>
            <w:r>
              <w:rPr>
                <w:rFonts w:ascii="Traditional Arabic" w:hAnsi="Traditional Arabic"/>
                <w:b/>
                <w:sz w:val="28"/>
              </w:rPr>
              <w:t>وَخَلَقَ كُلَّ شَيْءٍ فَقَدَّرَهُ تَقْدِيرًا</w:t>
            </w:r>
          </w:p>
          <w:p>
            <w:pPr>
              <w:spacing w:after="80"/>
            </w:pPr>
            <w:r>
              <w:rPr>
                <w:rFonts w:ascii="Arial" w:hAnsi="Arial"/>
                <w:sz w:val="18"/>
              </w:rPr>
              <w:t>Ahmet Bey, tarlasına buğday ektikten sonra kuraklık yaşanmaması için damla sulama sistemi kurmuş ve gerekli gübrelemeyi yapmıştır. Ancak komşusu Mehmet Bey 'Nasibimizde ne varsa o olur' diyerek hiçbir tedbir almamıştır. Bu durumu İslam'ın 'kader ve tevekkül' anlayışı açısından değerlendiriniz. Ahmet Bey ve Mehmet Bey'in tutumlarını karşılaştırarak doğru tevekkül anlayışını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2) </w:t>
            </w:r>
            <w:r>
              <w:rPr>
                <w:rFonts w:ascii="Arial" w:hAnsi="Arial"/>
                <w:b/>
                <w:color w:val="646464"/>
                <w:sz w:val="17"/>
              </w:rPr>
              <w:t xml:space="preserve">(17 Puan) </w:t>
            </w:r>
          </w:p>
          <w:p>
            <w:pPr>
              <w:spacing w:after="80"/>
            </w:pPr>
            <w:r>
              <w:rPr>
                <w:rFonts w:ascii="Arial" w:hAnsi="Arial"/>
                <w:sz w:val="18"/>
              </w:rPr>
              <w:t>Aşağıdaki durumların evrenin hangi yasasıyla (fiziksel, biyolojik, toplumsal) ilgili olduğunu karşılarına gerekçeleriyle birlikte yazınız:</w:t>
              <w:br/>
              <w:t>a) Su 100 derecede kaynar ve yer çekimi sayesinde nehirler denizlere akar.</w:t>
              <w:br/>
              <w:t>b) Bir toplumda adalet ortadan kalkarsa huzursuzluk ve kargaşa başlar.</w:t>
              <w:br/>
              <w:t>c) Kuşların uçabilmesi için kemiklerinin içinin boş ve hafif yaratılmış olması.</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3) </w:t>
            </w:r>
            <w:r>
              <w:rPr>
                <w:rFonts w:ascii="Arial" w:hAnsi="Arial"/>
                <w:b/>
                <w:color w:val="646464"/>
                <w:sz w:val="17"/>
              </w:rPr>
              <w:t xml:space="preserve">(17 Puan) </w:t>
            </w:r>
          </w:p>
          <w:p>
            <w:pPr>
              <w:spacing w:after="80"/>
            </w:pPr>
            <w:r>
              <w:rPr>
                <w:rFonts w:ascii="Arial" w:hAnsi="Arial"/>
                <w:sz w:val="18"/>
              </w:rPr>
              <w:t>İslam dininde zekât sadece bireysel bir ibadet değil, aynı zamanda toplumsal dengeleri kuran ekonomik bir ilkedir. Zekât ibadetinin zengin ile yoksul arasındaki sevgi bağlarını güçlendirmesi ve toplumsal huzura katkısını 3 madde halinde açıklayınız.</w:t>
            </w:r>
          </w:p>
          <w:p>
            <w:pPr>
              <w:spacing w:line="312" w:lineRule="auto" w:after="240"/>
            </w:pPr>
            <w:r>
              <w:rPr>
                <w:color w:val="B4B4B4"/>
                <w:sz w:val="16"/>
              </w:rPr>
              <w:t>Cevap:</w:t>
              <w:br/>
              <w:t>................................................................................</w:t>
              <w:br/>
              <w:t>................................................................................</w:t>
              <w:br/>
              <w:t>................................................................................</w:t>
              <w:br/>
              <w:t>................................................................................</w:t>
              <w:br/>
            </w:r>
          </w:p>
        </w:tc>
        <w:tc>
          <w:tcPr>
            <w:tcW w:type="dxa" w:w="5184"/>
            <w:tcMar>
              <w:top w:w="50" w:type="dxa"/>
              <w:bottom w:w="50" w:type="dxa"/>
              <w:left w:w="100" w:type="dxa"/>
              <w:right w:w="50" w:type="dxa"/>
            </w:tcMar>
          </w:tcPr>
          <w:p/>
          <w:p>
            <w:pPr>
              <w:spacing w:after="40" w:line="276" w:lineRule="auto"/>
            </w:pPr>
            <w:r>
              <w:rPr>
                <w:rFonts w:ascii="Arial" w:hAnsi="Arial"/>
                <w:b/>
                <w:sz w:val="19"/>
              </w:rPr>
              <w:t xml:space="preserve">Soru 4) </w:t>
            </w:r>
            <w:r>
              <w:rPr>
                <w:rFonts w:ascii="Arial" w:hAnsi="Arial"/>
                <w:b/>
                <w:color w:val="646464"/>
                <w:sz w:val="17"/>
              </w:rPr>
              <w:t xml:space="preserve">(17 Puan) </w:t>
            </w:r>
          </w:p>
          <w:p>
            <w:pPr>
              <w:spacing w:after="40"/>
              <w:jc w:val="center"/>
            </w:pPr>
            <w:r>
              <w:rPr>
                <w:rFonts w:ascii="Traditional Arabic" w:hAnsi="Traditional Arabic"/>
                <w:b/>
                <w:sz w:val="28"/>
              </w:rPr>
              <w:t>أَرَأَيْتَ الَّذِي يُكَذِّبُ بِالدِّينِ</w:t>
            </w:r>
          </w:p>
          <w:p>
            <w:pPr>
              <w:spacing w:after="80"/>
            </w:pPr>
            <w:r>
              <w:rPr>
                <w:rFonts w:ascii="Arial" w:hAnsi="Arial"/>
                <w:sz w:val="18"/>
              </w:rPr>
              <w:t>Maun suresinde eleştirilen ve İslam ahlakıyla bağdaşmayan insan tutum ve davranışları nelerdir? Surenin mealini dikkate alarak 3 temel davranışı maddeler halinde yazınız.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5) </w:t>
            </w:r>
            <w:r>
              <w:rPr>
                <w:rFonts w:ascii="Arial" w:hAnsi="Arial"/>
                <w:b/>
                <w:color w:val="646464"/>
                <w:sz w:val="17"/>
              </w:rPr>
              <w:t xml:space="preserve">(16 Puan) </w:t>
            </w:r>
          </w:p>
          <w:p>
            <w:pPr>
              <w:spacing w:after="80"/>
            </w:pPr>
            <w:r>
              <w:rPr>
                <w:rFonts w:ascii="Arial" w:hAnsi="Arial"/>
                <w:sz w:val="18"/>
              </w:rPr>
              <w:t>İslam dini insan fıtratını ve toplumu korumak amacıyla beş temel ilkeyi (Zarûrât-ı Hamse) güvence altına almıştır. Bu ilkelerden 'Canın Korunması' ve 'Aklın Korunması' ilkelerinin dinimizdeki yasaklar ve emirlerle nasıl sağlandığını birer örnekle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6) </w:t>
            </w:r>
            <w:r>
              <w:rPr>
                <w:rFonts w:ascii="Arial" w:hAnsi="Arial"/>
                <w:b/>
                <w:color w:val="646464"/>
                <w:sz w:val="17"/>
              </w:rPr>
              <w:t xml:space="preserve">(16 Puan) </w:t>
            </w:r>
          </w:p>
          <w:p>
            <w:pPr>
              <w:spacing w:after="40"/>
              <w:jc w:val="center"/>
            </w:pPr>
            <w:r>
              <w:rPr>
                <w:rFonts w:ascii="Traditional Arabic" w:hAnsi="Traditional Arabic"/>
                <w:b/>
                <w:sz w:val="28"/>
              </w:rPr>
              <w:t>وَشَاوِرْهُمْ فِي الْأَمْرِ</w:t>
            </w:r>
          </w:p>
          <w:p>
            <w:pPr>
              <w:spacing w:after="80"/>
            </w:pPr>
            <w:r>
              <w:rPr>
                <w:rFonts w:ascii="Arial" w:hAnsi="Arial"/>
                <w:sz w:val="18"/>
              </w:rPr>
              <w:t>Peygamber Efendimiz (s.a.v.) Bedir, Uhud ve Hendek savaşları öncesinde vahiy gelmeyen hususlarda ashabıyla toplantı yapmış ve onların görüşlerine göre hareket etmiştir. Peygamberimizin bu istişare (şûra) uygulaması, onun liderlik anlayışı ve insanlara verdiği değer açısından ne anlama gelmektedir? Açıklayınız.</w:t>
            </w:r>
          </w:p>
          <w:p>
            <w:pPr>
              <w:spacing w:line="312" w:lineRule="auto" w:after="240"/>
            </w:pPr>
            <w:r>
              <w:rPr>
                <w:color w:val="B4B4B4"/>
                <w:sz w:val="16"/>
              </w:rPr>
              <w:t>Cevap:</w:t>
              <w:br/>
              <w:t>................................................................................</w:t>
              <w:br/>
              <w:t>................................................................................</w:t>
              <w:br/>
              <w:t>................................................................................</w:t>
              <w:br/>
              <w:t>................................................................................</w:t>
              <w:br/>
            </w:r>
          </w:p>
        </w:tc>
      </w:tr>
    </w:tbl>
    <w:p>
      <w:pPr>
        <w:jc w:val="center"/>
      </w:pPr>
      <w:r>
        <w:rPr>
          <w:rFonts w:ascii="Arial" w:hAnsi="Arial"/>
          <w:i/>
          <w:sz w:val="17"/>
        </w:rPr>
        <w:t>Sınav süresi 40 dakikadır. Başarılar dileriz.</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